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62426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24268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POWELL KRISTIN 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HOMETRUST BANCSHARES, INC.</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WOODFIN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2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HomeTrust Bancshares,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HTB</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397"/>
        <w:spacing w:after="0"/>
        <w:rPr>
          <w:sz w:val="20"/>
          <w:szCs w:val="20"/>
          <w:color w:val="auto"/>
        </w:rPr>
      </w:pPr>
      <w:r>
        <w:rPr>
          <w:rFonts w:ascii="Times New Roman" w:cs="Times New Roman" w:eastAsia="Times New Roman" w:hAnsi="Times New Roman"/>
          <w:sz w:val="17"/>
          <w:szCs w:val="17"/>
          <w:color w:val="0000FF"/>
        </w:rPr>
        <w:t>EVP, Consumer &amp; BB Group Exec</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right"/>
              <w:ind w:right="36"/>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ASHEVILLE</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NC</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28801</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940" w:type="dxa"/>
            <w:vAlign w:val="bottom"/>
            <w:tcBorders>
              <w:bottom w:val="single" w:sz="8" w:color="2C2C2C"/>
            </w:tcBorders>
            <w:gridSpan w:val="9"/>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05/27/2026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24.95</w:t>
            </w:r>
          </w:p>
        </w:tc>
        <w:tc>
          <w:tcPr>
            <w:tcW w:w="20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22,595</w:t>
            </w:r>
          </w:p>
        </w:tc>
        <w:tc>
          <w:tcPr>
            <w:tcW w:w="260" w:type="dxa"/>
            <w:vAlign w:val="bottom"/>
          </w:tcPr>
          <w:p>
            <w:pPr>
              <w:spacing w:after="0"/>
              <w:rPr>
                <w:sz w:val="22"/>
                <w:szCs w:val="22"/>
                <w:color w:val="auto"/>
              </w:rPr>
            </w:pPr>
          </w:p>
        </w:tc>
        <w:tc>
          <w:tcPr>
            <w:tcW w:w="680" w:type="dxa"/>
            <w:vAlign w:val="bottom"/>
          </w:tcPr>
          <w:p>
            <w:pPr>
              <w:jc w:val="center"/>
              <w:ind w:right="29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right"/>
              <w:ind w:right="95"/>
              <w:spacing w:after="0"/>
              <w:rPr>
                <w:sz w:val="20"/>
                <w:szCs w:val="20"/>
                <w:color w:val="auto"/>
              </w:rPr>
            </w:pPr>
            <w:r>
              <w:rPr>
                <w:rFonts w:ascii="Times New Roman" w:cs="Times New Roman" w:eastAsia="Times New Roman" w:hAnsi="Times New Roman"/>
                <w:sz w:val="17"/>
                <w:szCs w:val="17"/>
                <w:color w:val="0000FF"/>
              </w:rPr>
              <w:t>05/27/2026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46.7821</w:t>
            </w:r>
            <w:r>
              <w:rPr>
                <w:rFonts w:ascii="Times New Roman" w:cs="Times New Roman" w:eastAsia="Times New Roman" w:hAnsi="Times New Roman"/>
                <w:sz w:val="21"/>
                <w:szCs w:val="21"/>
                <w:color w:val="008000"/>
                <w:vertAlign w:val="superscript"/>
              </w:rPr>
              <w:t>(1)</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21,595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4,102</w:t>
            </w:r>
          </w:p>
        </w:tc>
        <w:tc>
          <w:tcPr>
            <w:tcW w:w="260" w:type="dxa"/>
            <w:vAlign w:val="bottom"/>
          </w:tcPr>
          <w:p>
            <w:pPr>
              <w:spacing w:after="0"/>
              <w:rPr>
                <w:sz w:val="21"/>
                <w:szCs w:val="21"/>
                <w:color w:val="auto"/>
              </w:rPr>
            </w:pPr>
          </w:p>
        </w:tc>
        <w:tc>
          <w:tcPr>
            <w:tcW w:w="68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KSOP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7200" w:type="dxa"/>
            <w:vAlign w:val="bottom"/>
            <w:tcBorders>
              <w:bottom w:val="single" w:sz="8" w:color="2C2C2C"/>
            </w:tcBorders>
            <w:gridSpan w:val="1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9"/>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jc w:val="center"/>
              <w:ind w:left="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24.95</w:t>
            </w:r>
          </w:p>
        </w:tc>
        <w:tc>
          <w:tcPr>
            <w:tcW w:w="160" w:type="dxa"/>
            <w:vAlign w:val="bottom"/>
          </w:tcPr>
          <w:p>
            <w:pPr>
              <w:spacing w:after="0"/>
              <w:rPr>
                <w:sz w:val="20"/>
                <w:szCs w:val="20"/>
                <w:color w:val="auto"/>
              </w:rPr>
            </w:pP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05/27/2026</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20"/>
                <w:szCs w:val="20"/>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1,000</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02/11/2027</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1,000</w:t>
            </w:r>
          </w:p>
        </w:tc>
        <w:tc>
          <w:tcPr>
            <w:tcW w:w="200" w:type="dxa"/>
            <w:vAlign w:val="bottom"/>
          </w:tcPr>
          <w:p>
            <w:pPr>
              <w:spacing w:after="0"/>
              <w:rPr>
                <w:sz w:val="20"/>
                <w:szCs w:val="20"/>
                <w:color w:val="auto"/>
              </w:rPr>
            </w:pPr>
          </w:p>
        </w:tc>
        <w:tc>
          <w:tcPr>
            <w:tcW w:w="54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20"/>
                <w:szCs w:val="20"/>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jc w:val="center"/>
              <w:ind w:left="102"/>
              <w:spacing w:after="0"/>
              <w:rPr>
                <w:sz w:val="20"/>
                <w:szCs w:val="20"/>
                <w:color w:val="auto"/>
              </w:rPr>
            </w:pPr>
            <w:r>
              <w:rPr>
                <w:rFonts w:ascii="Arial" w:cs="Arial" w:eastAsia="Arial" w:hAnsi="Arial"/>
                <w:sz w:val="12"/>
                <w:szCs w:val="12"/>
                <w:color w:val="auto"/>
                <w:w w:val="96"/>
              </w:rPr>
              <w:t>$</w:t>
            </w:r>
            <w:r>
              <w:rPr>
                <w:rFonts w:ascii="Times New Roman" w:cs="Times New Roman" w:eastAsia="Times New Roman" w:hAnsi="Times New Roman"/>
                <w:sz w:val="12"/>
                <w:szCs w:val="12"/>
                <w:color w:val="0000FF"/>
                <w:w w:val="96"/>
              </w:rPr>
              <w:t>26</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02/11/2028</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5,000</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5"/>
              </w:rPr>
              <w:t>5,000</w:t>
            </w:r>
          </w:p>
        </w:tc>
        <w:tc>
          <w:tcPr>
            <w:tcW w:w="260" w:type="dxa"/>
            <w:vAlign w:val="bottom"/>
          </w:tcPr>
          <w:p>
            <w:pPr>
              <w:spacing w:after="0"/>
              <w:rPr>
                <w:sz w:val="20"/>
                <w:szCs w:val="20"/>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jc w:val="center"/>
              <w:ind w:left="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22.92</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02/11/2031</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2,000</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5"/>
              </w:rPr>
              <w:t>2,000</w:t>
            </w:r>
          </w:p>
        </w:tc>
        <w:tc>
          <w:tcPr>
            <w:tcW w:w="260" w:type="dxa"/>
            <w:vAlign w:val="bottom"/>
          </w:tcPr>
          <w:p>
            <w:pPr>
              <w:spacing w:after="0"/>
              <w:rPr>
                <w:sz w:val="20"/>
                <w:szCs w:val="20"/>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jc w:val="center"/>
              <w:ind w:left="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31.35</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02/11/2032</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2,500</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jc w:val="center"/>
              <w:ind w:left="160"/>
              <w:spacing w:after="0"/>
              <w:rPr>
                <w:sz w:val="20"/>
                <w:szCs w:val="20"/>
                <w:color w:val="auto"/>
              </w:rPr>
            </w:pPr>
            <w:r>
              <w:rPr>
                <w:rFonts w:ascii="Times New Roman" w:cs="Times New Roman" w:eastAsia="Times New Roman" w:hAnsi="Times New Roman"/>
                <w:sz w:val="13"/>
                <w:szCs w:val="13"/>
                <w:color w:val="0000FF"/>
                <w:w w:val="95"/>
              </w:rPr>
              <w:t>2,500</w:t>
            </w:r>
          </w:p>
        </w:tc>
        <w:tc>
          <w:tcPr>
            <w:tcW w:w="260" w:type="dxa"/>
            <w:vAlign w:val="bottom"/>
          </w:tcPr>
          <w:p>
            <w:pPr>
              <w:spacing w:after="0"/>
              <w:rPr>
                <w:sz w:val="20"/>
                <w:szCs w:val="20"/>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-2807335</wp:posOffset>
            </wp:positionV>
            <wp:extent cx="29210" cy="2812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124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jc w:val="both"/>
        <w:ind w:left="40" w:right="3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$46.62 to $46.88,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 granted under Issuer's 2013 Omnibus Incentive Plan with the following vesting schedule: 20% increments on February 11, 2018, 2019, 2020, 2021 and 2022.</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 granted under Issuer's 2013 Omnibus Incentive Plan with the following vesting schedule: 20% increments on February 11, 2019, 2020, 2021, 2022 and 2023.</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 granted under Issuer's 2013 Omnibus Incentive Plan with the following vesting schedule: 20% increments on February 11, 2022, 2023, 2024, 2025 and 2026.</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 granted under Issuer's 2013 Omnibus Incentive Plan with the following vesting schedule: 20% increments on February 11, 2023, 2024, 2025, 2026 and 2027.</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Tony J. VunCannon,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0071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7110" cy="8255"/>
                    </a:xfrm>
                    <a:prstGeom prst="rect">
                      <a:avLst/>
                    </a:prstGeom>
                    <a:noFill/>
                  </pic:spPr>
                </pic:pic>
              </a:graphicData>
            </a:graphic>
          </wp:anchor>
        </w:drawing>
      </w:r>
    </w:p>
    <w:p>
      <w:pPr>
        <w:spacing w:after="0" w:line="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 for Kristin Y.  05/28/2026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Powell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978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7815" cy="8255"/>
                    </a:xfrm>
                    <a:prstGeom prst="rect">
                      <a:avLst/>
                    </a:prstGeom>
                    <a:noFill/>
                  </pic:spPr>
                </pic:pic>
              </a:graphicData>
            </a:graphic>
          </wp:anchor>
        </w:drawing>
      </w:r>
    </w:p>
    <w:p>
      <w:pPr>
        <w:spacing w:after="0" w:line="3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19474" TargetMode="External"/><Relationship Id="rId14" Type="http://schemas.openxmlformats.org/officeDocument/2006/relationships/hyperlink" Target="http://www.sec.gov/cgi-bin/browse-edgar?action=getcompany&amp;CIK=0001538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2026-05-28T14:23:54Z</dcterms:created>
  <dcterms:modified xsi:type="dcterms:W3CDTF">2026-05-28T14:23:54Z</dcterms:modified>
</cp:coreProperties>
</file>