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UNITED STATES SECURITIES AND EXCHANGE COMMISSION</w:t>
      </w:r>
    </w:p>
    <w:p>
      <w:pPr>
        <w:spacing w:after="0" w:line="2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69" w:lineRule="exact"/>
        <w:rPr>
          <w:sz w:val="24"/>
          <w:szCs w:val="24"/>
          <w:color w:val="auto"/>
        </w:rPr>
      </w:pPr>
    </w:p>
    <w:p>
      <w:pPr>
        <w:ind w:left="3960" w:right="3360" w:hanging="3952"/>
        <w:spacing w:after="0" w:line="555" w:lineRule="auto"/>
        <w:tabs>
          <w:tab w:leader="none" w:pos="63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QUARTERLY REPORT UNDER SECTION 13 OR 15(d) OF THE SECURITIES EXCHANGE ACT OF 1934 For the quarterly period ended </w:t>
      </w:r>
      <w:r>
        <w:rPr>
          <w:rFonts w:ascii="Times New Roman" w:cs="Times New Roman" w:eastAsia="Times New Roman" w:hAnsi="Times New Roman"/>
          <w:sz w:val="16"/>
          <w:szCs w:val="16"/>
          <w:b w:val="1"/>
          <w:bCs w:val="1"/>
          <w:u w:val="single" w:color="auto"/>
          <w:color w:val="auto"/>
        </w:rPr>
        <w:t>December 31, 2022</w:t>
      </w:r>
    </w:p>
    <w:p>
      <w:pPr>
        <w:spacing w:after="0" w:line="27" w:lineRule="exact"/>
        <w:rPr>
          <w:sz w:val="24"/>
          <w:szCs w:val="24"/>
          <w:color w:val="auto"/>
        </w:rPr>
      </w:pPr>
    </w:p>
    <w:p>
      <w:pPr>
        <w:ind w:left="3940" w:right="3340" w:hanging="3932"/>
        <w:spacing w:after="0" w:line="562" w:lineRule="auto"/>
        <w:tabs>
          <w:tab w:leader="none" w:pos="65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UNDER SECTION 13 OR 15(d) OF THE SECURITIES EXCHANGE ACT OF 1934 For the transition period from _______ to ________</w:t>
      </w:r>
    </w:p>
    <w:p>
      <w:pPr>
        <w:ind w:left="43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001-35593</w:t>
      </w:r>
    </w:p>
    <w:p>
      <w:pPr>
        <w:spacing w:after="0" w:line="2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HOMETRUST BANCSHARES, INC.</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8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5400" w:type="dxa"/>
            <w:vAlign w:val="bottom"/>
          </w:tcPr>
          <w:p>
            <w:pPr>
              <w:jc w:val="right"/>
              <w:ind w:right="2019"/>
              <w:spacing w:after="0"/>
              <w:rPr>
                <w:sz w:val="20"/>
                <w:szCs w:val="20"/>
                <w:color w:val="auto"/>
              </w:rPr>
            </w:pPr>
            <w:r>
              <w:rPr>
                <w:rFonts w:ascii="Times New Roman" w:cs="Times New Roman" w:eastAsia="Times New Roman" w:hAnsi="Times New Roman"/>
                <w:sz w:val="16"/>
                <w:szCs w:val="16"/>
                <w:b w:val="1"/>
                <w:bCs w:val="1"/>
                <w:color w:val="auto"/>
              </w:rPr>
              <w:t>45-5055422</w:t>
            </w:r>
          </w:p>
        </w:tc>
      </w:tr>
      <w:tr>
        <w:trPr>
          <w:trHeight w:val="207"/>
        </w:trPr>
        <w:tc>
          <w:tcPr>
            <w:tcW w:w="5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of organization)</w:t>
            </w:r>
          </w:p>
        </w:tc>
        <w:tc>
          <w:tcPr>
            <w:tcW w:w="440" w:type="dxa"/>
            <w:vAlign w:val="bottom"/>
          </w:tcPr>
          <w:p>
            <w:pPr>
              <w:spacing w:after="0"/>
              <w:rPr>
                <w:sz w:val="17"/>
                <w:szCs w:val="17"/>
                <w:color w:val="auto"/>
              </w:rPr>
            </w:pPr>
          </w:p>
        </w:tc>
        <w:tc>
          <w:tcPr>
            <w:tcW w:w="5400" w:type="dxa"/>
            <w:vAlign w:val="bottom"/>
            <w:tcBorders>
              <w:top w:val="single" w:sz="8" w:color="auto"/>
            </w:tcBorders>
          </w:tcPr>
          <w:p>
            <w:pPr>
              <w:jc w:val="right"/>
              <w:ind w:right="1439"/>
              <w:spacing w:after="0"/>
              <w:rPr>
                <w:sz w:val="20"/>
                <w:szCs w:val="20"/>
                <w:color w:val="auto"/>
              </w:rPr>
            </w:pPr>
            <w:r>
              <w:rPr>
                <w:rFonts w:ascii="Times New Roman" w:cs="Times New Roman" w:eastAsia="Times New Roman" w:hAnsi="Times New Roman"/>
                <w:sz w:val="16"/>
                <w:szCs w:val="16"/>
                <w:color w:val="auto"/>
              </w:rPr>
              <w:t>(I.R.S. Employer Identification No.)</w:t>
            </w:r>
          </w:p>
        </w:tc>
      </w:tr>
    </w:tbl>
    <w:p>
      <w:pPr>
        <w:spacing w:after="0" w:line="3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10 Woodfin Street, Asheville, North Carolina 28801</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2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(828) 259-3939</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9"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37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Title of each class</w:t>
            </w:r>
          </w:p>
        </w:tc>
        <w:tc>
          <w:tcPr>
            <w:tcW w:w="21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Trading Symbol(s)</w:t>
            </w:r>
          </w:p>
        </w:tc>
        <w:tc>
          <w:tcPr>
            <w:tcW w:w="53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37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 par value $.01 per share</w:t>
            </w:r>
          </w:p>
        </w:tc>
        <w:tc>
          <w:tcPr>
            <w:tcW w:w="2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HTBI</w:t>
            </w:r>
          </w:p>
        </w:tc>
        <w:tc>
          <w:tcPr>
            <w:tcW w:w="5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and 15(d) of the Exchange Act during the preceding 12 months (or</w:t>
      </w:r>
    </w:p>
    <w:p>
      <w:pPr>
        <w:spacing w:after="0" w:line="26" w:lineRule="exact"/>
        <w:rPr>
          <w:sz w:val="24"/>
          <w:szCs w:val="24"/>
          <w:color w:val="auto"/>
        </w:rPr>
      </w:pPr>
    </w:p>
    <w:p>
      <w:pPr>
        <w:spacing w:after="0" w:line="184" w:lineRule="exact"/>
        <w:tabs>
          <w:tab w:leader="none" w:pos="9920" w:val="left"/>
        </w:tabs>
        <w:rPr>
          <w:sz w:val="20"/>
          <w:szCs w:val="20"/>
          <w:color w:val="auto"/>
        </w:rPr>
      </w:pPr>
      <w:r>
        <w:rPr>
          <w:rFonts w:ascii="Times New Roman" w:cs="Times New Roman" w:eastAsia="Times New Roman" w:hAnsi="Times New Roman"/>
          <w:sz w:val="16"/>
          <w:szCs w:val="16"/>
          <w:color w:val="auto"/>
        </w:rPr>
        <w:t>for such shorter period that the registrant was required to file such reports), and (2) has been subject to such filing requirements for the past 90 days.</w:t>
      </w:r>
      <w:r>
        <w:rPr>
          <w:sz w:val="20"/>
          <w:szCs w:val="20"/>
          <w:color w:val="auto"/>
        </w:rPr>
        <w:tab/>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40" w:lineRule="exact"/>
        <w:rPr>
          <w:sz w:val="24"/>
          <w:szCs w:val="24"/>
          <w:color w:val="auto"/>
        </w:rPr>
      </w:pPr>
    </w:p>
    <w:p>
      <w:pPr>
        <w:jc w:val="both"/>
        <w:ind w:right="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7"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0"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478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tc>
        <w:tc>
          <w:tcPr>
            <w:tcW w:w="5080" w:type="dxa"/>
            <w:vAlign w:val="bottom"/>
          </w:tcPr>
          <w:p>
            <w:pPr>
              <w:ind w:left="2800"/>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478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tc>
        <w:tc>
          <w:tcPr>
            <w:tcW w:w="5080" w:type="dxa"/>
            <w:vAlign w:val="bottom"/>
          </w:tcPr>
          <w:p>
            <w:pPr>
              <w:ind w:left="2800"/>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78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tc>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98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w:t>
            </w:r>
          </w:p>
        </w:tc>
        <w:tc>
          <w:tcPr>
            <w:tcW w:w="320" w:type="dxa"/>
            <w:vAlign w:val="bottom"/>
            <w:vMerge w:val="restart"/>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8"/>
        </w:trPr>
        <w:tc>
          <w:tcPr>
            <w:tcW w:w="98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complying with any new or revised financial accounting standards provided pursuant to Section 13(a) of the Exchange Act.</w:t>
            </w:r>
          </w:p>
        </w:tc>
        <w:tc>
          <w:tcPr>
            <w:tcW w:w="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5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There were 15,882,640 shares of common stock, par value of $.01 per share, issued and outstanding as of February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0" w:right="319"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HOMETRUST BANCSHARES, INC. AND SUBSIDIARIES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10-Q</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Page</w:t>
            </w:r>
          </w:p>
        </w:tc>
      </w:tr>
      <w:tr>
        <w:trPr>
          <w:trHeight w:val="210"/>
        </w:trPr>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center"/>
              <w:ind w:left="59"/>
              <w:spacing w:after="0"/>
              <w:rPr>
                <w:sz w:val="20"/>
                <w:szCs w:val="20"/>
                <w:color w:val="auto"/>
              </w:rPr>
            </w:pPr>
            <w:r>
              <w:rPr>
                <w:rFonts w:ascii="Times New Roman" w:cs="Times New Roman" w:eastAsia="Times New Roman" w:hAnsi="Times New Roman"/>
                <w:sz w:val="16"/>
                <w:szCs w:val="16"/>
                <w:color w:val="auto"/>
              </w:rPr>
              <w:t>Number</w:t>
            </w:r>
          </w:p>
        </w:tc>
      </w:tr>
      <w:tr>
        <w:trPr>
          <w:trHeight w:val="235"/>
        </w:trPr>
        <w:tc>
          <w:tcPr>
            <w:tcW w:w="1040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0000FF"/>
              </w:rPr>
              <w:t>PART I FINANCIAL INFORMATION</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04"/>
        </w:trPr>
        <w:tc>
          <w:tcPr>
            <w:tcW w:w="10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16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7680" w:type="dxa"/>
            <w:vAlign w:val="bottom"/>
            <w:gridSpan w:val="10"/>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Balance Sheets (Unaudited) at December 31, 2022 and June 30, 2022</w:t>
            </w: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3</w:t>
            </w:r>
          </w:p>
        </w:tc>
        <w:tc>
          <w:tcPr>
            <w:tcW w:w="22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0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Consolidated Statements of Income (Unaudited) for the Three and Six Months Ended December 31, 2022 and 2021</w:t>
            </w:r>
          </w:p>
        </w:tc>
        <w:tc>
          <w:tcPr>
            <w:tcW w:w="1780" w:type="dxa"/>
            <w:vAlign w:val="bottom"/>
            <w:gridSpan w:val="3"/>
          </w:tcPr>
          <w:p>
            <w:pPr>
              <w:spacing w:after="0"/>
              <w:rPr>
                <w:sz w:val="24"/>
                <w:szCs w:val="24"/>
                <w:color w:val="auto"/>
              </w:rPr>
            </w:pP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4</w:t>
            </w:r>
          </w:p>
        </w:tc>
        <w:tc>
          <w:tcPr>
            <w:tcW w:w="22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(Unaudited) for the Three and Six Months Ended December 31, 2022 and 2021</w:t>
            </w:r>
          </w:p>
        </w:tc>
        <w:tc>
          <w:tcPr>
            <w:tcW w:w="720" w:type="dxa"/>
            <w:vAlign w:val="bottom"/>
            <w:gridSpan w:val="2"/>
          </w:tcPr>
          <w:p>
            <w:pPr>
              <w:spacing w:after="0"/>
              <w:rPr>
                <w:sz w:val="24"/>
                <w:szCs w:val="24"/>
                <w:color w:val="auto"/>
              </w:rPr>
            </w:pP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5</w:t>
            </w:r>
          </w:p>
        </w:tc>
        <w:tc>
          <w:tcPr>
            <w:tcW w:w="22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Changes in Stockholders' Equity (Unaudited) for the Three and Six Months Ended December 31, 2022 and 2021</w:t>
            </w: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6</w:t>
            </w:r>
          </w:p>
        </w:tc>
        <w:tc>
          <w:tcPr>
            <w:tcW w:w="22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Consolidated Statements of Cash Flows (Unaudited) for the Six Months Ended December 31, 2022 and 2021</w:t>
            </w:r>
          </w:p>
        </w:tc>
        <w:tc>
          <w:tcPr>
            <w:tcW w:w="204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0000FF"/>
                <w:w w:val="99"/>
              </w:rPr>
              <w:t>8</w:t>
            </w:r>
          </w:p>
        </w:tc>
        <w:tc>
          <w:tcPr>
            <w:tcW w:w="22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2200" w:type="dxa"/>
            <w:vAlign w:val="bottom"/>
            <w:gridSpan w:val="4"/>
          </w:tcPr>
          <w:p>
            <w:pPr>
              <w:spacing w:after="0"/>
              <w:rPr>
                <w:sz w:val="24"/>
                <w:szCs w:val="24"/>
                <w:color w:val="auto"/>
              </w:rPr>
            </w:pPr>
          </w:p>
        </w:tc>
        <w:tc>
          <w:tcPr>
            <w:tcW w:w="6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0000FF"/>
                <w:w w:val="99"/>
              </w:rPr>
              <w:t>10</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93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6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0000FF"/>
                <w:w w:val="99"/>
              </w:rPr>
              <w:t>33</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3.</w:t>
            </w:r>
          </w:p>
        </w:tc>
        <w:tc>
          <w:tcPr>
            <w:tcW w:w="38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900" w:type="dxa"/>
            <w:vAlign w:val="bottom"/>
            <w:gridSpan w:val="2"/>
          </w:tcPr>
          <w:p>
            <w:pPr>
              <w:spacing w:after="0"/>
              <w:rPr>
                <w:sz w:val="24"/>
                <w:szCs w:val="24"/>
                <w:color w:val="auto"/>
              </w:rPr>
            </w:pPr>
          </w:p>
        </w:tc>
        <w:tc>
          <w:tcPr>
            <w:tcW w:w="3580" w:type="dxa"/>
            <w:vAlign w:val="bottom"/>
            <w:gridSpan w:val="5"/>
          </w:tcPr>
          <w:p>
            <w:pPr>
              <w:spacing w:after="0"/>
              <w:rPr>
                <w:sz w:val="24"/>
                <w:szCs w:val="24"/>
                <w:color w:val="auto"/>
              </w:rPr>
            </w:pPr>
          </w:p>
        </w:tc>
        <w:tc>
          <w:tcPr>
            <w:tcW w:w="6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0000FF"/>
                <w:w w:val="99"/>
              </w:rPr>
              <w:t>46</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4.</w:t>
            </w:r>
          </w:p>
        </w:tc>
        <w:tc>
          <w:tcPr>
            <w:tcW w:w="38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5480" w:type="dxa"/>
            <w:vAlign w:val="bottom"/>
            <w:gridSpan w:val="7"/>
          </w:tcPr>
          <w:p>
            <w:pPr>
              <w:spacing w:after="0"/>
              <w:rPr>
                <w:sz w:val="24"/>
                <w:szCs w:val="24"/>
                <w:color w:val="auto"/>
              </w:rPr>
            </w:pPr>
          </w:p>
        </w:tc>
        <w:tc>
          <w:tcPr>
            <w:tcW w:w="6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0000FF"/>
                <w:w w:val="99"/>
              </w:rPr>
              <w:t>46</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520"/>
        </w:trPr>
        <w:tc>
          <w:tcPr>
            <w:tcW w:w="24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b w:val="1"/>
                <w:bCs w:val="1"/>
                <w:color w:val="0000FF"/>
                <w:w w:val="99"/>
              </w:rPr>
              <w:t>PART II OTHER INFORMATION</w:t>
            </w:r>
          </w:p>
        </w:tc>
        <w:tc>
          <w:tcPr>
            <w:tcW w:w="7940" w:type="dxa"/>
            <w:vAlign w:val="bottom"/>
            <w:gridSpan w:val="12"/>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11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6"/>
              </w:rPr>
              <w:t>Legal Proceedings</w:t>
            </w:r>
          </w:p>
        </w:tc>
        <w:tc>
          <w:tcPr>
            <w:tcW w:w="8180" w:type="dxa"/>
            <w:vAlign w:val="bottom"/>
            <w:gridSpan w:val="14"/>
          </w:tcPr>
          <w:p>
            <w:pPr>
              <w:spacing w:after="0"/>
              <w:rPr>
                <w:sz w:val="24"/>
                <w:szCs w:val="24"/>
                <w:color w:val="auto"/>
              </w:rPr>
            </w:pPr>
          </w:p>
        </w:tc>
        <w:tc>
          <w:tcPr>
            <w:tcW w:w="6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0000FF"/>
                <w:w w:val="99"/>
              </w:rPr>
              <w:t>46</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gridSpan w:val="5"/>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1A.</w:t>
            </w:r>
          </w:p>
        </w:tc>
        <w:tc>
          <w:tcPr>
            <w:tcW w:w="11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8180" w:type="dxa"/>
            <w:vAlign w:val="bottom"/>
            <w:gridSpan w:val="14"/>
          </w:tcPr>
          <w:p>
            <w:pPr>
              <w:spacing w:after="0"/>
              <w:rPr>
                <w:sz w:val="24"/>
                <w:szCs w:val="24"/>
                <w:color w:val="auto"/>
              </w:rPr>
            </w:pPr>
          </w:p>
        </w:tc>
        <w:tc>
          <w:tcPr>
            <w:tcW w:w="6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0000FF"/>
                <w:w w:val="99"/>
              </w:rPr>
              <w:t>46</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93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6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0000FF"/>
                <w:w w:val="99"/>
              </w:rPr>
              <w:t>46</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3.</w:t>
            </w:r>
          </w:p>
        </w:tc>
        <w:tc>
          <w:tcPr>
            <w:tcW w:w="38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5480" w:type="dxa"/>
            <w:vAlign w:val="bottom"/>
            <w:gridSpan w:val="7"/>
          </w:tcPr>
          <w:p>
            <w:pPr>
              <w:spacing w:after="0"/>
              <w:rPr>
                <w:sz w:val="24"/>
                <w:szCs w:val="24"/>
                <w:color w:val="auto"/>
              </w:rPr>
            </w:pPr>
          </w:p>
        </w:tc>
        <w:tc>
          <w:tcPr>
            <w:tcW w:w="6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0000FF"/>
                <w:w w:val="99"/>
              </w:rPr>
              <w:t>46</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4.</w:t>
            </w:r>
          </w:p>
        </w:tc>
        <w:tc>
          <w:tcPr>
            <w:tcW w:w="20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7280" w:type="dxa"/>
            <w:vAlign w:val="bottom"/>
            <w:gridSpan w:val="9"/>
          </w:tcPr>
          <w:p>
            <w:pPr>
              <w:spacing w:after="0"/>
              <w:rPr>
                <w:sz w:val="24"/>
                <w:szCs w:val="24"/>
                <w:color w:val="auto"/>
              </w:rPr>
            </w:pPr>
          </w:p>
        </w:tc>
        <w:tc>
          <w:tcPr>
            <w:tcW w:w="6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0000FF"/>
                <w:w w:val="99"/>
              </w:rPr>
              <w:t>46</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5</w:t>
            </w:r>
          </w:p>
        </w:tc>
        <w:tc>
          <w:tcPr>
            <w:tcW w:w="11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7"/>
              </w:rPr>
              <w:t>Other Information</w:t>
            </w:r>
          </w:p>
        </w:tc>
        <w:tc>
          <w:tcPr>
            <w:tcW w:w="400" w:type="dxa"/>
            <w:vAlign w:val="bottom"/>
            <w:gridSpan w:val="3"/>
          </w:tcPr>
          <w:p>
            <w:pPr>
              <w:spacing w:after="0"/>
              <w:rPr>
                <w:sz w:val="24"/>
                <w:szCs w:val="24"/>
                <w:color w:val="auto"/>
              </w:rPr>
            </w:pPr>
          </w:p>
        </w:tc>
        <w:tc>
          <w:tcPr>
            <w:tcW w:w="7780" w:type="dxa"/>
            <w:vAlign w:val="bottom"/>
            <w:gridSpan w:val="11"/>
          </w:tcPr>
          <w:p>
            <w:pPr>
              <w:spacing w:after="0"/>
              <w:rPr>
                <w:sz w:val="24"/>
                <w:szCs w:val="24"/>
                <w:color w:val="auto"/>
              </w:rPr>
            </w:pPr>
          </w:p>
        </w:tc>
        <w:tc>
          <w:tcPr>
            <w:tcW w:w="6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0000FF"/>
                <w:w w:val="99"/>
              </w:rPr>
              <w:t>46</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180" w:type="dxa"/>
            <w:vAlign w:val="bottom"/>
            <w:gridSpan w:val="14"/>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6.</w:t>
            </w:r>
          </w:p>
        </w:tc>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Exhibits</w:t>
            </w:r>
          </w:p>
        </w:tc>
        <w:tc>
          <w:tcPr>
            <w:tcW w:w="640" w:type="dxa"/>
            <w:vAlign w:val="bottom"/>
            <w:gridSpan w:val="2"/>
          </w:tcPr>
          <w:p>
            <w:pPr>
              <w:spacing w:after="0"/>
              <w:rPr>
                <w:sz w:val="24"/>
                <w:szCs w:val="24"/>
                <w:color w:val="auto"/>
              </w:rPr>
            </w:pPr>
          </w:p>
        </w:tc>
        <w:tc>
          <w:tcPr>
            <w:tcW w:w="8180" w:type="dxa"/>
            <w:vAlign w:val="bottom"/>
            <w:gridSpan w:val="14"/>
          </w:tcPr>
          <w:p>
            <w:pPr>
              <w:spacing w:after="0"/>
              <w:rPr>
                <w:sz w:val="24"/>
                <w:szCs w:val="24"/>
                <w:color w:val="auto"/>
              </w:rPr>
            </w:pPr>
          </w:p>
        </w:tc>
        <w:tc>
          <w:tcPr>
            <w:tcW w:w="6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0000FF"/>
                <w:w w:val="99"/>
              </w:rPr>
              <w:t>47</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46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w w:val="98"/>
              </w:rPr>
              <w:t>SIGNATURES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0000FF"/>
                <w:w w:val="99"/>
              </w:rPr>
              <w:t>49</w:t>
            </w:r>
          </w:p>
        </w:tc>
      </w:tr>
      <w:tr>
        <w:trPr>
          <w:trHeight w:val="20"/>
        </w:trPr>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893"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Glossary of Defined Terms</w:t>
      </w:r>
    </w:p>
    <w:p>
      <w:pPr>
        <w:spacing w:after="0" w:line="61" w:lineRule="exact"/>
        <w:rPr>
          <w:sz w:val="20"/>
          <w:szCs w:val="20"/>
          <w:color w:val="auto"/>
        </w:rPr>
      </w:pPr>
    </w:p>
    <w:p>
      <w:pPr>
        <w:ind w:right="480"/>
        <w:spacing w:after="0" w:line="298" w:lineRule="auto"/>
        <w:rPr>
          <w:sz w:val="20"/>
          <w:szCs w:val="20"/>
          <w:color w:val="auto"/>
        </w:rPr>
      </w:pPr>
      <w:r>
        <w:rPr>
          <w:rFonts w:ascii="Times New Roman" w:cs="Times New Roman" w:eastAsia="Times New Roman" w:hAnsi="Times New Roman"/>
          <w:sz w:val="16"/>
          <w:szCs w:val="16"/>
          <w:color w:val="auto"/>
        </w:rPr>
        <w:t>The following terms may be used throughout this Form 10-Q, including the Notes to Consolidated Financial Statements in Item 1 and Management's Discussion and Analysis of Financial Condition and Results of Operations in Item 2 of this Form 10-Q.</w:t>
      </w:r>
    </w:p>
    <w:p>
      <w:pPr>
        <w:spacing w:after="0" w:line="68"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Term</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Definition</w:t>
            </w:r>
          </w:p>
        </w:tc>
        <w:tc>
          <w:tcPr>
            <w:tcW w:w="0" w:type="dxa"/>
            <w:vAlign w:val="bottom"/>
          </w:tcPr>
          <w:p>
            <w:pPr>
              <w:spacing w:after="0"/>
              <w:rPr>
                <w:sz w:val="1"/>
                <w:szCs w:val="1"/>
                <w:color w:val="auto"/>
              </w:rPr>
            </w:pPr>
          </w:p>
        </w:tc>
      </w:tr>
      <w:tr>
        <w:trPr>
          <w:trHeight w:val="212"/>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ACL</w:t>
            </w:r>
          </w:p>
        </w:tc>
        <w:tc>
          <w:tcPr>
            <w:tcW w:w="200" w:type="dxa"/>
            <w:vAlign w:val="bottom"/>
            <w:tcBorders>
              <w:top w:val="single" w:sz="8" w:color="CCEEFF"/>
            </w:tcBorders>
            <w:shd w:val="clear" w:color="auto" w:fill="CCEEFF"/>
          </w:tcPr>
          <w:p>
            <w:pPr>
              <w:spacing w:after="0"/>
              <w:rPr>
                <w:sz w:val="18"/>
                <w:szCs w:val="18"/>
                <w:color w:val="auto"/>
              </w:rPr>
            </w:pPr>
          </w:p>
        </w:tc>
        <w:tc>
          <w:tcPr>
            <w:tcW w:w="8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AFS</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Available-For-Sale</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ASC</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Accounting Standards Codification</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ASU</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Accounting Standards Update</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BOLI</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 Owned Life Insurance</w:t>
            </w:r>
          </w:p>
        </w:tc>
        <w:tc>
          <w:tcPr>
            <w:tcW w:w="0" w:type="dxa"/>
            <w:vAlign w:val="bottom"/>
          </w:tcPr>
          <w:p>
            <w:pPr>
              <w:spacing w:after="0"/>
              <w:rPr>
                <w:sz w:val="1"/>
                <w:szCs w:val="1"/>
                <w:color w:val="auto"/>
              </w:rPr>
            </w:pPr>
          </w:p>
        </w:tc>
      </w:tr>
      <w:tr>
        <w:trPr>
          <w:trHeight w:val="210"/>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CARES Act</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Coronavirus Aid, Relief, and Economic Security Act of 2020</w:t>
            </w:r>
          </w:p>
        </w:tc>
        <w:tc>
          <w:tcPr>
            <w:tcW w:w="0" w:type="dxa"/>
            <w:vAlign w:val="bottom"/>
          </w:tcPr>
          <w:p>
            <w:pPr>
              <w:spacing w:after="0"/>
              <w:rPr>
                <w:sz w:val="1"/>
                <w:szCs w:val="1"/>
                <w:color w:val="auto"/>
              </w:rPr>
            </w:pPr>
          </w:p>
        </w:tc>
      </w:tr>
      <w:tr>
        <w:trPr>
          <w:trHeight w:val="165"/>
        </w:trPr>
        <w:tc>
          <w:tcPr>
            <w:tcW w:w="2540" w:type="dxa"/>
            <w:vAlign w:val="bottom"/>
            <w:gridSpan w:val="2"/>
            <w:vMerge w:val="continue"/>
          </w:tcPr>
          <w:p>
            <w:pPr>
              <w:spacing w:after="0"/>
              <w:rPr>
                <w:sz w:val="14"/>
                <w:szCs w:val="14"/>
                <w:color w:val="auto"/>
              </w:rPr>
            </w:pPr>
          </w:p>
        </w:tc>
        <w:tc>
          <w:tcPr>
            <w:tcW w:w="8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CD</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Certificate of Deposit</w:t>
            </w:r>
          </w:p>
        </w:tc>
        <w:tc>
          <w:tcPr>
            <w:tcW w:w="0" w:type="dxa"/>
            <w:vAlign w:val="bottom"/>
          </w:tcPr>
          <w:p>
            <w:pPr>
              <w:spacing w:after="0"/>
              <w:rPr>
                <w:sz w:val="1"/>
                <w:szCs w:val="1"/>
                <w:color w:val="auto"/>
              </w:rPr>
            </w:pPr>
          </w:p>
        </w:tc>
      </w:tr>
      <w:tr>
        <w:trPr>
          <w:trHeight w:val="168"/>
        </w:trPr>
        <w:tc>
          <w:tcPr>
            <w:tcW w:w="2540" w:type="dxa"/>
            <w:vAlign w:val="bottom"/>
            <w:gridSpan w:val="2"/>
            <w:vMerge w:val="continue"/>
            <w:shd w:val="clear" w:color="auto" w:fill="CCEEFF"/>
          </w:tcPr>
          <w:p>
            <w:pPr>
              <w:spacing w:after="0"/>
              <w:rPr>
                <w:sz w:val="14"/>
                <w:szCs w:val="14"/>
                <w:color w:val="auto"/>
              </w:rPr>
            </w:pPr>
          </w:p>
        </w:tc>
        <w:tc>
          <w:tcPr>
            <w:tcW w:w="8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CDA</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 Dependent Asset</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CECL</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Expected Credit Losses</w:t>
            </w:r>
          </w:p>
        </w:tc>
        <w:tc>
          <w:tcPr>
            <w:tcW w:w="0" w:type="dxa"/>
            <w:vAlign w:val="bottom"/>
          </w:tcPr>
          <w:p>
            <w:pPr>
              <w:spacing w:after="0"/>
              <w:rPr>
                <w:sz w:val="1"/>
                <w:szCs w:val="1"/>
                <w:color w:val="auto"/>
              </w:rPr>
            </w:pPr>
          </w:p>
        </w:tc>
      </w:tr>
      <w:tr>
        <w:trPr>
          <w:trHeight w:val="210"/>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CET1</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Equity Tier 1</w:t>
            </w:r>
          </w:p>
        </w:tc>
        <w:tc>
          <w:tcPr>
            <w:tcW w:w="0" w:type="dxa"/>
            <w:vAlign w:val="bottom"/>
          </w:tcPr>
          <w:p>
            <w:pPr>
              <w:spacing w:after="0"/>
              <w:rPr>
                <w:sz w:val="1"/>
                <w:szCs w:val="1"/>
                <w:color w:val="auto"/>
              </w:rPr>
            </w:pPr>
          </w:p>
        </w:tc>
      </w:tr>
      <w:tr>
        <w:trPr>
          <w:trHeight w:val="165"/>
        </w:trPr>
        <w:tc>
          <w:tcPr>
            <w:tcW w:w="2540" w:type="dxa"/>
            <w:vAlign w:val="bottom"/>
            <w:gridSpan w:val="2"/>
            <w:vMerge w:val="continue"/>
          </w:tcPr>
          <w:p>
            <w:pPr>
              <w:spacing w:after="0"/>
              <w:rPr>
                <w:sz w:val="14"/>
                <w:szCs w:val="14"/>
                <w:color w:val="auto"/>
              </w:rPr>
            </w:pPr>
          </w:p>
        </w:tc>
        <w:tc>
          <w:tcPr>
            <w:tcW w:w="8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COVID-19</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Coronavirus Disease 2019</w:t>
            </w:r>
          </w:p>
        </w:tc>
        <w:tc>
          <w:tcPr>
            <w:tcW w:w="0" w:type="dxa"/>
            <w:vAlign w:val="bottom"/>
          </w:tcPr>
          <w:p>
            <w:pPr>
              <w:spacing w:after="0"/>
              <w:rPr>
                <w:sz w:val="1"/>
                <w:szCs w:val="1"/>
                <w:color w:val="auto"/>
              </w:rPr>
            </w:pPr>
          </w:p>
        </w:tc>
      </w:tr>
      <w:tr>
        <w:trPr>
          <w:trHeight w:val="168"/>
        </w:trPr>
        <w:tc>
          <w:tcPr>
            <w:tcW w:w="2540" w:type="dxa"/>
            <w:vAlign w:val="bottom"/>
            <w:gridSpan w:val="2"/>
            <w:vMerge w:val="continue"/>
            <w:shd w:val="clear" w:color="auto" w:fill="CCEEFF"/>
          </w:tcPr>
          <w:p>
            <w:pPr>
              <w:spacing w:after="0"/>
              <w:rPr>
                <w:sz w:val="14"/>
                <w:szCs w:val="14"/>
                <w:color w:val="auto"/>
              </w:rPr>
            </w:pPr>
          </w:p>
        </w:tc>
        <w:tc>
          <w:tcPr>
            <w:tcW w:w="8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CPI</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 Price Index</w:t>
            </w:r>
          </w:p>
        </w:tc>
        <w:tc>
          <w:tcPr>
            <w:tcW w:w="0" w:type="dxa"/>
            <w:vAlign w:val="bottom"/>
          </w:tcPr>
          <w:p>
            <w:pPr>
              <w:spacing w:after="0"/>
              <w:rPr>
                <w:sz w:val="1"/>
                <w:szCs w:val="1"/>
                <w:color w:val="auto"/>
              </w:rPr>
            </w:pPr>
          </w:p>
        </w:tc>
      </w:tr>
      <w:tr>
        <w:trPr>
          <w:trHeight w:val="165"/>
        </w:trPr>
        <w:tc>
          <w:tcPr>
            <w:tcW w:w="2540" w:type="dxa"/>
            <w:vAlign w:val="bottom"/>
            <w:gridSpan w:val="2"/>
            <w:vMerge w:val="continue"/>
          </w:tcPr>
          <w:p>
            <w:pPr>
              <w:spacing w:after="0"/>
              <w:rPr>
                <w:sz w:val="14"/>
                <w:szCs w:val="14"/>
                <w:color w:val="auto"/>
              </w:rPr>
            </w:pPr>
          </w:p>
        </w:tc>
        <w:tc>
          <w:tcPr>
            <w:tcW w:w="8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DCF</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EPS</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ESOP</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Stock Ownership Plan</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FASB</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Accounting Standards Board</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FDIC</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Deposit Insurance Corporation</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FHLB or FHLB of Atlanta</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Home Loan Bank</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FRB</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Reserve Bank of Richmond</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GSE</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Government-Sponsored Enterprises</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 Equity Line of Credit</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IRLC</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LIBOR</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London Interbank Offered Rate</w:t>
            </w:r>
          </w:p>
        </w:tc>
        <w:tc>
          <w:tcPr>
            <w:tcW w:w="0" w:type="dxa"/>
            <w:vAlign w:val="bottom"/>
          </w:tcPr>
          <w:p>
            <w:pPr>
              <w:spacing w:after="0"/>
              <w:rPr>
                <w:sz w:val="1"/>
                <w:szCs w:val="1"/>
                <w:color w:val="auto"/>
              </w:rPr>
            </w:pPr>
          </w:p>
        </w:tc>
      </w:tr>
      <w:tr>
        <w:trPr>
          <w:trHeight w:val="210"/>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MBS</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0" w:type="dxa"/>
            <w:vAlign w:val="bottom"/>
          </w:tcPr>
          <w:p>
            <w:pPr>
              <w:spacing w:after="0"/>
              <w:rPr>
                <w:sz w:val="1"/>
                <w:szCs w:val="1"/>
                <w:color w:val="auto"/>
              </w:rPr>
            </w:pPr>
          </w:p>
        </w:tc>
      </w:tr>
      <w:tr>
        <w:trPr>
          <w:trHeight w:val="165"/>
        </w:trPr>
        <w:tc>
          <w:tcPr>
            <w:tcW w:w="2540" w:type="dxa"/>
            <w:vAlign w:val="bottom"/>
            <w:gridSpan w:val="2"/>
            <w:vMerge w:val="continue"/>
          </w:tcPr>
          <w:p>
            <w:pPr>
              <w:spacing w:after="0"/>
              <w:rPr>
                <w:sz w:val="14"/>
                <w:szCs w:val="14"/>
                <w:color w:val="auto"/>
              </w:rPr>
            </w:pPr>
          </w:p>
        </w:tc>
        <w:tc>
          <w:tcPr>
            <w:tcW w:w="8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NCCOB</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Carolina Office of the Commissioner of Banks</w:t>
            </w:r>
          </w:p>
        </w:tc>
        <w:tc>
          <w:tcPr>
            <w:tcW w:w="0" w:type="dxa"/>
            <w:vAlign w:val="bottom"/>
          </w:tcPr>
          <w:p>
            <w:pPr>
              <w:spacing w:after="0"/>
              <w:rPr>
                <w:sz w:val="1"/>
                <w:szCs w:val="1"/>
                <w:color w:val="auto"/>
              </w:rPr>
            </w:pPr>
          </w:p>
        </w:tc>
      </w:tr>
      <w:tr>
        <w:trPr>
          <w:trHeight w:val="168"/>
        </w:trPr>
        <w:tc>
          <w:tcPr>
            <w:tcW w:w="2540" w:type="dxa"/>
            <w:vAlign w:val="bottom"/>
            <w:gridSpan w:val="2"/>
            <w:vMerge w:val="continue"/>
            <w:shd w:val="clear" w:color="auto" w:fill="CCEEFF"/>
          </w:tcPr>
          <w:p>
            <w:pPr>
              <w:spacing w:after="0"/>
              <w:rPr>
                <w:sz w:val="14"/>
                <w:szCs w:val="14"/>
                <w:color w:val="auto"/>
              </w:rPr>
            </w:pPr>
          </w:p>
        </w:tc>
        <w:tc>
          <w:tcPr>
            <w:tcW w:w="8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PCD</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Purchased Financial Assets with Credit Deterioration</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PPP</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Paycheck Protection Program</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REO</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 Owned</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ROA</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Return on Assets</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ROE</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Equity</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 of Use</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RSU</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SBA</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Small Business Administration</w:t>
            </w: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SBIC</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Small Business Investment Companies</w:t>
            </w:r>
          </w:p>
        </w:tc>
        <w:tc>
          <w:tcPr>
            <w:tcW w:w="0" w:type="dxa"/>
            <w:vAlign w:val="bottom"/>
          </w:tcPr>
          <w:p>
            <w:pPr>
              <w:spacing w:after="0"/>
              <w:rPr>
                <w:sz w:val="1"/>
                <w:szCs w:val="1"/>
                <w:color w:val="auto"/>
              </w:rPr>
            </w:pPr>
          </w:p>
        </w:tc>
      </w:tr>
      <w:tr>
        <w:trPr>
          <w:trHeight w:val="213"/>
        </w:trPr>
        <w:tc>
          <w:tcPr>
            <w:tcW w:w="2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and Exchange Commission</w:t>
            </w:r>
          </w:p>
        </w:tc>
        <w:tc>
          <w:tcPr>
            <w:tcW w:w="0" w:type="dxa"/>
            <w:vAlign w:val="bottom"/>
          </w:tcPr>
          <w:p>
            <w:pPr>
              <w:spacing w:after="0"/>
              <w:rPr>
                <w:sz w:val="1"/>
                <w:szCs w:val="1"/>
                <w:color w:val="auto"/>
              </w:rPr>
            </w:pPr>
          </w:p>
        </w:tc>
      </w:tr>
      <w:tr>
        <w:trPr>
          <w:trHeight w:val="168"/>
        </w:trPr>
        <w:tc>
          <w:tcPr>
            <w:tcW w:w="2540" w:type="dxa"/>
            <w:vAlign w:val="bottom"/>
            <w:gridSpan w:val="2"/>
            <w:vMerge w:val="continue"/>
            <w:shd w:val="clear" w:color="auto" w:fill="CCEEFF"/>
          </w:tcPr>
          <w:p>
            <w:pPr>
              <w:spacing w:after="0"/>
              <w:rPr>
                <w:sz w:val="14"/>
                <w:szCs w:val="14"/>
                <w:color w:val="auto"/>
              </w:rPr>
            </w:pPr>
          </w:p>
        </w:tc>
        <w:tc>
          <w:tcPr>
            <w:tcW w:w="8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TBA</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To-be-announced</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TDR</w:t>
            </w: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Troubled Debt Restructuring</w:t>
            </w:r>
          </w:p>
        </w:tc>
        <w:tc>
          <w:tcPr>
            <w:tcW w:w="0" w:type="dxa"/>
            <w:vAlign w:val="bottom"/>
          </w:tcPr>
          <w:p>
            <w:pPr>
              <w:spacing w:after="0"/>
              <w:rPr>
                <w:sz w:val="1"/>
                <w:szCs w:val="1"/>
                <w:color w:val="auto"/>
              </w:rPr>
            </w:pPr>
          </w:p>
        </w:tc>
      </w:tr>
      <w:tr>
        <w:trPr>
          <w:trHeight w:val="210"/>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US GAAP</w:t>
            </w:r>
          </w:p>
        </w:tc>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Generally Accepted Accounting Principles in the United States</w:t>
            </w:r>
          </w:p>
        </w:tc>
        <w:tc>
          <w:tcPr>
            <w:tcW w:w="0" w:type="dxa"/>
            <w:vAlign w:val="bottom"/>
          </w:tcPr>
          <w:p>
            <w:pPr>
              <w:spacing w:after="0"/>
              <w:rPr>
                <w:sz w:val="1"/>
                <w:szCs w:val="1"/>
                <w:color w:val="auto"/>
              </w:rPr>
            </w:pPr>
          </w:p>
        </w:tc>
      </w:tr>
      <w:tr>
        <w:trPr>
          <w:trHeight w:val="162"/>
        </w:trPr>
        <w:tc>
          <w:tcPr>
            <w:tcW w:w="2540" w:type="dxa"/>
            <w:vAlign w:val="bottom"/>
            <w:gridSpan w:val="2"/>
            <w:vMerge w:val="continue"/>
          </w:tcPr>
          <w:p>
            <w:pPr>
              <w:spacing w:after="0"/>
              <w:rPr>
                <w:sz w:val="14"/>
                <w:szCs w:val="14"/>
                <w:color w:val="auto"/>
              </w:rPr>
            </w:pPr>
          </w:p>
        </w:tc>
        <w:tc>
          <w:tcPr>
            <w:tcW w:w="8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3"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2"/>
        </w:trPr>
        <w:tc>
          <w:tcPr>
            <w:tcW w:w="8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8560" w:type="dxa"/>
            <w:vAlign w:val="bottom"/>
          </w:tcPr>
          <w:p>
            <w:pPr>
              <w:ind w:left="3680"/>
              <w:spacing w:after="0"/>
              <w:rPr>
                <w:sz w:val="20"/>
                <w:szCs w:val="20"/>
                <w:color w:val="auto"/>
              </w:rPr>
            </w:pPr>
            <w:r>
              <w:rPr>
                <w:rFonts w:ascii="Times New Roman" w:cs="Times New Roman" w:eastAsia="Times New Roman" w:hAnsi="Times New Roman"/>
                <w:sz w:val="16"/>
                <w:szCs w:val="16"/>
                <w:color w:val="auto"/>
              </w:rPr>
              <w:t>HOMETRUST BANCSHARES, INC. AND SUBSIDIARY</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4680"/>
              <w:spacing w:after="0"/>
              <w:rPr>
                <w:sz w:val="20"/>
                <w:szCs w:val="20"/>
                <w:color w:val="auto"/>
              </w:rPr>
            </w:pPr>
            <w:r>
              <w:rPr>
                <w:rFonts w:ascii="Times New Roman" w:cs="Times New Roman" w:eastAsia="Times New Roman" w:hAnsi="Times New Roman"/>
                <w:sz w:val="16"/>
                <w:szCs w:val="16"/>
                <w:color w:val="auto"/>
              </w:rPr>
              <w:t>Consolidated Balance Sheets</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60" w:type="dxa"/>
            <w:vAlign w:val="bottom"/>
          </w:tcPr>
          <w:p>
            <w:pPr>
              <w:ind w:left="4200"/>
              <w:spacing w:after="0"/>
              <w:rPr>
                <w:sz w:val="20"/>
                <w:szCs w:val="20"/>
                <w:color w:val="auto"/>
              </w:rPr>
            </w:pPr>
            <w:r>
              <w:rPr>
                <w:rFonts w:ascii="Times New Roman" w:cs="Times New Roman" w:eastAsia="Times New Roman" w:hAnsi="Times New Roman"/>
                <w:sz w:val="16"/>
                <w:szCs w:val="16"/>
                <w:color w:val="auto"/>
              </w:rPr>
              <w:t>(Dollars in thousands, except per share data)</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8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4"/>
                <w:szCs w:val="14"/>
                <w:color w:val="auto"/>
              </w:rPr>
            </w:pPr>
          </w:p>
        </w:tc>
        <w:tc>
          <w:tcPr>
            <w:tcW w:w="11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0" w:type="dxa"/>
            <w:vAlign w:val="bottom"/>
          </w:tcPr>
          <w:p>
            <w:pPr>
              <w:spacing w:after="0"/>
              <w:rPr>
                <w:sz w:val="1"/>
                <w:szCs w:val="1"/>
                <w:color w:val="auto"/>
              </w:rPr>
            </w:pPr>
          </w:p>
        </w:tc>
      </w:tr>
      <w:tr>
        <w:trPr>
          <w:trHeight w:val="214"/>
        </w:trPr>
        <w:tc>
          <w:tcPr>
            <w:tcW w:w="85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20,910</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84,209</w:t>
            </w:r>
          </w:p>
        </w:tc>
        <w:tc>
          <w:tcPr>
            <w:tcW w:w="0" w:type="dxa"/>
            <w:vAlign w:val="bottom"/>
          </w:tcPr>
          <w:p>
            <w:pPr>
              <w:spacing w:after="0"/>
              <w:rPr>
                <w:sz w:val="1"/>
                <w:szCs w:val="1"/>
                <w:color w:val="auto"/>
              </w:rPr>
            </w:pPr>
          </w:p>
        </w:tc>
      </w:tr>
      <w:tr>
        <w:trPr>
          <w:trHeight w:val="207"/>
        </w:trPr>
        <w:tc>
          <w:tcPr>
            <w:tcW w:w="8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165,034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105,119</w:t>
            </w:r>
          </w:p>
        </w:tc>
        <w:tc>
          <w:tcPr>
            <w:tcW w:w="0" w:type="dxa"/>
            <w:vAlign w:val="bottom"/>
          </w:tcPr>
          <w:p>
            <w:pPr>
              <w:spacing w:after="0"/>
              <w:rPr>
                <w:sz w:val="1"/>
                <w:szCs w:val="1"/>
                <w:color w:val="auto"/>
              </w:rPr>
            </w:pPr>
          </w:p>
        </w:tc>
      </w:tr>
      <w:tr>
        <w:trPr>
          <w:trHeight w:val="212"/>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paper, net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194,427</w:t>
            </w:r>
          </w:p>
        </w:tc>
        <w:tc>
          <w:tcPr>
            <w:tcW w:w="0" w:type="dxa"/>
            <w:vAlign w:val="bottom"/>
          </w:tcPr>
          <w:p>
            <w:pPr>
              <w:spacing w:after="0"/>
              <w:rPr>
                <w:sz w:val="1"/>
                <w:szCs w:val="1"/>
                <w:color w:val="auto"/>
              </w:rPr>
            </w:pPr>
          </w:p>
        </w:tc>
      </w:tr>
      <w:tr>
        <w:trPr>
          <w:trHeight w:val="213"/>
        </w:trPr>
        <w:tc>
          <w:tcPr>
            <w:tcW w:w="8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Certificates of deposit in other banks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23,551</w:t>
            </w:r>
          </w:p>
        </w:tc>
        <w:tc>
          <w:tcPr>
            <w:tcW w:w="0" w:type="dxa"/>
            <w:vAlign w:val="bottom"/>
          </w:tcPr>
          <w:p>
            <w:pPr>
              <w:spacing w:after="0"/>
              <w:rPr>
                <w:sz w:val="1"/>
                <w:szCs w:val="1"/>
                <w:color w:val="auto"/>
              </w:rPr>
            </w:pPr>
          </w:p>
        </w:tc>
      </w:tr>
      <w:tr>
        <w:trPr>
          <w:trHeight w:val="165"/>
        </w:trPr>
        <w:tc>
          <w:tcPr>
            <w:tcW w:w="85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Debt securities available for sale, at fair value (amortized cost of $152,790 and $130,099 at December 31, 2022 and June 30,</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147,942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126,978</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2022, respectively)</w:t>
            </w: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FHLB and FRB stock</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9,326</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SBIC investments, at cost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12,758</w:t>
            </w:r>
          </w:p>
        </w:tc>
        <w:tc>
          <w:tcPr>
            <w:tcW w:w="0" w:type="dxa"/>
            <w:vAlign w:val="bottom"/>
          </w:tcPr>
          <w:p>
            <w:pPr>
              <w:spacing w:after="0"/>
              <w:rPr>
                <w:sz w:val="1"/>
                <w:szCs w:val="1"/>
                <w:color w:val="auto"/>
              </w:rPr>
            </w:pPr>
          </w:p>
        </w:tc>
      </w:tr>
      <w:tr>
        <w:trPr>
          <w:trHeight w:val="213"/>
        </w:trPr>
        <w:tc>
          <w:tcPr>
            <w:tcW w:w="8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held for sale, at fair value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held for sale, at the lower of cost or fair value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79,307</w:t>
            </w:r>
          </w:p>
        </w:tc>
        <w:tc>
          <w:tcPr>
            <w:tcW w:w="0" w:type="dxa"/>
            <w:vAlign w:val="bottom"/>
          </w:tcPr>
          <w:p>
            <w:pPr>
              <w:spacing w:after="0"/>
              <w:rPr>
                <w:sz w:val="1"/>
                <w:szCs w:val="1"/>
                <w:color w:val="auto"/>
              </w:rPr>
            </w:pPr>
          </w:p>
        </w:tc>
      </w:tr>
      <w:tr>
        <w:trPr>
          <w:trHeight w:val="213"/>
        </w:trPr>
        <w:tc>
          <w:tcPr>
            <w:tcW w:w="8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loans, net of deferred loan fees and costs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2,985,623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2,769,295</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for credit losses – loans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(34,690)</w:t>
            </w:r>
          </w:p>
        </w:tc>
        <w:tc>
          <w:tcPr>
            <w:tcW w:w="0" w:type="dxa"/>
            <w:vAlign w:val="bottom"/>
          </w:tcPr>
          <w:p>
            <w:pPr>
              <w:spacing w:after="0"/>
              <w:rPr>
                <w:sz w:val="1"/>
                <w:szCs w:val="1"/>
                <w:color w:val="auto"/>
              </w:rPr>
            </w:pPr>
          </w:p>
        </w:tc>
      </w:tr>
      <w:tr>
        <w:trPr>
          <w:trHeight w:val="207"/>
        </w:trPr>
        <w:tc>
          <w:tcPr>
            <w:tcW w:w="85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Loans, net</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2,946,764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2,734,605</w:t>
            </w:r>
          </w:p>
        </w:tc>
        <w:tc>
          <w:tcPr>
            <w:tcW w:w="0" w:type="dxa"/>
            <w:vAlign w:val="bottom"/>
          </w:tcPr>
          <w:p>
            <w:pPr>
              <w:spacing w:after="0"/>
              <w:rPr>
                <w:sz w:val="1"/>
                <w:szCs w:val="1"/>
                <w:color w:val="auto"/>
              </w:rPr>
            </w:pPr>
          </w:p>
        </w:tc>
      </w:tr>
      <w:tr>
        <w:trPr>
          <w:trHeight w:val="212"/>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69,094</w:t>
            </w:r>
          </w:p>
        </w:tc>
        <w:tc>
          <w:tcPr>
            <w:tcW w:w="0" w:type="dxa"/>
            <w:vAlign w:val="bottom"/>
          </w:tcPr>
          <w:p>
            <w:pPr>
              <w:spacing w:after="0"/>
              <w:rPr>
                <w:sz w:val="1"/>
                <w:szCs w:val="1"/>
                <w:color w:val="auto"/>
              </w:rPr>
            </w:pPr>
          </w:p>
        </w:tc>
      </w:tr>
      <w:tr>
        <w:trPr>
          <w:trHeight w:val="213"/>
        </w:trPr>
        <w:tc>
          <w:tcPr>
            <w:tcW w:w="8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8,573</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11,487</w:t>
            </w:r>
          </w:p>
        </w:tc>
        <w:tc>
          <w:tcPr>
            <w:tcW w:w="0" w:type="dxa"/>
            <w:vAlign w:val="bottom"/>
          </w:tcPr>
          <w:p>
            <w:pPr>
              <w:spacing w:after="0"/>
              <w:rPr>
                <w:sz w:val="1"/>
                <w:szCs w:val="1"/>
                <w:color w:val="auto"/>
              </w:rPr>
            </w:pPr>
          </w:p>
        </w:tc>
      </w:tr>
      <w:tr>
        <w:trPr>
          <w:trHeight w:val="213"/>
        </w:trPr>
        <w:tc>
          <w:tcPr>
            <w:tcW w:w="8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BOLI</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95,281</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25,638</w:t>
            </w:r>
          </w:p>
        </w:tc>
        <w:tc>
          <w:tcPr>
            <w:tcW w:w="0" w:type="dxa"/>
            <w:vAlign w:val="bottom"/>
          </w:tcPr>
          <w:p>
            <w:pPr>
              <w:spacing w:after="0"/>
              <w:rPr>
                <w:sz w:val="1"/>
                <w:szCs w:val="1"/>
                <w:color w:val="auto"/>
              </w:rPr>
            </w:pPr>
          </w:p>
        </w:tc>
      </w:tr>
      <w:tr>
        <w:trPr>
          <w:trHeight w:val="213"/>
        </w:trPr>
        <w:tc>
          <w:tcPr>
            <w:tcW w:w="8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Core deposit intangibles, net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48,918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52,967</w:t>
            </w:r>
          </w:p>
        </w:tc>
        <w:tc>
          <w:tcPr>
            <w:tcW w:w="0" w:type="dxa"/>
            <w:vAlign w:val="bottom"/>
          </w:tcPr>
          <w:p>
            <w:pPr>
              <w:spacing w:after="0"/>
              <w:rPr>
                <w:sz w:val="1"/>
                <w:szCs w:val="1"/>
                <w:color w:val="auto"/>
              </w:rPr>
            </w:pPr>
          </w:p>
        </w:tc>
      </w:tr>
      <w:tr>
        <w:trPr>
          <w:trHeight w:val="212"/>
        </w:trPr>
        <w:tc>
          <w:tcPr>
            <w:tcW w:w="85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3,647,015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3,549,204</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3,099,761</w:t>
            </w:r>
          </w:p>
        </w:tc>
        <w:tc>
          <w:tcPr>
            <w:tcW w:w="0" w:type="dxa"/>
            <w:vAlign w:val="bottom"/>
          </w:tcPr>
          <w:p>
            <w:pPr>
              <w:spacing w:after="0"/>
              <w:rPr>
                <w:sz w:val="1"/>
                <w:szCs w:val="1"/>
                <w:color w:val="auto"/>
              </w:rPr>
            </w:pPr>
          </w:p>
        </w:tc>
      </w:tr>
      <w:tr>
        <w:trPr>
          <w:trHeight w:val="213"/>
        </w:trPr>
        <w:tc>
          <w:tcPr>
            <w:tcW w:w="8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60,598</w:t>
            </w:r>
          </w:p>
        </w:tc>
        <w:tc>
          <w:tcPr>
            <w:tcW w:w="0" w:type="dxa"/>
            <w:vAlign w:val="bottom"/>
          </w:tcPr>
          <w:p>
            <w:pPr>
              <w:spacing w:after="0"/>
              <w:rPr>
                <w:sz w:val="1"/>
                <w:szCs w:val="1"/>
                <w:color w:val="auto"/>
              </w:rPr>
            </w:pPr>
          </w:p>
        </w:tc>
      </w:tr>
      <w:tr>
        <w:trPr>
          <w:trHeight w:val="207"/>
        </w:trPr>
        <w:tc>
          <w:tcPr>
            <w:tcW w:w="85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3,236,860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3,160,359</w:t>
            </w:r>
          </w:p>
        </w:tc>
        <w:tc>
          <w:tcPr>
            <w:tcW w:w="0" w:type="dxa"/>
            <w:vAlign w:val="bottom"/>
          </w:tcPr>
          <w:p>
            <w:pPr>
              <w:spacing w:after="0"/>
              <w:rPr>
                <w:sz w:val="1"/>
                <w:szCs w:val="1"/>
                <w:color w:val="auto"/>
              </w:rPr>
            </w:pPr>
          </w:p>
        </w:tc>
      </w:tr>
      <w:tr>
        <w:trPr>
          <w:trHeight w:val="19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 See Note 9</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 or outstanding</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5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$0.01 par value, 60,000,000 shares authorized, 15,673,595 shares</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3"/>
        </w:trPr>
        <w:tc>
          <w:tcPr>
            <w:tcW w:w="8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issued and outstanding at December 31, 2022; 15,591,466 at June 30, 2022</w:t>
            </w: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126,106</w:t>
            </w:r>
          </w:p>
        </w:tc>
        <w:tc>
          <w:tcPr>
            <w:tcW w:w="0" w:type="dxa"/>
            <w:vAlign w:val="bottom"/>
          </w:tcPr>
          <w:p>
            <w:pPr>
              <w:spacing w:after="0"/>
              <w:rPr>
                <w:sz w:val="1"/>
                <w:szCs w:val="1"/>
                <w:color w:val="auto"/>
              </w:rPr>
            </w:pPr>
          </w:p>
        </w:tc>
      </w:tr>
      <w:tr>
        <w:trPr>
          <w:trHeight w:val="213"/>
        </w:trPr>
        <w:tc>
          <w:tcPr>
            <w:tcW w:w="8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270,276</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Unearned ESOP shares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(5,290)</w:t>
            </w:r>
          </w:p>
        </w:tc>
        <w:tc>
          <w:tcPr>
            <w:tcW w:w="0" w:type="dxa"/>
            <w:vAlign w:val="bottom"/>
          </w:tcPr>
          <w:p>
            <w:pPr>
              <w:spacing w:after="0"/>
              <w:rPr>
                <w:sz w:val="1"/>
                <w:szCs w:val="1"/>
                <w:color w:val="auto"/>
              </w:rPr>
            </w:pPr>
          </w:p>
        </w:tc>
      </w:tr>
      <w:tr>
        <w:trPr>
          <w:trHeight w:val="213"/>
        </w:trPr>
        <w:tc>
          <w:tcPr>
            <w:tcW w:w="8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410,155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388,845</w:t>
            </w:r>
          </w:p>
        </w:tc>
        <w:tc>
          <w:tcPr>
            <w:tcW w:w="0" w:type="dxa"/>
            <w:vAlign w:val="bottom"/>
          </w:tcPr>
          <w:p>
            <w:pPr>
              <w:spacing w:after="0"/>
              <w:rPr>
                <w:sz w:val="1"/>
                <w:szCs w:val="1"/>
                <w:color w:val="auto"/>
              </w:rPr>
            </w:pPr>
          </w:p>
        </w:tc>
      </w:tr>
      <w:tr>
        <w:trPr>
          <w:trHeight w:val="212"/>
        </w:trPr>
        <w:tc>
          <w:tcPr>
            <w:tcW w:w="85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3,647,015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3,549,204</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color w:val="auto"/>
        </w:rPr>
        <w:t>Consolidated Statements of Income</w:t>
      </w:r>
    </w:p>
    <w:p>
      <w:pPr>
        <w:spacing w:after="0" w:line="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40" w:type="dxa"/>
            <w:vAlign w:val="bottom"/>
          </w:tcPr>
          <w:p>
            <w:pPr>
              <w:spacing w:after="0"/>
              <w:rPr>
                <w:sz w:val="18"/>
                <w:szCs w:val="18"/>
                <w:color w:val="auto"/>
              </w:rPr>
            </w:pPr>
          </w:p>
        </w:tc>
        <w:tc>
          <w:tcPr>
            <w:tcW w:w="226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7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9"/>
                <w:szCs w:val="19"/>
                <w:color w:val="auto"/>
              </w:rPr>
            </w:pPr>
          </w:p>
        </w:tc>
      </w:tr>
      <w:tr>
        <w:trPr>
          <w:trHeight w:val="211"/>
        </w:trPr>
        <w:tc>
          <w:tcPr>
            <w:tcW w:w="57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and dividend income</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38,995</w:t>
            </w:r>
          </w:p>
        </w:tc>
        <w:tc>
          <w:tcPr>
            <w:tcW w:w="8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26,929</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72,240</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54,824</w:t>
            </w:r>
          </w:p>
        </w:tc>
      </w:tr>
      <w:tr>
        <w:trPr>
          <w:trHeight w:val="21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r>
      <w:tr>
        <w:trPr>
          <w:trHeight w:val="213"/>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r>
      <w:tr>
        <w:trPr>
          <w:trHeight w:val="21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investments and interest-bearing deposits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r>
      <w:tr>
        <w:trPr>
          <w:trHeight w:val="207"/>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interest and dividend income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41,402</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28,488</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77,329</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57,793</w:t>
            </w:r>
          </w:p>
        </w:tc>
      </w:tr>
      <w:tr>
        <w:trPr>
          <w:trHeight w:val="26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13"/>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2,877</w:t>
            </w:r>
          </w:p>
        </w:tc>
      </w:tr>
      <w:tr>
        <w:trPr>
          <w:trHeight w:val="21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Borrowings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7"/>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interest expense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2,918</w:t>
            </w:r>
          </w:p>
        </w:tc>
      </w:tr>
      <w:tr>
        <w:trPr>
          <w:trHeight w:val="21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72,065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54,875</w:t>
            </w:r>
          </w:p>
        </w:tc>
      </w:tr>
      <w:tr>
        <w:trPr>
          <w:trHeight w:val="214"/>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(benefit) for credit losses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(3,960)</w:t>
            </w:r>
          </w:p>
        </w:tc>
      </w:tr>
      <w:tr>
        <w:trPr>
          <w:trHeight w:val="211"/>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 after provision (benefit) for credit losses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35,305</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65,838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58,835</w:t>
            </w:r>
          </w:p>
        </w:tc>
      </w:tr>
      <w:tr>
        <w:trPr>
          <w:trHeight w:val="261"/>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1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 charges and fees on deposit accounts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4,885</w:t>
            </w:r>
          </w:p>
        </w:tc>
      </w:tr>
      <w:tr>
        <w:trPr>
          <w:trHeight w:val="213"/>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 income and fees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w:t>
            </w:r>
          </w:p>
        </w:tc>
      </w:tr>
      <w:tr>
        <w:trPr>
          <w:trHeight w:val="21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 of loans held for sale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7,958</w:t>
            </w:r>
          </w:p>
        </w:tc>
      </w:tr>
      <w:tr>
        <w:trPr>
          <w:trHeight w:val="213"/>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BOLI income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r>
      <w:tr>
        <w:trPr>
          <w:trHeight w:val="21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w:t>
            </w:r>
          </w:p>
        </w:tc>
      </w:tr>
      <w:tr>
        <w:trPr>
          <w:trHeight w:val="213"/>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sale of premises and equipment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w:t>
            </w:r>
          </w:p>
        </w:tc>
      </w:tr>
      <w:tr>
        <w:trPr>
          <w:trHeight w:val="207"/>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noninterest income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8,454</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20,445</w:t>
            </w:r>
          </w:p>
        </w:tc>
      </w:tr>
      <w:tr>
        <w:trPr>
          <w:trHeight w:val="26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13"/>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29,299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30,152</w:t>
            </w:r>
          </w:p>
        </w:tc>
      </w:tr>
      <w:tr>
        <w:trPr>
          <w:trHeight w:val="21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Occupancy expense,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4,718</w:t>
            </w:r>
          </w:p>
        </w:tc>
      </w:tr>
      <w:tr>
        <w:trPr>
          <w:trHeight w:val="213"/>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Computer services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5,130</w:t>
            </w:r>
          </w:p>
        </w:tc>
      </w:tr>
      <w:tr>
        <w:trPr>
          <w:trHeight w:val="21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Telephone, postage, and supplies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w:t>
            </w:r>
          </w:p>
        </w:tc>
      </w:tr>
      <w:tr>
        <w:trPr>
          <w:trHeight w:val="213"/>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Marketing and advertising</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w:t>
            </w:r>
          </w:p>
        </w:tc>
      </w:tr>
      <w:tr>
        <w:trPr>
          <w:trHeight w:val="21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 insurance premiums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r>
      <w:tr>
        <w:trPr>
          <w:trHeight w:val="213"/>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Core deposit intangible 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1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Merger-related 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4,490</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7,953</w:t>
            </w:r>
          </w:p>
        </w:tc>
      </w:tr>
      <w:tr>
        <w:trPr>
          <w:trHeight w:val="212"/>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26,076</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52,165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51,838</w:t>
            </w:r>
          </w:p>
        </w:tc>
      </w:tr>
      <w:tr>
        <w:trPr>
          <w:trHeight w:val="207"/>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before income taxes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27,442</w:t>
            </w: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5,837</w:t>
            </w:r>
          </w:p>
        </w:tc>
      </w:tr>
      <w:tr>
        <w:trPr>
          <w:trHeight w:val="212"/>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13,658</w:t>
            </w: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11,078</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22,857</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21,605</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64"/>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67"/>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19"/>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3"/>
        </w:trPr>
        <w:tc>
          <w:tcPr>
            <w:tcW w:w="5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8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73"/>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Average shares outstanding</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13"/>
        </w:trPr>
        <w:tc>
          <w:tcPr>
            <w:tcW w:w="5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15,028,179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15,632,283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15,008,092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15,696,765</w:t>
            </w:r>
          </w:p>
        </w:tc>
      </w:tr>
      <w:tr>
        <w:trPr>
          <w:trHeight w:val="219"/>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15,161,153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15,989,606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15,145,701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16,057,607</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Comprehensive Income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8"/>
                <w:szCs w:val="18"/>
                <w:color w:val="auto"/>
              </w:rPr>
            </w:pPr>
          </w:p>
        </w:tc>
        <w:tc>
          <w:tcPr>
            <w:tcW w:w="212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9"/>
        </w:trPr>
        <w:tc>
          <w:tcPr>
            <w:tcW w:w="6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33"/>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6080" w:type="dxa"/>
            <w:vAlign w:val="bottom"/>
            <w:vMerge w:val="continue"/>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13,658</w:t>
            </w:r>
          </w:p>
        </w:tc>
        <w:tc>
          <w:tcPr>
            <w:tcW w:w="12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11,078</w:t>
            </w:r>
          </w:p>
        </w:tc>
        <w:tc>
          <w:tcPr>
            <w:tcW w:w="12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22,857</w:t>
            </w:r>
          </w:p>
        </w:tc>
        <w:tc>
          <w:tcPr>
            <w:tcW w:w="10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21,605</w:t>
            </w:r>
          </w:p>
        </w:tc>
        <w:tc>
          <w:tcPr>
            <w:tcW w:w="0" w:type="dxa"/>
            <w:vAlign w:val="bottom"/>
          </w:tcPr>
          <w:p>
            <w:pPr>
              <w:spacing w:after="0"/>
              <w:rPr>
                <w:sz w:val="1"/>
                <w:szCs w:val="1"/>
                <w:color w:val="auto"/>
              </w:rPr>
            </w:pPr>
          </w:p>
        </w:tc>
      </w:tr>
      <w:tr>
        <w:trPr>
          <w:trHeight w:val="27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6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Unrealized holding gains (losses) on debt securities available for sale</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Gains (losses) arising during the period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0" w:type="dxa"/>
            <w:vAlign w:val="bottom"/>
          </w:tcPr>
          <w:p>
            <w:pPr>
              <w:spacing w:after="0"/>
              <w:rPr>
                <w:sz w:val="1"/>
                <w:szCs w:val="1"/>
                <w:color w:val="auto"/>
              </w:rPr>
            </w:pPr>
          </w:p>
        </w:tc>
      </w:tr>
      <w:tr>
        <w:trPr>
          <w:trHeight w:val="213"/>
        </w:trPr>
        <w:tc>
          <w:tcPr>
            <w:tcW w:w="6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0" w:type="dxa"/>
            <w:vAlign w:val="bottom"/>
          </w:tcPr>
          <w:p>
            <w:pPr>
              <w:spacing w:after="0"/>
              <w:rPr>
                <w:sz w:val="1"/>
                <w:szCs w:val="1"/>
                <w:color w:val="auto"/>
              </w:rPr>
            </w:pPr>
          </w:p>
        </w:tc>
      </w:tr>
      <w:tr>
        <w:trPr>
          <w:trHeight w:val="207"/>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13,974</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10,399</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21,527</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20,691</w:t>
            </w: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ind w:left="3680"/>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color w:val="auto"/>
        </w:rPr>
        <w:t>Consolidated Statements of Changes in Stockholders' Equity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6"/>
          </w:tcPr>
          <w:p>
            <w:pPr>
              <w:jc w:val="center"/>
              <w:ind w:left="639"/>
              <w:spacing w:after="0"/>
              <w:rPr>
                <w:sz w:val="20"/>
                <w:szCs w:val="20"/>
                <w:color w:val="auto"/>
              </w:rPr>
            </w:pPr>
            <w:r>
              <w:rPr>
                <w:rFonts w:ascii="Times New Roman" w:cs="Times New Roman" w:eastAsia="Times New Roman" w:hAnsi="Times New Roman"/>
                <w:sz w:val="16"/>
                <w:szCs w:val="16"/>
                <w:color w:val="auto"/>
              </w:rPr>
              <w:t>(Dollars in thousands)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2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8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9"/>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Three Months Ended December 31, 2022</w:t>
            </w: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20" w:type="dxa"/>
            <w:vAlign w:val="bottom"/>
          </w:tcPr>
          <w:p>
            <w:pPr>
              <w:spacing w:after="0"/>
              <w:rPr>
                <w:sz w:val="13"/>
                <w:szCs w:val="13"/>
                <w:color w:val="auto"/>
              </w:rPr>
            </w:pPr>
          </w:p>
        </w:tc>
        <w:tc>
          <w:tcPr>
            <w:tcW w:w="14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14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21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820" w:type="dxa"/>
            <w:vAlign w:val="bottom"/>
          </w:tcPr>
          <w:p>
            <w:pPr>
              <w:spacing w:after="0"/>
              <w:rPr>
                <w:sz w:val="11"/>
                <w:szCs w:val="11"/>
                <w:color w:val="auto"/>
              </w:rPr>
            </w:pPr>
          </w:p>
        </w:tc>
        <w:tc>
          <w:tcPr>
            <w:tcW w:w="2160" w:type="dxa"/>
            <w:vAlign w:val="bottom"/>
            <w:tcBorders>
              <w:bottom w:val="single" w:sz="8" w:color="auto"/>
            </w:tcBorders>
            <w:gridSpan w:val="4"/>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5"/>
                <w:szCs w:val="15"/>
                <w:b w:val="1"/>
                <w:bCs w:val="1"/>
                <w:color w:val="auto"/>
              </w:rPr>
              <w:t>Paid In</w:t>
            </w:r>
          </w:p>
        </w:tc>
        <w:tc>
          <w:tcPr>
            <w:tcW w:w="1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32" w:lineRule="exact"/>
              <w:rPr>
                <w:sz w:val="20"/>
                <w:szCs w:val="20"/>
                <w:color w:val="auto"/>
              </w:rPr>
            </w:pPr>
            <w:r>
              <w:rPr>
                <w:rFonts w:ascii="Times New Roman" w:cs="Times New Roman" w:eastAsia="Times New Roman" w:hAnsi="Times New Roman"/>
                <w:sz w:val="15"/>
                <w:szCs w:val="15"/>
                <w:b w:val="1"/>
                <w:bCs w:val="1"/>
                <w:color w:val="auto"/>
              </w:rPr>
              <w:t>ESOP</w:t>
            </w: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20" w:type="dxa"/>
            <w:vAlign w:val="bottom"/>
          </w:tcPr>
          <w:p>
            <w:pPr>
              <w:spacing w:after="0"/>
              <w:rPr>
                <w:sz w:val="11"/>
                <w:szCs w:val="11"/>
                <w:color w:val="auto"/>
              </w:rPr>
            </w:pPr>
          </w:p>
        </w:tc>
        <w:tc>
          <w:tcPr>
            <w:tcW w:w="1140" w:type="dxa"/>
            <w:vAlign w:val="bottom"/>
          </w:tcPr>
          <w:p>
            <w:pPr>
              <w:jc w:val="center"/>
              <w:ind w:right="39"/>
              <w:spacing w:after="0" w:line="132"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24"/>
        </w:trPr>
        <w:tc>
          <w:tcPr>
            <w:tcW w:w="2820" w:type="dxa"/>
            <w:vAlign w:val="bottom"/>
          </w:tcPr>
          <w:p>
            <w:pPr>
              <w:spacing w:after="0"/>
              <w:rPr>
                <w:sz w:val="19"/>
                <w:szCs w:val="19"/>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9"/>
                <w:szCs w:val="19"/>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9"/>
                <w:szCs w:val="19"/>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tcPr>
          <w:p>
            <w:pPr>
              <w:spacing w:after="0"/>
              <w:rPr>
                <w:sz w:val="19"/>
                <w:szCs w:val="19"/>
                <w:color w:val="auto"/>
              </w:rPr>
            </w:pPr>
          </w:p>
        </w:tc>
        <w:tc>
          <w:tcPr>
            <w:tcW w:w="11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15,632,348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127,153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278,120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396,222</w:t>
            </w:r>
          </w:p>
        </w:tc>
        <w:tc>
          <w:tcPr>
            <w:tcW w:w="0" w:type="dxa"/>
            <w:vAlign w:val="bottom"/>
          </w:tcPr>
          <w:p>
            <w:pPr>
              <w:spacing w:after="0"/>
              <w:rPr>
                <w:sz w:val="1"/>
                <w:szCs w:val="1"/>
                <w:color w:val="auto"/>
              </w:rPr>
            </w:pPr>
          </w:p>
        </w:tc>
      </w:tr>
      <w:tr>
        <w:trPr>
          <w:trHeight w:val="213"/>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13,658</w:t>
            </w:r>
          </w:p>
        </w:tc>
        <w:tc>
          <w:tcPr>
            <w:tcW w:w="0" w:type="dxa"/>
            <w:vAlign w:val="bottom"/>
          </w:tcPr>
          <w:p>
            <w:pPr>
              <w:spacing w:after="0"/>
              <w:rPr>
                <w:sz w:val="1"/>
                <w:szCs w:val="1"/>
                <w:color w:val="auto"/>
              </w:rPr>
            </w:pPr>
          </w:p>
        </w:tc>
      </w:tr>
      <w:tr>
        <w:trPr>
          <w:trHeight w:val="165"/>
        </w:trPr>
        <w:tc>
          <w:tcPr>
            <w:tcW w:w="282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Cash dividends declared on common</w:t>
            </w: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stock, $0.10/ common share</w:t>
            </w:r>
          </w:p>
        </w:tc>
        <w:tc>
          <w:tcPr>
            <w:tcW w:w="11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Forfeited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Exercised stock options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0" w:type="dxa"/>
            <w:vAlign w:val="bottom"/>
          </w:tcPr>
          <w:p>
            <w:pPr>
              <w:spacing w:after="0"/>
              <w:rPr>
                <w:sz w:val="1"/>
                <w:szCs w:val="1"/>
                <w:color w:val="auto"/>
              </w:rPr>
            </w:pPr>
          </w:p>
        </w:tc>
      </w:tr>
      <w:tr>
        <w:trPr>
          <w:trHeight w:val="213"/>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13"/>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34"/>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15,673,595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410,155</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8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9"/>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Three Months Ended December 31, 2021</w:t>
            </w: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20" w:type="dxa"/>
            <w:vAlign w:val="bottom"/>
          </w:tcPr>
          <w:p>
            <w:pPr>
              <w:spacing w:after="0"/>
              <w:rPr>
                <w:sz w:val="14"/>
                <w:szCs w:val="14"/>
                <w:color w:val="auto"/>
              </w:rPr>
            </w:pPr>
          </w:p>
        </w:tc>
        <w:tc>
          <w:tcPr>
            <w:tcW w:w="140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4"/>
                <w:szCs w:val="14"/>
                <w:color w:val="auto"/>
              </w:rPr>
            </w:pPr>
          </w:p>
        </w:tc>
        <w:tc>
          <w:tcPr>
            <w:tcW w:w="114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21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820" w:type="dxa"/>
            <w:vAlign w:val="bottom"/>
          </w:tcPr>
          <w:p>
            <w:pPr>
              <w:spacing w:after="0"/>
              <w:rPr>
                <w:sz w:val="10"/>
                <w:szCs w:val="10"/>
                <w:color w:val="auto"/>
              </w:rPr>
            </w:pPr>
          </w:p>
        </w:tc>
        <w:tc>
          <w:tcPr>
            <w:tcW w:w="216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Paid In</w:t>
            </w:r>
          </w:p>
        </w:tc>
        <w:tc>
          <w:tcPr>
            <w:tcW w:w="140" w:type="dxa"/>
            <w:vAlign w:val="bottom"/>
          </w:tcPr>
          <w:p>
            <w:pPr>
              <w:spacing w:after="0"/>
              <w:rPr>
                <w:sz w:val="10"/>
                <w:szCs w:val="10"/>
                <w:color w:val="auto"/>
              </w:rPr>
            </w:pPr>
          </w:p>
        </w:tc>
        <w:tc>
          <w:tcPr>
            <w:tcW w:w="94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ESOP</w:t>
            </w:r>
          </w:p>
        </w:tc>
        <w:tc>
          <w:tcPr>
            <w:tcW w:w="120" w:type="dxa"/>
            <w:vAlign w:val="bottom"/>
          </w:tcPr>
          <w:p>
            <w:pPr>
              <w:spacing w:after="0"/>
              <w:rPr>
                <w:sz w:val="10"/>
                <w:szCs w:val="10"/>
                <w:color w:val="auto"/>
              </w:rPr>
            </w:pPr>
          </w:p>
        </w:tc>
        <w:tc>
          <w:tcPr>
            <w:tcW w:w="140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0"/>
                <w:szCs w:val="10"/>
                <w:color w:val="auto"/>
              </w:rPr>
            </w:pPr>
          </w:p>
        </w:tc>
        <w:tc>
          <w:tcPr>
            <w:tcW w:w="1140" w:type="dxa"/>
            <w:vAlign w:val="bottom"/>
            <w:vMerge w:val="restart"/>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
                <w:szCs w:val="2"/>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8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11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16,307,658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151,425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249,331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396,511</w:t>
            </w:r>
          </w:p>
        </w:tc>
        <w:tc>
          <w:tcPr>
            <w:tcW w:w="0" w:type="dxa"/>
            <w:vAlign w:val="bottom"/>
          </w:tcPr>
          <w:p>
            <w:pPr>
              <w:spacing w:after="0"/>
              <w:rPr>
                <w:sz w:val="1"/>
                <w:szCs w:val="1"/>
                <w:color w:val="auto"/>
              </w:rPr>
            </w:pPr>
          </w:p>
        </w:tc>
      </w:tr>
      <w:tr>
        <w:trPr>
          <w:trHeight w:val="213"/>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11,078</w:t>
            </w:r>
          </w:p>
        </w:tc>
        <w:tc>
          <w:tcPr>
            <w:tcW w:w="0" w:type="dxa"/>
            <w:vAlign w:val="bottom"/>
          </w:tcPr>
          <w:p>
            <w:pPr>
              <w:spacing w:after="0"/>
              <w:rPr>
                <w:sz w:val="1"/>
                <w:szCs w:val="1"/>
                <w:color w:val="auto"/>
              </w:rPr>
            </w:pPr>
          </w:p>
        </w:tc>
      </w:tr>
      <w:tr>
        <w:trPr>
          <w:trHeight w:val="165"/>
        </w:trPr>
        <w:tc>
          <w:tcPr>
            <w:tcW w:w="282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Cash dividends declared on common</w:t>
            </w: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stock, $0.09/common share</w:t>
            </w:r>
          </w:p>
        </w:tc>
        <w:tc>
          <w:tcPr>
            <w:tcW w:w="11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(299,397)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(8,970)</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Forfeited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Exercised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301,600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4,342</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0" w:type="dxa"/>
            <w:vAlign w:val="bottom"/>
          </w:tcPr>
          <w:p>
            <w:pPr>
              <w:spacing w:after="0"/>
              <w:rPr>
                <w:sz w:val="1"/>
                <w:szCs w:val="1"/>
                <w:color w:val="auto"/>
              </w:rPr>
            </w:pPr>
          </w:p>
        </w:tc>
      </w:tr>
      <w:tr>
        <w:trPr>
          <w:trHeight w:val="213"/>
        </w:trPr>
        <w:tc>
          <w:tcPr>
            <w:tcW w:w="2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0" w:type="dxa"/>
            <w:vAlign w:val="bottom"/>
          </w:tcPr>
          <w:p>
            <w:pPr>
              <w:spacing w:after="0"/>
              <w:rPr>
                <w:sz w:val="1"/>
                <w:szCs w:val="1"/>
                <w:color w:val="auto"/>
              </w:rPr>
            </w:pPr>
          </w:p>
        </w:tc>
      </w:tr>
      <w:tr>
        <w:trPr>
          <w:trHeight w:val="207"/>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16,303,461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147,552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258,986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401,746</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89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Changes in Stockholders' Equity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8"/>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Six Months Ended December 31, 2022</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4"/>
                <w:szCs w:val="14"/>
                <w:color w:val="auto"/>
              </w:rPr>
            </w:pPr>
          </w:p>
        </w:tc>
        <w:tc>
          <w:tcPr>
            <w:tcW w:w="114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1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860" w:type="dxa"/>
            <w:vAlign w:val="bottom"/>
          </w:tcPr>
          <w:p>
            <w:pPr>
              <w:spacing w:after="0"/>
              <w:rPr>
                <w:sz w:val="10"/>
                <w:szCs w:val="10"/>
                <w:color w:val="auto"/>
              </w:rPr>
            </w:pPr>
          </w:p>
        </w:tc>
        <w:tc>
          <w:tcPr>
            <w:tcW w:w="216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Paid In</w:t>
            </w:r>
          </w:p>
        </w:tc>
        <w:tc>
          <w:tcPr>
            <w:tcW w:w="140" w:type="dxa"/>
            <w:vAlign w:val="bottom"/>
          </w:tcPr>
          <w:p>
            <w:pPr>
              <w:spacing w:after="0"/>
              <w:rPr>
                <w:sz w:val="10"/>
                <w:szCs w:val="10"/>
                <w:color w:val="auto"/>
              </w:rPr>
            </w:pPr>
          </w:p>
        </w:tc>
        <w:tc>
          <w:tcPr>
            <w:tcW w:w="94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0"/>
                <w:szCs w:val="10"/>
                <w:color w:val="auto"/>
              </w:rPr>
            </w:pPr>
          </w:p>
        </w:tc>
        <w:tc>
          <w:tcPr>
            <w:tcW w:w="94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ESOP</w:t>
            </w:r>
          </w:p>
        </w:tc>
        <w:tc>
          <w:tcPr>
            <w:tcW w:w="140" w:type="dxa"/>
            <w:vAlign w:val="bottom"/>
          </w:tcPr>
          <w:p>
            <w:pPr>
              <w:spacing w:after="0"/>
              <w:rPr>
                <w:sz w:val="10"/>
                <w:szCs w:val="10"/>
                <w:color w:val="auto"/>
              </w:rPr>
            </w:pPr>
          </w:p>
        </w:tc>
        <w:tc>
          <w:tcPr>
            <w:tcW w:w="140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0"/>
                <w:szCs w:val="10"/>
                <w:color w:val="auto"/>
              </w:rPr>
            </w:pPr>
          </w:p>
        </w:tc>
        <w:tc>
          <w:tcPr>
            <w:tcW w:w="1140" w:type="dxa"/>
            <w:vAlign w:val="bottom"/>
            <w:vMerge w:val="restart"/>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
                <w:szCs w:val="2"/>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8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11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15,591,466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126,106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388,845</w:t>
            </w:r>
          </w:p>
        </w:tc>
        <w:tc>
          <w:tcPr>
            <w:tcW w:w="0" w:type="dxa"/>
            <w:vAlign w:val="bottom"/>
          </w:tcPr>
          <w:p>
            <w:pPr>
              <w:spacing w:after="0"/>
              <w:rPr>
                <w:sz w:val="1"/>
                <w:szCs w:val="1"/>
                <w:color w:val="auto"/>
              </w:rPr>
            </w:pPr>
          </w:p>
        </w:tc>
      </w:tr>
      <w:tr>
        <w:trPr>
          <w:trHeight w:val="21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22,857</w:t>
            </w:r>
          </w:p>
        </w:tc>
        <w:tc>
          <w:tcPr>
            <w:tcW w:w="0" w:type="dxa"/>
            <w:vAlign w:val="bottom"/>
          </w:tcPr>
          <w:p>
            <w:pPr>
              <w:spacing w:after="0"/>
              <w:rPr>
                <w:sz w:val="1"/>
                <w:szCs w:val="1"/>
                <w:color w:val="auto"/>
              </w:rPr>
            </w:pPr>
          </w:p>
        </w:tc>
      </w:tr>
      <w:tr>
        <w:trPr>
          <w:trHeight w:val="165"/>
        </w:trPr>
        <w:tc>
          <w:tcPr>
            <w:tcW w:w="28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Cash dividends declared on common</w:t>
            </w: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stock, $0.19/common share</w:t>
            </w:r>
          </w:p>
        </w:tc>
        <w:tc>
          <w:tcPr>
            <w:tcW w:w="11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Forfeited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Retired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Granted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 issued for RSUs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Exercised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0" w:type="dxa"/>
            <w:vAlign w:val="bottom"/>
          </w:tcPr>
          <w:p>
            <w:pPr>
              <w:spacing w:after="0"/>
              <w:rPr>
                <w:sz w:val="1"/>
                <w:szCs w:val="1"/>
                <w:color w:val="auto"/>
              </w:rPr>
            </w:pPr>
          </w:p>
        </w:tc>
      </w:tr>
      <w:tr>
        <w:trPr>
          <w:trHeight w:val="21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0" w:type="dxa"/>
            <w:vAlign w:val="bottom"/>
          </w:tcPr>
          <w:p>
            <w:pPr>
              <w:spacing w:after="0"/>
              <w:rPr>
                <w:sz w:val="1"/>
                <w:szCs w:val="1"/>
                <w:color w:val="auto"/>
              </w:rPr>
            </w:pPr>
          </w:p>
        </w:tc>
      </w:tr>
      <w:tr>
        <w:trPr>
          <w:trHeight w:val="20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15,673,595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128,486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290,271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410,155</w:t>
            </w: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2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8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8"/>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Six Months Ended December 31, 2021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4"/>
                <w:szCs w:val="14"/>
                <w:color w:val="auto"/>
              </w:rPr>
            </w:pPr>
          </w:p>
        </w:tc>
        <w:tc>
          <w:tcPr>
            <w:tcW w:w="114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1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860" w:type="dxa"/>
            <w:vAlign w:val="bottom"/>
          </w:tcPr>
          <w:p>
            <w:pPr>
              <w:spacing w:after="0"/>
              <w:rPr>
                <w:sz w:val="10"/>
                <w:szCs w:val="10"/>
                <w:color w:val="auto"/>
              </w:rPr>
            </w:pPr>
          </w:p>
        </w:tc>
        <w:tc>
          <w:tcPr>
            <w:tcW w:w="216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Paid In</w:t>
            </w:r>
          </w:p>
        </w:tc>
        <w:tc>
          <w:tcPr>
            <w:tcW w:w="140" w:type="dxa"/>
            <w:vAlign w:val="bottom"/>
          </w:tcPr>
          <w:p>
            <w:pPr>
              <w:spacing w:after="0"/>
              <w:rPr>
                <w:sz w:val="10"/>
                <w:szCs w:val="10"/>
                <w:color w:val="auto"/>
              </w:rPr>
            </w:pPr>
          </w:p>
        </w:tc>
        <w:tc>
          <w:tcPr>
            <w:tcW w:w="94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0"/>
                <w:szCs w:val="10"/>
                <w:color w:val="auto"/>
              </w:rPr>
            </w:pPr>
          </w:p>
        </w:tc>
        <w:tc>
          <w:tcPr>
            <w:tcW w:w="94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ESOP</w:t>
            </w:r>
          </w:p>
        </w:tc>
        <w:tc>
          <w:tcPr>
            <w:tcW w:w="140" w:type="dxa"/>
            <w:vAlign w:val="bottom"/>
          </w:tcPr>
          <w:p>
            <w:pPr>
              <w:spacing w:after="0"/>
              <w:rPr>
                <w:sz w:val="10"/>
                <w:szCs w:val="10"/>
                <w:color w:val="auto"/>
              </w:rPr>
            </w:pPr>
          </w:p>
        </w:tc>
        <w:tc>
          <w:tcPr>
            <w:tcW w:w="140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0"/>
                <w:szCs w:val="10"/>
                <w:color w:val="auto"/>
              </w:rPr>
            </w:pPr>
          </w:p>
        </w:tc>
        <w:tc>
          <w:tcPr>
            <w:tcW w:w="1140" w:type="dxa"/>
            <w:vAlign w:val="bottom"/>
            <w:vMerge w:val="restart"/>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
                <w:szCs w:val="2"/>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8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11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16,636,483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396,519</w:t>
            </w:r>
          </w:p>
        </w:tc>
        <w:tc>
          <w:tcPr>
            <w:tcW w:w="0" w:type="dxa"/>
            <w:vAlign w:val="bottom"/>
          </w:tcPr>
          <w:p>
            <w:pPr>
              <w:spacing w:after="0"/>
              <w:rPr>
                <w:sz w:val="1"/>
                <w:szCs w:val="1"/>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21,605</w:t>
            </w:r>
          </w:p>
        </w:tc>
        <w:tc>
          <w:tcPr>
            <w:tcW w:w="0" w:type="dxa"/>
            <w:vAlign w:val="bottom"/>
          </w:tcPr>
          <w:p>
            <w:pPr>
              <w:spacing w:after="0"/>
              <w:rPr>
                <w:sz w:val="1"/>
                <w:szCs w:val="1"/>
                <w:color w:val="auto"/>
              </w:rPr>
            </w:pPr>
          </w:p>
        </w:tc>
      </w:tr>
      <w:tr>
        <w:trPr>
          <w:trHeight w:val="165"/>
        </w:trPr>
        <w:tc>
          <w:tcPr>
            <w:tcW w:w="28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Cash dividends declared on common</w:t>
            </w: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stock, $0.17/common share</w:t>
            </w:r>
          </w:p>
        </w:tc>
        <w:tc>
          <w:tcPr>
            <w:tcW w:w="11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(675,832)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(19,403)</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Forfeited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Retired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Granted restricted stock</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 issued for RSUs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Exercised stock options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347,800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5,042</w:t>
            </w:r>
          </w:p>
        </w:tc>
        <w:tc>
          <w:tcPr>
            <w:tcW w:w="0" w:type="dxa"/>
            <w:vAlign w:val="bottom"/>
          </w:tcPr>
          <w:p>
            <w:pPr>
              <w:spacing w:after="0"/>
              <w:rPr>
                <w:sz w:val="1"/>
                <w:szCs w:val="1"/>
                <w:color w:val="auto"/>
              </w:rPr>
            </w:pPr>
          </w:p>
        </w:tc>
      </w:tr>
      <w:tr>
        <w:trPr>
          <w:trHeight w:val="21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0" w:type="dxa"/>
            <w:vAlign w:val="bottom"/>
          </w:tcPr>
          <w:p>
            <w:pPr>
              <w:spacing w:after="0"/>
              <w:rPr>
                <w:sz w:val="1"/>
                <w:szCs w:val="1"/>
                <w:color w:val="auto"/>
              </w:rPr>
            </w:pPr>
          </w:p>
        </w:tc>
      </w:tr>
      <w:tr>
        <w:trPr>
          <w:trHeight w:val="213"/>
        </w:trPr>
        <w:tc>
          <w:tcPr>
            <w:tcW w:w="2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0" w:type="dxa"/>
            <w:vAlign w:val="bottom"/>
          </w:tcPr>
          <w:p>
            <w:pPr>
              <w:spacing w:after="0"/>
              <w:rPr>
                <w:sz w:val="1"/>
                <w:szCs w:val="1"/>
                <w:color w:val="auto"/>
              </w:rPr>
            </w:pPr>
          </w:p>
        </w:tc>
      </w:tr>
      <w:tr>
        <w:trPr>
          <w:trHeight w:val="234"/>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16,303,461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401,746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9"/>
        </w:trPr>
        <w:tc>
          <w:tcPr>
            <w:tcW w:w="8440" w:type="dxa"/>
            <w:vAlign w:val="bottom"/>
          </w:tcPr>
          <w:p>
            <w:pPr>
              <w:jc w:val="center"/>
              <w:ind w:left="2419"/>
              <w:spacing w:after="0"/>
              <w:rPr>
                <w:sz w:val="20"/>
                <w:szCs w:val="20"/>
                <w:color w:val="auto"/>
              </w:rPr>
            </w:pPr>
            <w:r>
              <w:rPr>
                <w:rFonts w:ascii="Times New Roman" w:cs="Times New Roman" w:eastAsia="Times New Roman" w:hAnsi="Times New Roman"/>
                <w:sz w:val="16"/>
                <w:szCs w:val="16"/>
                <w:color w:val="auto"/>
              </w:rPr>
              <w:t>HOMETRUST BANCSHARES, INC. AND SUBSIDIARY</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8440" w:type="dxa"/>
            <w:vAlign w:val="bottom"/>
          </w:tcPr>
          <w:p>
            <w:pPr>
              <w:jc w:val="center"/>
              <w:ind w:left="2419"/>
              <w:spacing w:after="0"/>
              <w:rPr>
                <w:sz w:val="20"/>
                <w:szCs w:val="20"/>
                <w:color w:val="auto"/>
              </w:rPr>
            </w:pPr>
            <w:r>
              <w:rPr>
                <w:rFonts w:ascii="Times New Roman" w:cs="Times New Roman" w:eastAsia="Times New Roman" w:hAnsi="Times New Roman"/>
                <w:sz w:val="16"/>
                <w:szCs w:val="16"/>
                <w:color w:val="auto"/>
              </w:rPr>
              <w:t>Consolidated Statements of Cash Flows</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8440" w:type="dxa"/>
            <w:vAlign w:val="bottom"/>
          </w:tcPr>
          <w:p>
            <w:pPr>
              <w:jc w:val="center"/>
              <w:ind w:left="2399"/>
              <w:spacing w:after="0"/>
              <w:rPr>
                <w:sz w:val="20"/>
                <w:szCs w:val="20"/>
                <w:color w:val="auto"/>
              </w:rPr>
            </w:pPr>
            <w:r>
              <w:rPr>
                <w:rFonts w:ascii="Times New Roman" w:cs="Times New Roman" w:eastAsia="Times New Roman" w:hAnsi="Times New Roman"/>
                <w:sz w:val="16"/>
                <w:szCs w:val="16"/>
                <w:color w:val="auto"/>
              </w:rPr>
              <w:t>(Dollars in thousands)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8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00" w:type="dxa"/>
            <w:vAlign w:val="bottom"/>
          </w:tcPr>
          <w:p>
            <w:pPr>
              <w:spacing w:after="0"/>
              <w:rPr>
                <w:sz w:val="19"/>
                <w:szCs w:val="19"/>
                <w:color w:val="auto"/>
              </w:rPr>
            </w:pPr>
          </w:p>
        </w:tc>
      </w:tr>
      <w:tr>
        <w:trPr>
          <w:trHeight w:val="219"/>
        </w:trPr>
        <w:tc>
          <w:tcPr>
            <w:tcW w:w="8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09"/>
        </w:trPr>
        <w:tc>
          <w:tcPr>
            <w:tcW w:w="8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7"/>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21,605</w:t>
            </w:r>
          </w:p>
        </w:tc>
      </w:tr>
      <w:tr>
        <w:trPr>
          <w:trHeight w:val="213"/>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w:t>
            </w: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of premises and equipment and equipment for operating leases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4,782</w:t>
            </w:r>
          </w:p>
        </w:tc>
      </w:tr>
      <w:tr>
        <w:trPr>
          <w:trHeight w:val="21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5,154</w:t>
            </w: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accretion of purchase accounting adjustments on loans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w:t>
            </w:r>
          </w:p>
        </w:tc>
      </w:tr>
      <w:tr>
        <w:trPr>
          <w:trHeight w:val="21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amortization and accretion</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w:t>
            </w: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(gain) from sale of premises and equipment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sale of REO</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incurred at the end of operating leases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BOLI income</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sale of loans held for sale</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(7,958)</w:t>
            </w:r>
          </w:p>
        </w:tc>
      </w:tr>
      <w:tr>
        <w:trPr>
          <w:trHeight w:val="21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Origination of loans held for sale</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(301,898)</w:t>
            </w: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loans held for sale</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115,754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303,911</w:t>
            </w:r>
          </w:p>
        </w:tc>
      </w:tr>
      <w:tr>
        <w:trPr>
          <w:trHeight w:val="21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New deferred loan origination fees, net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 accrued interest receivable and other assets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w:t>
            </w:r>
          </w:p>
        </w:tc>
      </w:tr>
      <w:tr>
        <w:trPr>
          <w:trHeight w:val="21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ESOP compensation expense</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r>
      <w:tr>
        <w:trPr>
          <w:trHeight w:val="21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Decrease in other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(3,391)</w:t>
            </w:r>
          </w:p>
        </w:tc>
      </w:tr>
      <w:tr>
        <w:trPr>
          <w:trHeight w:val="207"/>
        </w:trPr>
        <w:tc>
          <w:tcPr>
            <w:tcW w:w="8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20,431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17,353</w:t>
            </w:r>
          </w:p>
        </w:tc>
      </w:tr>
      <w:tr>
        <w:trPr>
          <w:trHeight w:val="212"/>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debt securities available for sale</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(7,011)</w:t>
            </w:r>
          </w:p>
        </w:tc>
      </w:tr>
      <w:tr>
        <w:trPr>
          <w:trHeight w:val="21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maturities, calls and paydowns of debt securities available for sale</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40,042</w:t>
            </w:r>
          </w:p>
        </w:tc>
      </w:tr>
      <w:tr>
        <w:trPr>
          <w:trHeight w:val="213"/>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commercial paper</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(210,292)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(291,652)</w:t>
            </w:r>
          </w:p>
        </w:tc>
      </w:tr>
      <w:tr>
        <w:trPr>
          <w:trHeight w:val="21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maturities and calls of commercial paper</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227,499</w:t>
            </w:r>
          </w:p>
        </w:tc>
      </w:tr>
      <w:tr>
        <w:trPr>
          <w:trHeight w:val="213"/>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CDs in other banks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r>
      <w:tr>
        <w:trPr>
          <w:trHeight w:val="21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maturities of CDs in other banks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7,116</w:t>
            </w:r>
          </w:p>
        </w:tc>
      </w:tr>
      <w:tr>
        <w:trPr>
          <w:trHeight w:val="213"/>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(purchases) redemptions of FHLB and FRB stock</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w:t>
            </w:r>
          </w:p>
        </w:tc>
      </w:tr>
      <w:tr>
        <w:trPr>
          <w:trHeight w:val="21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(purchases) redemptions of SBIC investments, at cost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w:t>
            </w:r>
          </w:p>
        </w:tc>
      </w:tr>
      <w:tr>
        <w:trPr>
          <w:trHeight w:val="213"/>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(increase) decrease in loans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34,131</w:t>
            </w:r>
          </w:p>
        </w:tc>
      </w:tr>
      <w:tr>
        <w:trPr>
          <w:trHeight w:val="21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BOLI</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3"/>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equipment for operating leases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w:t>
            </w:r>
          </w:p>
        </w:tc>
      </w:tr>
      <w:tr>
        <w:trPr>
          <w:trHeight w:val="21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 of equipment for operating leases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w:t>
            </w:r>
          </w:p>
        </w:tc>
      </w:tr>
      <w:tr>
        <w:trPr>
          <w:trHeight w:val="213"/>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premises and equipment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(4,886)</w:t>
            </w:r>
          </w:p>
        </w:tc>
      </w:tr>
      <w:tr>
        <w:trPr>
          <w:trHeight w:val="21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sale of premises and equipment and assets held for sale</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w:t>
            </w:r>
          </w:p>
        </w:tc>
      </w:tr>
      <w:tr>
        <w:trPr>
          <w:trHeight w:val="213"/>
        </w:trPr>
        <w:tc>
          <w:tcPr>
            <w:tcW w:w="8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Proceeds from sale of REO</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12"/>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7,463</w:t>
            </w:r>
          </w:p>
        </w:tc>
      </w:tr>
      <w:tr>
        <w:trPr>
          <w:trHeight w:val="207"/>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increase (decrease) in deposits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43,150</w:t>
            </w:r>
          </w:p>
        </w:tc>
      </w:tr>
      <w:tr>
        <w:trPr>
          <w:trHeight w:val="213"/>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increase (decrease) in short-term borrowings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(97,000)</w:t>
            </w:r>
          </w:p>
        </w:tc>
      </w:tr>
      <w:tr>
        <w:trPr>
          <w:trHeight w:val="21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long-term borrowings</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r>
      <w:tr>
        <w:trPr>
          <w:trHeight w:val="213"/>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(19,403)</w:t>
            </w:r>
          </w:p>
        </w:tc>
      </w:tr>
      <w:tr>
        <w:trPr>
          <w:trHeight w:val="21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dividends paid</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w:t>
            </w:r>
          </w:p>
        </w:tc>
      </w:tr>
      <w:tr>
        <w:trPr>
          <w:trHeight w:val="213"/>
        </w:trPr>
        <w:tc>
          <w:tcPr>
            <w:tcW w:w="8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Retired stock</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Exercised stock options</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5,042</w:t>
            </w:r>
          </w:p>
        </w:tc>
      </w:tr>
      <w:tr>
        <w:trPr>
          <w:trHeight w:val="207"/>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76,367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(40,980)</w:t>
            </w:r>
          </w:p>
        </w:tc>
      </w:tr>
      <w:tr>
        <w:trPr>
          <w:trHeight w:val="212"/>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59,915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(16,164)</w:t>
            </w:r>
          </w:p>
        </w:tc>
      </w:tr>
      <w:tr>
        <w:trPr>
          <w:trHeight w:val="214"/>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50,990</w:t>
            </w:r>
          </w:p>
        </w:tc>
      </w:tr>
      <w:tr>
        <w:trPr>
          <w:trHeight w:val="236"/>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165,034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34,826</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480" w:top="895" w:right="479" w:bottom="1440" w:gutter="0" w:footer="0" w:header="0"/>
        </w:sect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895" w:right="47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89"/>
        </w:trPr>
        <w:tc>
          <w:tcPr>
            <w:tcW w:w="8720" w:type="dxa"/>
            <w:vAlign w:val="bottom"/>
          </w:tcPr>
          <w:p>
            <w:pPr>
              <w:jc w:val="center"/>
              <w:ind w:left="2459"/>
              <w:spacing w:after="0"/>
              <w:rPr>
                <w:sz w:val="20"/>
                <w:szCs w:val="20"/>
                <w:color w:val="auto"/>
              </w:rPr>
            </w:pPr>
            <w:r>
              <w:rPr>
                <w:rFonts w:ascii="Times New Roman" w:cs="Times New Roman" w:eastAsia="Times New Roman" w:hAnsi="Times New Roman"/>
                <w:sz w:val="16"/>
                <w:szCs w:val="16"/>
                <w:color w:val="auto"/>
              </w:rPr>
              <w:t>HOMETRUST BANCSHARES, INC. AND SUBSIDIARY</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8720" w:type="dxa"/>
            <w:vAlign w:val="bottom"/>
          </w:tcPr>
          <w:p>
            <w:pPr>
              <w:jc w:val="center"/>
              <w:ind w:left="2439"/>
              <w:spacing w:after="0"/>
              <w:rPr>
                <w:sz w:val="20"/>
                <w:szCs w:val="20"/>
                <w:color w:val="auto"/>
              </w:rPr>
            </w:pPr>
            <w:r>
              <w:rPr>
                <w:rFonts w:ascii="Times New Roman" w:cs="Times New Roman" w:eastAsia="Times New Roman" w:hAnsi="Times New Roman"/>
                <w:sz w:val="16"/>
                <w:szCs w:val="16"/>
                <w:color w:val="auto"/>
              </w:rPr>
              <w:t>Consolidated Statements of Cash Flows (Continued)</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8720" w:type="dxa"/>
            <w:vAlign w:val="bottom"/>
          </w:tcPr>
          <w:p>
            <w:pPr>
              <w:jc w:val="center"/>
              <w:ind w:left="2439"/>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8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00" w:type="dxa"/>
            <w:vAlign w:val="bottom"/>
          </w:tcPr>
          <w:p>
            <w:pPr>
              <w:spacing w:after="0"/>
              <w:rPr>
                <w:sz w:val="19"/>
                <w:szCs w:val="19"/>
                <w:color w:val="auto"/>
              </w:rPr>
            </w:pPr>
          </w:p>
        </w:tc>
      </w:tr>
      <w:tr>
        <w:trPr>
          <w:trHeight w:val="219"/>
        </w:trPr>
        <w:tc>
          <w:tcPr>
            <w:tcW w:w="8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20"/>
        </w:trPr>
        <w:tc>
          <w:tcPr>
            <w:tcW w:w="8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8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3"/>
        </w:trPr>
        <w:tc>
          <w:tcPr>
            <w:tcW w:w="8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8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Interest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w:t>
            </w:r>
          </w:p>
        </w:tc>
      </w:tr>
      <w:tr>
        <w:trPr>
          <w:trHeight w:val="213"/>
        </w:trPr>
        <w:tc>
          <w:tcPr>
            <w:tcW w:w="8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Income taxes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53"/>
        </w:trPr>
        <w:tc>
          <w:tcPr>
            <w:tcW w:w="8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transactions: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13"/>
        </w:trPr>
        <w:tc>
          <w:tcPr>
            <w:tcW w:w="8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Unrealized loss in value of debt securities available for sale, net of income taxes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r>
      <w:tr>
        <w:trPr>
          <w:trHeight w:val="219"/>
        </w:trPr>
        <w:tc>
          <w:tcPr>
            <w:tcW w:w="8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Transfer of loans held for sale to loans held for investment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11,629</w:t>
            </w:r>
          </w:p>
        </w:tc>
      </w:tr>
      <w:tr>
        <w:trPr>
          <w:trHeight w:val="213"/>
        </w:trPr>
        <w:tc>
          <w:tcPr>
            <w:tcW w:w="8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Transfer of loans held for investment to loans held for sale</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12,827</w:t>
            </w:r>
          </w:p>
        </w:tc>
      </w:tr>
      <w:tr>
        <w:trPr>
          <w:trHeight w:val="219"/>
        </w:trPr>
        <w:tc>
          <w:tcPr>
            <w:tcW w:w="8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ROU asset and lease liabilities for operating lease accounting</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r>
      <w:tr>
        <w:trPr>
          <w:trHeight w:val="210"/>
        </w:trPr>
        <w:tc>
          <w:tcPr>
            <w:tcW w:w="8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Transfer of premises and equipment to assets held for sale (included in other assets)</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00" w:hanging="292"/>
        <w:spacing w:after="0"/>
        <w:tabs>
          <w:tab w:leader="none" w:pos="30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Summary of Significant Accounting Policies</w:t>
      </w:r>
    </w:p>
    <w:p>
      <w:pPr>
        <w:spacing w:after="0" w:line="6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consolidated financial statements presented in this report include the accounts of HomeTrust Bancshares, Inc., a Maryland corporation ("HomeTrust"), and its wholly-owned subsidiary, HomeTrust Bank (the "Bank"). As used throughout this report, the term the "Company" refers to HomeTrust and the Bank, its consolidated subsidiary, unless the context otherwise requires.</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accompanying unaudited consolidated financial statements have been prepared in accordance with US GAAP for interim financial information and in accordance with the instructions to Form 10-Q and Article 10 of Regulation S-X as promulgated by the SEC. Accordingly, they do not include all the information and footnotes required by US GAAP for complete financial statements. In the opinion of management, all adjustments (consisting of normal recurring accruals) considered necessary for a fair presentation of the financial position and results of operations for the periods presented have been included. It is recommended that these unaudited interim consolidated financial statements be read in conjunction with the audited consolidated financial statements and notes thereto included in the Company's Annual Report on Form 10-K for the year ended June 30, 2022 ("2022 Form 10-K") filed with the SEC on September 12, 2022. The results of operations for the six months ended December 31, 2022 are not necessarily indicative of results that may be expected for the entire fiscal year ending June 30, 2023.</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amounts reported in the financial statements. Various elements of the Company's accounting policies, by their nature, are inherently subject to estimation techniques, valuation assumptions, and other subjective assessments. In particular, management has identified the determination of the provision and the ACL on loans as an accounting policy that, due to the judgments, estimates and assumptions inherent in this policy, is critical to an understanding of the Company's financial statements. This policy and the related judgments, estimates and assumptions is described in greater detail in the notes to the Consolidated Financial Statements and Management's Discussion and Analysis of Financial Condition and Results of Operations (Critical Accounting Policies) in the 2022 Form 10-K. Management believes that the judgments, estimates, and assumptions used in the preparation of the financial statements are appropriate based on the factual circumstances at the time. However, given the sensitivity of the financial statements to this critical accounting policy, the use of other judgments, estimates, and assumptions could result in material differences in the Company's results of operations or financial condition. Further, subsequent changes in economic or market conditions could have a material impact on this estimate and the Company's financial condition and operating results in future periods.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Reclassifications</w:t>
      </w:r>
    </w:p>
    <w:p>
      <w:pPr>
        <w:spacing w:after="0" w:line="7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To maintain consistency and comparability, certain amounts from prior periods have been reclassified to conform to current period presentation with no effect on net income or stockholders’ equity as previously reported.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Loans Held for Sale</w:t>
      </w:r>
    </w:p>
    <w:p>
      <w:pPr>
        <w:spacing w:after="0" w:line="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Residential mortgages originated and intended for sale in the secondary market through mandatory delivery contracts are recorded at fair value (fair value option elected). The fair value includes the servicing value of the loans as well as any accrued interest, with changes in value recorded through the gain on sale of loans held for sale. Conversely, residential mortgages originated and intended for sale in the secondary market on a best efforts basis are sold with servicing released and carried at the lower of cost or fair value as determined by outstanding commitments from investors. Net unrealized losses, if any, are recorded as a valuation allowance and charged to earnings.</w:t>
      </w:r>
    </w:p>
    <w:p>
      <w:pPr>
        <w:spacing w:after="0" w:line="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Company originates loans guaranteed by the SBA for the purchase of businesses, business startups, business expansion, equipment, and working capital. All SBA loans are underwritten and documented as prescribed by the SBA. SBA loans are generally fully amortizing and have maturity dates and amortizations of up to 25 years. SBA loans are classified as held for sale and are carried at the lower of cost or fair value. The guaranteed portion of the loan is sold and the servicing rights are retained. A gain is recorded for any premium received in excess of the carrying value of the net assets transferred in the sale and is included in the gain on sale of loans held for sale. The portion of SBA loans that are retained are adjusted to fair value and reclassified to total loans, net of deferred costs (loans held for investment). The net value of the retained loans is included in the appropriate loan classification for disclosure purposes.</w:t>
      </w:r>
    </w:p>
    <w:p>
      <w:pPr>
        <w:spacing w:after="0" w:line="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HELOCs held for sale are originated through a third party in various states outside the Company's geographic footprint, but are underwritten to the Company's underwriting guidelines. The loans are generally held for sale by the Company over a 90 to 180 day period and are serviced by the third party. The loans are marketed by the third party to investors in pools and once sold the Company recognizes a gain or loss on the sale which is recorded through the gain on sale of loans held for sale.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Derivative Instruments and Hedging</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Company holds and issues derivative financial instruments such as IRLCs and other forward sale commitments. IRLCs are subject to pricing risk primarily related to fluctuations in market interest rates. To hedge the interest rate risk on certain IRLCs, the Company uses forward sale commitments such as TBAs or mandatory delivery commitments with investors. Management expects these forward sale commitments to experience changes in fair value opposite to the changes in fair value of the IRLCs, thereby reducing earnings volatility. Forward sale commitments are also used to hedge the interest rate risk on mortgage loans held for sale that are not committed to investors and still subject to price risk. If the mandatory delivery commitments are not fulfilled, the Company pays a pair-off fee. Best effort forward sale commitments are also executed with investors, whereby certain loans are locked with a borrower and simultaneously committed to an investor at a fixed price. If the best effort IRLC does not fund, there is no obligation to fulfill the investor commitment.</w:t>
      </w:r>
    </w:p>
    <w:p>
      <w:pPr>
        <w:spacing w:after="0" w:line="7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considers various factors and strategies in determining what portion of the IRLCs and uncommitted mortgage loans held for sale to economically hedge. All derivative instruments are recognized as other assets or other liabilities on the consolidated statements of financial condition at their fair value. Changes in the fair value of the derivative instruments and gains and losses resulting from the pairing-</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out of forward sale commitments are recognized in the gain on sale of loans held for sale on the consolidated statements of income in the period in which they occur. The Company accounts for all derivative instruments as free-standing derivative instruments and does not designate any for hedge accounting.</w:t>
      </w:r>
    </w:p>
    <w:p>
      <w:pPr>
        <w:spacing w:after="0" w:line="68" w:lineRule="exact"/>
        <w:rPr>
          <w:sz w:val="20"/>
          <w:szCs w:val="20"/>
          <w:color w:val="auto"/>
        </w:rPr>
      </w:pPr>
    </w:p>
    <w:p>
      <w:pPr>
        <w:ind w:left="300" w:hanging="292"/>
        <w:spacing w:after="0"/>
        <w:tabs>
          <w:tab w:leader="none" w:pos="30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Recent Accounting Pronouncements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12529"/>
        </w:rPr>
        <w:t>Newly Issued but Not Yet Effective Accounting Standards</w:t>
      </w:r>
    </w:p>
    <w:p>
      <w:pPr>
        <w:spacing w:after="0" w:line="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ASU 2022-02, "Financial Instruments—Credit Losses (Topic 326): Troubled Debt Restructurings and Vintage Disclosures." </w:t>
      </w:r>
      <w:r>
        <w:rPr>
          <w:rFonts w:ascii="Times New Roman" w:cs="Times New Roman" w:eastAsia="Times New Roman" w:hAnsi="Times New Roman"/>
          <w:sz w:val="16"/>
          <w:szCs w:val="16"/>
          <w:color w:val="auto"/>
        </w:rPr>
        <w:t>This ASU eliminates the TDR recognition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measurement guidance and requires that an entity evaluate whether the modification represents a new loan or a continuation of an existing loan. The amendment also adjusts the disclosures related to modifications and requires entities to disclose current-period gross write-offs by year of origination within the existing vintage disclosures. The amendments in this ASU are effective for fiscal years beginning after December 15, 2022, and interim periods within those fiscal years and early adoption is permitted. The Company is currently evaluating the impact of adopting the new guidance on the consolidated financial statements.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3.  Debt Securities</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Debt securities available for sale consist of the following at the dates indicated:</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060" w:type="dxa"/>
            <w:vAlign w:val="bottom"/>
          </w:tcPr>
          <w:p>
            <w:pPr>
              <w:jc w:val="center"/>
              <w:ind w:left="179"/>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3"/>
                <w:szCs w:val="13"/>
                <w:color w:val="auto"/>
              </w:rPr>
            </w:pPr>
          </w:p>
        </w:tc>
        <w:tc>
          <w:tcPr>
            <w:tcW w:w="1120" w:type="dxa"/>
            <w:vAlign w:val="bottom"/>
          </w:tcPr>
          <w:p>
            <w:pPr>
              <w:jc w:val="center"/>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60" w:type="dxa"/>
            <w:vAlign w:val="bottom"/>
          </w:tcPr>
          <w:p>
            <w:pPr>
              <w:jc w:val="center"/>
              <w:ind w:left="179"/>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20" w:type="dxa"/>
            <w:vAlign w:val="bottom"/>
          </w:tcPr>
          <w:p>
            <w:pPr>
              <w:spacing w:after="0"/>
              <w:rPr>
                <w:sz w:val="14"/>
                <w:szCs w:val="14"/>
                <w:color w:val="auto"/>
              </w:rPr>
            </w:pPr>
          </w:p>
        </w:tc>
        <w:tc>
          <w:tcPr>
            <w:tcW w:w="1120" w:type="dxa"/>
            <w:vAlign w:val="bottom"/>
          </w:tcPr>
          <w:p>
            <w:pPr>
              <w:jc w:val="center"/>
              <w:ind w:right="139"/>
              <w:spacing w:after="0" w:line="162"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6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55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15,998</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15,399</w:t>
            </w:r>
          </w:p>
        </w:tc>
        <w:tc>
          <w:tcPr>
            <w:tcW w:w="0" w:type="dxa"/>
            <w:vAlign w:val="bottom"/>
          </w:tcPr>
          <w:p>
            <w:pPr>
              <w:spacing w:after="0"/>
              <w:rPr>
                <w:sz w:val="1"/>
                <w:szCs w:val="1"/>
                <w:color w:val="auto"/>
              </w:rPr>
            </w:pPr>
          </w:p>
        </w:tc>
      </w:tr>
      <w:tr>
        <w:trPr>
          <w:trHeight w:val="213"/>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87,007</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84,447</w:t>
            </w:r>
          </w:p>
        </w:tc>
        <w:tc>
          <w:tcPr>
            <w:tcW w:w="0" w:type="dxa"/>
            <w:vAlign w:val="bottom"/>
          </w:tcPr>
          <w:p>
            <w:pPr>
              <w:spacing w:after="0"/>
              <w:rPr>
                <w:sz w:val="1"/>
                <w:szCs w:val="1"/>
                <w:color w:val="auto"/>
              </w:rPr>
            </w:pPr>
          </w:p>
        </w:tc>
      </w:tr>
      <w:tr>
        <w:trPr>
          <w:trHeight w:val="219"/>
        </w:trPr>
        <w:tc>
          <w:tcPr>
            <w:tcW w:w="5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w:t>
            </w:r>
          </w:p>
        </w:tc>
        <w:tc>
          <w:tcPr>
            <w:tcW w:w="0" w:type="dxa"/>
            <w:vAlign w:val="bottom"/>
          </w:tcPr>
          <w:p>
            <w:pPr>
              <w:spacing w:after="0"/>
              <w:rPr>
                <w:sz w:val="1"/>
                <w:szCs w:val="1"/>
                <w:color w:val="auto"/>
              </w:rPr>
            </w:pPr>
          </w:p>
        </w:tc>
      </w:tr>
      <w:tr>
        <w:trPr>
          <w:trHeight w:val="213"/>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45,263</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43,687</w:t>
            </w:r>
          </w:p>
        </w:tc>
        <w:tc>
          <w:tcPr>
            <w:tcW w:w="0" w:type="dxa"/>
            <w:vAlign w:val="bottom"/>
          </w:tcPr>
          <w:p>
            <w:pPr>
              <w:spacing w:after="0"/>
              <w:rPr>
                <w:sz w:val="1"/>
                <w:szCs w:val="1"/>
                <w:color w:val="auto"/>
              </w:rPr>
            </w:pPr>
          </w:p>
        </w:tc>
      </w:tr>
      <w:tr>
        <w:trPr>
          <w:trHeight w:val="234"/>
        </w:trPr>
        <w:tc>
          <w:tcPr>
            <w:tcW w:w="5520" w:type="dxa"/>
            <w:vAlign w:val="bottom"/>
            <w:tcBorders>
              <w:top w:val="single" w:sz="8" w:color="CCEEFF"/>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152,790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147,942</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060" w:type="dxa"/>
            <w:vAlign w:val="bottom"/>
          </w:tcPr>
          <w:p>
            <w:pPr>
              <w:jc w:val="center"/>
              <w:ind w:left="179"/>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3"/>
                <w:szCs w:val="13"/>
                <w:color w:val="auto"/>
              </w:rPr>
            </w:pPr>
          </w:p>
        </w:tc>
        <w:tc>
          <w:tcPr>
            <w:tcW w:w="1120" w:type="dxa"/>
            <w:vAlign w:val="bottom"/>
          </w:tcPr>
          <w:p>
            <w:pPr>
              <w:jc w:val="center"/>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60" w:type="dxa"/>
            <w:vAlign w:val="bottom"/>
          </w:tcPr>
          <w:p>
            <w:pPr>
              <w:jc w:val="center"/>
              <w:ind w:left="179"/>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20" w:type="dxa"/>
            <w:vAlign w:val="bottom"/>
          </w:tcPr>
          <w:p>
            <w:pPr>
              <w:spacing w:after="0"/>
              <w:rPr>
                <w:sz w:val="14"/>
                <w:szCs w:val="14"/>
                <w:color w:val="auto"/>
              </w:rPr>
            </w:pPr>
          </w:p>
        </w:tc>
        <w:tc>
          <w:tcPr>
            <w:tcW w:w="1120" w:type="dxa"/>
            <w:vAlign w:val="bottom"/>
          </w:tcPr>
          <w:p>
            <w:pPr>
              <w:jc w:val="center"/>
              <w:ind w:right="139"/>
              <w:spacing w:after="0" w:line="162"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6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55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18,993</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18,459</w:t>
            </w:r>
          </w:p>
        </w:tc>
        <w:tc>
          <w:tcPr>
            <w:tcW w:w="0" w:type="dxa"/>
            <w:vAlign w:val="bottom"/>
          </w:tcPr>
          <w:p>
            <w:pPr>
              <w:spacing w:after="0"/>
              <w:rPr>
                <w:sz w:val="1"/>
                <w:szCs w:val="1"/>
                <w:color w:val="auto"/>
              </w:rPr>
            </w:pPr>
          </w:p>
        </w:tc>
      </w:tr>
      <w:tr>
        <w:trPr>
          <w:trHeight w:val="213"/>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48,377</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47,233</w:t>
            </w:r>
          </w:p>
        </w:tc>
        <w:tc>
          <w:tcPr>
            <w:tcW w:w="0" w:type="dxa"/>
            <w:vAlign w:val="bottom"/>
          </w:tcPr>
          <w:p>
            <w:pPr>
              <w:spacing w:after="0"/>
              <w:rPr>
                <w:sz w:val="1"/>
                <w:szCs w:val="1"/>
                <w:color w:val="auto"/>
              </w:rPr>
            </w:pPr>
          </w:p>
        </w:tc>
      </w:tr>
      <w:tr>
        <w:trPr>
          <w:trHeight w:val="219"/>
        </w:trPr>
        <w:tc>
          <w:tcPr>
            <w:tcW w:w="5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5,558</w:t>
            </w:r>
          </w:p>
        </w:tc>
        <w:tc>
          <w:tcPr>
            <w:tcW w:w="0" w:type="dxa"/>
            <w:vAlign w:val="bottom"/>
          </w:tcPr>
          <w:p>
            <w:pPr>
              <w:spacing w:after="0"/>
              <w:rPr>
                <w:sz w:val="1"/>
                <w:szCs w:val="1"/>
                <w:color w:val="auto"/>
              </w:rPr>
            </w:pPr>
          </w:p>
        </w:tc>
      </w:tr>
      <w:tr>
        <w:trPr>
          <w:trHeight w:val="213"/>
        </w:trPr>
        <w:tc>
          <w:tcPr>
            <w:tcW w:w="55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57,184</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55,728</w:t>
            </w:r>
          </w:p>
        </w:tc>
        <w:tc>
          <w:tcPr>
            <w:tcW w:w="0" w:type="dxa"/>
            <w:vAlign w:val="bottom"/>
          </w:tcPr>
          <w:p>
            <w:pPr>
              <w:spacing w:after="0"/>
              <w:rPr>
                <w:sz w:val="1"/>
                <w:szCs w:val="1"/>
                <w:color w:val="auto"/>
              </w:rPr>
            </w:pPr>
          </w:p>
        </w:tc>
      </w:tr>
      <w:tr>
        <w:trPr>
          <w:trHeight w:val="234"/>
        </w:trPr>
        <w:tc>
          <w:tcPr>
            <w:tcW w:w="55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130,099</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126,978</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Debt securities available for sale by contractual maturity at December 31, 2022 and June 30, 2022 are shown below. MBS are not included in the maturity categories because the borrowers in the underlying pools may prepay without penalty; therefore, it is unlikely that the securities will pay at their stated maturity schedule.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158"/>
        </w:trPr>
        <w:tc>
          <w:tcPr>
            <w:tcW w:w="8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00" w:type="dxa"/>
            <w:vAlign w:val="bottom"/>
          </w:tcPr>
          <w:p>
            <w:pPr>
              <w:spacing w:after="0"/>
              <w:rPr>
                <w:sz w:val="13"/>
                <w:szCs w:val="13"/>
                <w:color w:val="auto"/>
              </w:rPr>
            </w:pPr>
          </w:p>
        </w:tc>
        <w:tc>
          <w:tcPr>
            <w:tcW w:w="114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b w:val="1"/>
                <w:bCs w:val="1"/>
                <w:color w:val="auto"/>
              </w:rPr>
              <w:t>Estimated</w:t>
            </w:r>
          </w:p>
        </w:tc>
      </w:tr>
      <w:tr>
        <w:trPr>
          <w:trHeight w:val="214"/>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0" w:type="dxa"/>
            <w:vAlign w:val="bottom"/>
          </w:tcPr>
          <w:p>
            <w:pPr>
              <w:spacing w:after="0"/>
              <w:rPr>
                <w:sz w:val="18"/>
                <w:szCs w:val="18"/>
                <w:color w:val="auto"/>
              </w:rPr>
            </w:pP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1"/>
        </w:trPr>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one year</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41,448</w:t>
            </w: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17,060</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4,987</w:t>
            </w: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ten years</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87,007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84,447</w:t>
            </w:r>
          </w:p>
        </w:tc>
      </w:tr>
      <w:tr>
        <w:trPr>
          <w:trHeight w:val="212"/>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152,790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147,942</w:t>
            </w:r>
          </w:p>
        </w:tc>
      </w:tr>
      <w:tr>
        <w:trPr>
          <w:trHeight w:val="20"/>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159"/>
        </w:trPr>
        <w:tc>
          <w:tcPr>
            <w:tcW w:w="8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00" w:type="dxa"/>
            <w:vAlign w:val="bottom"/>
          </w:tcPr>
          <w:p>
            <w:pPr>
              <w:spacing w:after="0"/>
              <w:rPr>
                <w:sz w:val="13"/>
                <w:szCs w:val="13"/>
                <w:color w:val="auto"/>
              </w:rPr>
            </w:pPr>
          </w:p>
        </w:tc>
        <w:tc>
          <w:tcPr>
            <w:tcW w:w="114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b w:val="1"/>
                <w:bCs w:val="1"/>
                <w:color w:val="auto"/>
              </w:rPr>
              <w:t>Estimated</w:t>
            </w:r>
          </w:p>
        </w:tc>
      </w:tr>
      <w:tr>
        <w:trPr>
          <w:trHeight w:val="214"/>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0" w:type="dxa"/>
            <w:vAlign w:val="bottom"/>
          </w:tcPr>
          <w:p>
            <w:pPr>
              <w:spacing w:after="0"/>
              <w:rPr>
                <w:sz w:val="18"/>
                <w:szCs w:val="18"/>
                <w:color w:val="auto"/>
              </w:rPr>
            </w:pP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1"/>
        </w:trPr>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one year</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34,956</w:t>
            </w: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39,018</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5,771</w:t>
            </w: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ten years</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48,377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47,233</w:t>
            </w:r>
          </w:p>
        </w:tc>
      </w:tr>
      <w:tr>
        <w:trPr>
          <w:trHeight w:val="212"/>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130,099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126,978</w:t>
            </w:r>
          </w:p>
        </w:tc>
      </w:tr>
      <w:tr>
        <w:trPr>
          <w:trHeight w:val="20"/>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Company had no sales of debt securities available for sale and no gross realized gains or losses were recognized during the six months ended December 31, 2022 and 2021.</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Debt securities available for sale with amortized costs totaling $83,849 and $43,187 and market values of $80,818 and $41,876 at December 31, 2022 and June 30, 2022, respectively, were pledged as collateral to secure various public deposits and other borrowings.</w:t>
      </w:r>
    </w:p>
    <w:p>
      <w:pPr>
        <w:spacing w:after="0" w:line="7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gross unrealized losses and the fair value for debt securities available for sale aggregated by the length of time that individual securities have been in a continuous unrealized loss position as of December 31, 2022 and June 30, 2022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1"/>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20" w:type="dxa"/>
            <w:vAlign w:val="bottom"/>
          </w:tcPr>
          <w:p>
            <w:pPr>
              <w:spacing w:after="0"/>
              <w:rPr>
                <w:sz w:val="18"/>
                <w:szCs w:val="18"/>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Pr>
          <w:p>
            <w:pPr>
              <w:spacing w:after="0"/>
              <w:rPr>
                <w:sz w:val="18"/>
                <w:szCs w:val="18"/>
                <w:color w:val="auto"/>
              </w:rPr>
            </w:pPr>
          </w:p>
        </w:tc>
      </w:tr>
      <w:tr>
        <w:trPr>
          <w:trHeight w:val="157"/>
        </w:trPr>
        <w:tc>
          <w:tcPr>
            <w:tcW w:w="40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r>
      <w:tr>
        <w:trPr>
          <w:trHeight w:val="214"/>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8"/>
                <w:szCs w:val="18"/>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Losses</w:t>
            </w:r>
          </w:p>
        </w:tc>
      </w:tr>
      <w:tr>
        <w:trPr>
          <w:trHeight w:val="211"/>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r>
      <w:tr>
        <w:trPr>
          <w:trHeight w:val="21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w:t>
            </w: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21,807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19,980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41,787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w:t>
            </w:r>
          </w:p>
        </w:tc>
      </w:tr>
      <w:tr>
        <w:trPr>
          <w:trHeight w:val="237"/>
        </w:trPr>
        <w:tc>
          <w:tcPr>
            <w:tcW w:w="4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42,959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(4,858)</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349"/>
        </w:trPr>
        <w:tc>
          <w:tcPr>
            <w:tcW w:w="4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11"/>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20" w:type="dxa"/>
            <w:vAlign w:val="bottom"/>
          </w:tcPr>
          <w:p>
            <w:pPr>
              <w:spacing w:after="0"/>
              <w:rPr>
                <w:sz w:val="18"/>
                <w:szCs w:val="18"/>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Pr>
          <w:p>
            <w:pPr>
              <w:spacing w:after="0"/>
              <w:rPr>
                <w:sz w:val="18"/>
                <w:szCs w:val="18"/>
                <w:color w:val="auto"/>
              </w:rPr>
            </w:pPr>
          </w:p>
        </w:tc>
      </w:tr>
      <w:tr>
        <w:trPr>
          <w:trHeight w:val="157"/>
        </w:trPr>
        <w:tc>
          <w:tcPr>
            <w:tcW w:w="40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r>
      <w:tr>
        <w:trPr>
          <w:trHeight w:val="214"/>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8"/>
                <w:szCs w:val="18"/>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Losses</w:t>
            </w:r>
          </w:p>
        </w:tc>
      </w:tr>
      <w:tr>
        <w:trPr>
          <w:trHeight w:val="211"/>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r>
      <w:tr>
        <w:trPr>
          <w:trHeight w:val="21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MBS, residential</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Municipal bonds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39,454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14,273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53,727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(1,457)</w:t>
            </w:r>
          </w:p>
        </w:tc>
      </w:tr>
      <w:tr>
        <w:trPr>
          <w:trHeight w:val="237"/>
        </w:trPr>
        <w:tc>
          <w:tcPr>
            <w:tcW w:w="4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total number of securities with unrealized losses at December 31, 2022 and June 30, 2022 were 195 and 177, respectively.</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Management evaluates securities for impairment where there has been a decline in fair value below the amortized cost basis of a security to determine whether there is a credit loss associated with the decline in fair value on at least a quarterly basis, and more frequently when economic or market concerns warrant such evaluation. All debt securities available for sale in an unrealized loss position as of December 31, 2022 continue to perform as scheduled and management does not believe that there is a credit loss or that a provision for credit losses is necessary. Also, as part of management's evaluation of its intent and ability to hold investments for a period of time sufficient to allow for any anticipated recovery in the market, management considers its investment strategy, cash flow needs, liquidity position, capital adequacy and interest rate risk position. Management does not currently intend to sell the securities within the portfolio and it is not more-likely-than-not that securities will be required to be sold. See "Note 1 – Summary of Significant Accounting Policies" in our 2022 Form 10-K for further discussion.</w:t>
      </w:r>
    </w:p>
    <w:p>
      <w:pPr>
        <w:spacing w:after="0" w:line="7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Management continues to monitor all of its securities with a high degree of scrutiny. There can be no assurance that management will not conclude in future periods that conditions existing at that time indicate some or all of its securities may be sold or would require a charge to earnings as a provision for credit losses in such periods.</w:t>
      </w:r>
    </w:p>
    <w:p>
      <w:pPr>
        <w:spacing w:after="0" w:line="7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Management excludes the accrued interest receivable balance from the amortized cost basis in measuring expected credit losses on investment securities and does not record an ACL on accrued interest receivable. As of December 31, 2022, the accrued interest receivable for debt securities available for sale was $552.</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4.  Loans Held For Sale</w:t>
            </w: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8"/>
        </w:trPr>
        <w:tc>
          <w:tcPr>
            <w:tcW w:w="7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Loans held for sale, at the lower of cost or fair value, consist of the following as of the dates indicated:</w:t>
            </w: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33"/>
        </w:trPr>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40" w:type="dxa"/>
            <w:vAlign w:val="bottom"/>
          </w:tcPr>
          <w:p>
            <w:pPr>
              <w:spacing w:after="0"/>
              <w:rPr>
                <w:sz w:val="20"/>
                <w:szCs w:val="20"/>
                <w:color w:val="auto"/>
              </w:rPr>
            </w:pPr>
          </w:p>
        </w:tc>
        <w:tc>
          <w:tcPr>
            <w:tcW w:w="15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13"/>
        </w:trPr>
        <w:tc>
          <w:tcPr>
            <w:tcW w:w="73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One-to-four family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w:t>
            </w:r>
          </w:p>
        </w:tc>
      </w:tr>
      <w:tr>
        <w:trPr>
          <w:trHeight w:val="213"/>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SBA</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14,774</w:t>
            </w:r>
          </w:p>
        </w:tc>
      </w:tr>
      <w:tr>
        <w:trPr>
          <w:trHeight w:val="219"/>
        </w:trPr>
        <w:tc>
          <w:tcPr>
            <w:tcW w:w="7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HELOCs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60,357</w:t>
            </w:r>
          </w:p>
        </w:tc>
      </w:tr>
      <w:tr>
        <w:trPr>
          <w:trHeight w:val="210"/>
        </w:trPr>
        <w:tc>
          <w:tcPr>
            <w:tcW w:w="732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Total loans held for sale, at the lower of cost or fair value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72,777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79,307</w:t>
            </w:r>
          </w:p>
        </w:tc>
      </w:tr>
      <w:tr>
        <w:trPr>
          <w:trHeight w:val="20"/>
        </w:trPr>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carrying balance of loans held for sale, at fair value, was $518 and $0 at December 31, 2022 and June 30, 2022, respectively, while the amortized cost of these loans was $506 and $0 at the same dates.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ind w:right="7560" w:firstLine="8"/>
        <w:spacing w:after="0" w:line="285" w:lineRule="auto"/>
        <w:tabs>
          <w:tab w:leader="none" w:pos="283"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 xml:space="preserve">Loans and Allowance for Credit Losses on Loans </w:t>
      </w:r>
      <w:r>
        <w:rPr>
          <w:rFonts w:ascii="Times New Roman" w:cs="Times New Roman" w:eastAsia="Times New Roman" w:hAnsi="Times New Roman"/>
          <w:sz w:val="16"/>
          <w:szCs w:val="16"/>
          <w:color w:val="auto"/>
        </w:rPr>
        <w:t>Loans consist of the following at the dates indicated</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60" w:type="dxa"/>
            <w:vAlign w:val="bottom"/>
          </w:tcPr>
          <w:p>
            <w:pPr>
              <w:spacing w:after="0"/>
              <w:rPr>
                <w:sz w:val="17"/>
                <w:szCs w:val="17"/>
                <w:color w:val="auto"/>
              </w:rPr>
            </w:pPr>
          </w:p>
        </w:tc>
        <w:tc>
          <w:tcPr>
            <w:tcW w:w="15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196"/>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 loans</w:t>
            </w: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328,253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291,202</w:t>
            </w: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335,658</w:t>
            </w: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690,241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662,159</w:t>
            </w: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Multifamily</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81,086</w:t>
            </w:r>
          </w:p>
        </w:tc>
      </w:tr>
      <w:tr>
        <w:trPr>
          <w:trHeight w:val="207"/>
        </w:trPr>
        <w:tc>
          <w:tcPr>
            <w:tcW w:w="7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commercial real estate loans</w:t>
            </w: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1,428,474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1,370,105</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192,652</w:t>
            </w: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finance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426,507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394,541</w:t>
            </w: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Municipal leases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129,766</w:t>
            </w: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PPP loans</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r>
      <w:tr>
        <w:trPr>
          <w:trHeight w:val="207"/>
        </w:trPr>
        <w:tc>
          <w:tcPr>
            <w:tcW w:w="7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commercial loans</w:t>
            </w: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757,108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717,620</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 loans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81,847</w:t>
            </w: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One-to-four family</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354,203</w:t>
            </w:r>
          </w:p>
        </w:tc>
      </w:tr>
      <w:tr>
        <w:trPr>
          <w:trHeight w:val="213"/>
        </w:trPr>
        <w:tc>
          <w:tcPr>
            <w:tcW w:w="7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HELOCs</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194,296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160,137</w:t>
            </w:r>
          </w:p>
        </w:tc>
      </w:tr>
      <w:tr>
        <w:trPr>
          <w:trHeight w:val="212"/>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residential real estate loans</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694,893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596,187</w:t>
            </w:r>
          </w:p>
        </w:tc>
      </w:tr>
      <w:tr>
        <w:trPr>
          <w:trHeight w:val="214"/>
        </w:trPr>
        <w:tc>
          <w:tcPr>
            <w:tcW w:w="7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Consumer loans</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105,148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85,383</w:t>
            </w:r>
          </w:p>
        </w:tc>
      </w:tr>
      <w:tr>
        <w:trPr>
          <w:trHeight w:val="211"/>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loans, net of deferred loan fees and costs</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2,985,623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2,769,295</w:t>
            </w:r>
          </w:p>
        </w:tc>
      </w:tr>
      <w:tr>
        <w:trPr>
          <w:trHeight w:val="213"/>
        </w:trPr>
        <w:tc>
          <w:tcPr>
            <w:tcW w:w="7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ACL on loans</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(38,859)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(34,690)</w:t>
            </w:r>
          </w:p>
        </w:tc>
      </w:tr>
      <w:tr>
        <w:trPr>
          <w:trHeight w:val="237"/>
        </w:trPr>
        <w:tc>
          <w:tcPr>
            <w:tcW w:w="7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Loans,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2,946,764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2,734,605</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At December 31, 2022 and June 30, 2022 accrued interest receivable of $10,434 and $7,969 was accounted for separately from the amortized cost basis.</w:t>
      </w:r>
    </w:p>
    <w:p>
      <w:pPr>
        <w:spacing w:after="0" w:line="26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All qualifying one-to-four family first mortgage loans, HELOCs, commercial real estate loans, indirect auto, municipal leases and FHLB of Atlanta stock are pledged as collateral by a blanket pledge to secure any outstanding FHLB and FRB advances.</w:t>
      </w:r>
    </w:p>
    <w:p>
      <w:pPr>
        <w:spacing w:after="0" w:line="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Loans are monitored for credit quality on a recurring basis and the composition of the loans outstanding by credit quality indicator is provided below. Loan credit quality indicators are developed through review of individual borrowers on an ongoing basis. Generally, loans are monitored for performance on a quarterly basis with the credit quality indicators adjusted as needed. The indicators represent the rating for loans as of the date presented based on the most recent assessment performed. These credit quality indicators are defined as follows: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Pass</w:t>
      </w:r>
      <w:r>
        <w:rPr>
          <w:rFonts w:ascii="Times New Roman" w:cs="Times New Roman" w:eastAsia="Times New Roman" w:hAnsi="Times New Roman"/>
          <w:sz w:val="16"/>
          <w:szCs w:val="16"/>
          <w:color w:val="auto"/>
        </w:rPr>
        <w:t>—A pass rated asset is not adversely classified because it does not display any of the characteristics for adverse classification.</w:t>
      </w:r>
    </w:p>
    <w:p>
      <w:pPr>
        <w:spacing w:after="0" w:line="113" w:lineRule="exact"/>
        <w:rPr>
          <w:sz w:val="20"/>
          <w:szCs w:val="20"/>
          <w:color w:val="auto"/>
        </w:rPr>
      </w:pPr>
    </w:p>
    <w:p>
      <w:pPr>
        <w:jc w:val="both"/>
        <w:ind w:left="340"/>
        <w:spacing w:after="0" w:line="272" w:lineRule="auto"/>
        <w:rPr>
          <w:sz w:val="20"/>
          <w:szCs w:val="20"/>
          <w:color w:val="auto"/>
        </w:rPr>
      </w:pPr>
      <w:r>
        <w:rPr>
          <w:rFonts w:ascii="Times New Roman" w:cs="Times New Roman" w:eastAsia="Times New Roman" w:hAnsi="Times New Roman"/>
          <w:sz w:val="16"/>
          <w:szCs w:val="16"/>
          <w:u w:val="single" w:color="auto"/>
          <w:color w:val="auto"/>
        </w:rPr>
        <w:t>Special Mention</w:t>
      </w:r>
      <w:r>
        <w:rPr>
          <w:rFonts w:ascii="Times New Roman" w:cs="Times New Roman" w:eastAsia="Times New Roman" w:hAnsi="Times New Roman"/>
          <w:sz w:val="16"/>
          <w:szCs w:val="16"/>
          <w:color w:val="auto"/>
        </w:rPr>
        <w:t>—A special mention asset has potential weaknesses that deserve management’s close attention. If left uncorrected, such potential weaknesses may result in deterioration of the repayment prospects or collateral position at some future date. Special mention assets are not adversely classified and do not warrant adverse classification.</w:t>
      </w:r>
    </w:p>
    <w:p>
      <w:pPr>
        <w:spacing w:after="0" w:line="76"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u w:val="single" w:color="auto"/>
          <w:color w:val="auto"/>
        </w:rPr>
        <w:t>Substandard</w:t>
      </w:r>
      <w:r>
        <w:rPr>
          <w:rFonts w:ascii="Times New Roman" w:cs="Times New Roman" w:eastAsia="Times New Roman" w:hAnsi="Times New Roman"/>
          <w:sz w:val="16"/>
          <w:szCs w:val="16"/>
          <w:color w:val="auto"/>
        </w:rPr>
        <w:t>—A substandard asset is inadequately protected by the current net worth and paying capacity of the obligor, or of the collateral pledged, if any. Assets classified as substandard generally have a well-defined weakness, or weaknesses, that jeopardize the liquidation of the debt. These assets are characterized by the distinct possibility of loss if the deficiencies are not corrected.</w:t>
      </w:r>
    </w:p>
    <w:p>
      <w:pPr>
        <w:spacing w:after="0" w:line="84" w:lineRule="exact"/>
        <w:rPr>
          <w:sz w:val="20"/>
          <w:szCs w:val="20"/>
          <w:color w:val="auto"/>
        </w:rPr>
      </w:pPr>
    </w:p>
    <w:p>
      <w:pPr>
        <w:jc w:val="both"/>
        <w:ind w:left="340" w:right="20"/>
        <w:spacing w:after="0" w:line="280" w:lineRule="auto"/>
        <w:rPr>
          <w:sz w:val="20"/>
          <w:szCs w:val="20"/>
          <w:color w:val="auto"/>
        </w:rPr>
      </w:pPr>
      <w:r>
        <w:rPr>
          <w:rFonts w:ascii="Times New Roman" w:cs="Times New Roman" w:eastAsia="Times New Roman" w:hAnsi="Times New Roman"/>
          <w:sz w:val="16"/>
          <w:szCs w:val="16"/>
          <w:u w:val="single" w:color="auto"/>
          <w:color w:val="auto"/>
        </w:rPr>
        <w:t>Doubtful</w:t>
      </w:r>
      <w:r>
        <w:rPr>
          <w:rFonts w:ascii="Times New Roman" w:cs="Times New Roman" w:eastAsia="Times New Roman" w:hAnsi="Times New Roman"/>
          <w:sz w:val="16"/>
          <w:szCs w:val="16"/>
          <w:color w:val="auto"/>
        </w:rPr>
        <w:t>—An asset classified doubtful has all the weaknesses inherent in an asset classified substandard with the added characteristic that the weaknesses make collection or liquidation in full highly questionable and improbable, on the basis of currently existing facts, conditions, and values.</w:t>
      </w:r>
    </w:p>
    <w:p>
      <w:pPr>
        <w:spacing w:after="0" w:line="57" w:lineRule="exact"/>
        <w:rPr>
          <w:sz w:val="20"/>
          <w:szCs w:val="20"/>
          <w:color w:val="auto"/>
        </w:rPr>
      </w:pPr>
    </w:p>
    <w:p>
      <w:pPr>
        <w:jc w:val="both"/>
        <w:ind w:left="340"/>
        <w:spacing w:after="0" w:line="272" w:lineRule="auto"/>
        <w:rPr>
          <w:sz w:val="20"/>
          <w:szCs w:val="20"/>
          <w:color w:val="auto"/>
        </w:rPr>
      </w:pPr>
      <w:r>
        <w:rPr>
          <w:rFonts w:ascii="Times New Roman" w:cs="Times New Roman" w:eastAsia="Times New Roman" w:hAnsi="Times New Roman"/>
          <w:sz w:val="16"/>
          <w:szCs w:val="16"/>
          <w:u w:val="single" w:color="auto"/>
          <w:color w:val="auto"/>
        </w:rPr>
        <w:t>Loss</w:t>
      </w:r>
      <w:r>
        <w:rPr>
          <w:rFonts w:ascii="Times New Roman" w:cs="Times New Roman" w:eastAsia="Times New Roman" w:hAnsi="Times New Roman"/>
          <w:sz w:val="16"/>
          <w:szCs w:val="16"/>
          <w:color w:val="auto"/>
        </w:rPr>
        <w:t>—Assets classified loss are considered uncollectible and of such little value that their continuing to be carried as an asset is not warranted. This classification is not necessarily equivalent to no potential for recovery or salvage value, but rather that it is not appropriate to defer a full write-off even though partial recovery may be effected in the future.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credit risk profile by risk grade for commercial real estate, commercial, residential real estate, and consumer loans by origination year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gridSpan w:val="9"/>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08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18,267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26,694</w:t>
            </w:r>
          </w:p>
        </w:tc>
        <w:tc>
          <w:tcPr>
            <w:tcW w:w="4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327,332</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18,267</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27,565</w:t>
            </w:r>
          </w:p>
        </w:tc>
        <w:tc>
          <w:tcPr>
            <w:tcW w:w="2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267,895</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328,253</w:t>
            </w: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 - owner occupied</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22,024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57,836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334,983</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3,228</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commercial real estate - owner occupied</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22,024</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57,968</w:t>
            </w:r>
          </w:p>
        </w:tc>
        <w:tc>
          <w:tcPr>
            <w:tcW w:w="2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68,838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46,881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40,056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91,051</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14,006</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340,824</w:t>
            </w: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 - non-owner occupied</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51,653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96,511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670,821</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19,419</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5"/>
        </w:trPr>
        <w:tc>
          <w:tcPr>
            <w:tcW w:w="3080" w:type="dxa"/>
            <w:vAlign w:val="bottom"/>
          </w:tcPr>
          <w:p>
            <w:pPr>
              <w:ind w:left="240"/>
              <w:spacing w:after="0" w:line="115" w:lineRule="exact"/>
              <w:rPr>
                <w:sz w:val="20"/>
                <w:szCs w:val="20"/>
                <w:color w:val="auto"/>
              </w:rPr>
            </w:pPr>
            <w:r>
              <w:rPr>
                <w:rFonts w:ascii="Times New Roman" w:cs="Times New Roman" w:eastAsia="Times New Roman" w:hAnsi="Times New Roman"/>
                <w:sz w:val="13"/>
                <w:szCs w:val="13"/>
                <w:color w:val="auto"/>
              </w:rPr>
              <w:t>Total commercial real estate - non-owner</w:t>
            </w: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51,653</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96,511</w:t>
            </w: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117,902</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90,348</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56,597</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253,494</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23,736</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690,241</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occupied</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68,755</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multifamily</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1,962</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11,755</w:t>
            </w:r>
          </w:p>
        </w:tc>
        <w:tc>
          <w:tcPr>
            <w:tcW w:w="2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18,964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10,402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22,180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69,156</w:t>
            </w: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 real estate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93,906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192,796</w:t>
            </w:r>
          </w:p>
        </w:tc>
        <w:tc>
          <w:tcPr>
            <w:tcW w:w="4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300,741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1,401,891</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22,738</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3,845</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93,906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193,799</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210,899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148,240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101,645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373,865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306,120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1,428,474</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9"/>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188,174</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5,212</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21,697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65,277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18,164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14,661</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22,943</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43,105</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194,465</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 finance</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424,107</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equipment finance</w:t>
            </w: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101,278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161,571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93,447</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50,654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18,496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426,507</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Municipal leases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135,922</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municipal leases</w:t>
            </w: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19,881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23,588</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8,443</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10,309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47,465</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13,091</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135,922</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PPP loans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PPP loans</w:t>
            </w: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748,417</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5,509</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commercial</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136,120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246,729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135,212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73,959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37,423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71,469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56,196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757,108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00" w:type="dxa"/>
            <w:vAlign w:val="bottom"/>
          </w:tcPr>
          <w:p>
            <w:pPr>
              <w:spacing w:after="0"/>
              <w:rPr>
                <w:sz w:val="2"/>
                <w:szCs w:val="2"/>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92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192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Construction and land</w:t>
            </w:r>
          </w:p>
        </w:tc>
        <w:tc>
          <w:tcPr>
            <w:tcW w:w="1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96,693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99,659</w:t>
            </w:r>
          </w:p>
        </w:tc>
        <w:tc>
          <w:tcPr>
            <w:tcW w:w="0" w:type="dxa"/>
            <w:vAlign w:val="bottom"/>
          </w:tcPr>
          <w:p>
            <w:pPr>
              <w:spacing w:after="0"/>
              <w:rPr>
                <w:sz w:val="1"/>
                <w:szCs w:val="1"/>
                <w:color w:val="auto"/>
              </w:rPr>
            </w:pPr>
          </w:p>
        </w:tc>
      </w:tr>
      <w:tr>
        <w:trPr>
          <w:trHeight w:val="195"/>
        </w:trPr>
        <w:tc>
          <w:tcPr>
            <w:tcW w:w="1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195"/>
        </w:trPr>
        <w:tc>
          <w:tcPr>
            <w:tcW w:w="1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9"/>
        </w:trPr>
        <w:tc>
          <w:tcPr>
            <w:tcW w:w="1920" w:type="dxa"/>
            <w:vAlign w:val="bottom"/>
          </w:tcPr>
          <w:p>
            <w:pPr>
              <w:ind w:left="240"/>
              <w:spacing w:after="0" w:line="119" w:lineRule="exact"/>
              <w:rPr>
                <w:sz w:val="20"/>
                <w:szCs w:val="20"/>
                <w:color w:val="auto"/>
              </w:rPr>
            </w:pPr>
            <w:r>
              <w:rPr>
                <w:rFonts w:ascii="Times New Roman" w:cs="Times New Roman" w:eastAsia="Times New Roman" w:hAnsi="Times New Roman"/>
                <w:sz w:val="13"/>
                <w:szCs w:val="13"/>
                <w:color w:val="auto"/>
              </w:rPr>
              <w:t>Total construction and land</w:t>
            </w: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96,693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100,002</w:t>
            </w:r>
          </w:p>
        </w:tc>
        <w:tc>
          <w:tcPr>
            <w:tcW w:w="0" w:type="dxa"/>
            <w:vAlign w:val="bottom"/>
          </w:tcPr>
          <w:p>
            <w:pPr>
              <w:spacing w:after="0"/>
              <w:rPr>
                <w:sz w:val="1"/>
                <w:szCs w:val="1"/>
                <w:color w:val="auto"/>
              </w:rPr>
            </w:pPr>
          </w:p>
        </w:tc>
      </w:tr>
      <w:tr>
        <w:trPr>
          <w:trHeight w:val="193"/>
        </w:trPr>
        <w:tc>
          <w:tcPr>
            <w:tcW w:w="19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development</w:t>
            </w:r>
          </w:p>
        </w:tc>
        <w:tc>
          <w:tcPr>
            <w:tcW w:w="1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One-to-four family</w:t>
            </w: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395,046</w:t>
            </w:r>
          </w:p>
        </w:tc>
        <w:tc>
          <w:tcPr>
            <w:tcW w:w="0" w:type="dxa"/>
            <w:vAlign w:val="bottom"/>
          </w:tcPr>
          <w:p>
            <w:pPr>
              <w:spacing w:after="0"/>
              <w:rPr>
                <w:sz w:val="1"/>
                <w:szCs w:val="1"/>
                <w:color w:val="auto"/>
              </w:rPr>
            </w:pPr>
          </w:p>
        </w:tc>
      </w:tr>
      <w:tr>
        <w:trPr>
          <w:trHeight w:val="195"/>
        </w:trPr>
        <w:tc>
          <w:tcPr>
            <w:tcW w:w="1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4,886</w:t>
            </w:r>
          </w:p>
        </w:tc>
        <w:tc>
          <w:tcPr>
            <w:tcW w:w="0" w:type="dxa"/>
            <w:vAlign w:val="bottom"/>
          </w:tcPr>
          <w:p>
            <w:pPr>
              <w:spacing w:after="0"/>
              <w:rPr>
                <w:sz w:val="1"/>
                <w:szCs w:val="1"/>
                <w:color w:val="auto"/>
              </w:rPr>
            </w:pPr>
          </w:p>
        </w:tc>
      </w:tr>
      <w:tr>
        <w:trPr>
          <w:trHeight w:val="195"/>
        </w:trPr>
        <w:tc>
          <w:tcPr>
            <w:tcW w:w="1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one-to-four family</w:t>
            </w:r>
          </w:p>
        </w:tc>
        <w:tc>
          <w:tcPr>
            <w:tcW w:w="1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24,334</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71,003</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89,996</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46,223</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27,833</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130,120</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11,086</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400,595</w:t>
            </w: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HELOCs</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180,006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193,527</w:t>
            </w:r>
          </w:p>
        </w:tc>
        <w:tc>
          <w:tcPr>
            <w:tcW w:w="0" w:type="dxa"/>
            <w:vAlign w:val="bottom"/>
          </w:tcPr>
          <w:p>
            <w:pPr>
              <w:spacing w:after="0"/>
              <w:rPr>
                <w:sz w:val="1"/>
                <w:szCs w:val="1"/>
                <w:color w:val="auto"/>
              </w:rPr>
            </w:pPr>
          </w:p>
        </w:tc>
      </w:tr>
      <w:tr>
        <w:trPr>
          <w:trHeight w:val="195"/>
        </w:trPr>
        <w:tc>
          <w:tcPr>
            <w:tcW w:w="1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0" w:type="dxa"/>
            <w:vAlign w:val="bottom"/>
          </w:tcPr>
          <w:p>
            <w:pPr>
              <w:spacing w:after="0"/>
              <w:rPr>
                <w:sz w:val="1"/>
                <w:szCs w:val="1"/>
                <w:color w:val="auto"/>
              </w:rPr>
            </w:pPr>
          </w:p>
        </w:tc>
      </w:tr>
      <w:tr>
        <w:trPr>
          <w:trHeight w:val="195"/>
        </w:trPr>
        <w:tc>
          <w:tcPr>
            <w:tcW w:w="1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1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HELOCs</w:t>
            </w:r>
          </w:p>
        </w:tc>
        <w:tc>
          <w:tcPr>
            <w:tcW w:w="1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3,226</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7,732</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180,054</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194,296</w:t>
            </w: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residential real estate</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287,785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688,232</w:t>
            </w:r>
          </w:p>
        </w:tc>
        <w:tc>
          <w:tcPr>
            <w:tcW w:w="0" w:type="dxa"/>
            <w:vAlign w:val="bottom"/>
          </w:tcPr>
          <w:p>
            <w:pPr>
              <w:spacing w:after="0"/>
              <w:rPr>
                <w:sz w:val="1"/>
                <w:szCs w:val="1"/>
                <w:color w:val="auto"/>
              </w:rPr>
            </w:pPr>
          </w:p>
        </w:tc>
      </w:tr>
      <w:tr>
        <w:trPr>
          <w:trHeight w:val="195"/>
        </w:trPr>
        <w:tc>
          <w:tcPr>
            <w:tcW w:w="1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5,969</w:t>
            </w:r>
          </w:p>
        </w:tc>
        <w:tc>
          <w:tcPr>
            <w:tcW w:w="0" w:type="dxa"/>
            <w:vAlign w:val="bottom"/>
          </w:tcPr>
          <w:p>
            <w:pPr>
              <w:spacing w:after="0"/>
              <w:rPr>
                <w:sz w:val="1"/>
                <w:szCs w:val="1"/>
                <w:color w:val="auto"/>
              </w:rPr>
            </w:pPr>
          </w:p>
        </w:tc>
      </w:tr>
      <w:tr>
        <w:trPr>
          <w:trHeight w:val="195"/>
        </w:trPr>
        <w:tc>
          <w:tcPr>
            <w:tcW w:w="1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9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residential real estate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28,128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72,971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90,634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46,790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28,855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139,682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287,833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694,893</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consumer</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104,226</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3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consumer</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40,412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21,528</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16,730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12,046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105,148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906"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credit risk profile by risk grade for commercial real estate, commercial, residential real estate, and consumer loans by origination year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30,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gridSpan w:val="9"/>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08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21,988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5,686</w:t>
            </w:r>
          </w:p>
        </w:tc>
        <w:tc>
          <w:tcPr>
            <w:tcW w:w="4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285,490</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4,774</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22,859</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5,686</w:t>
            </w:r>
          </w:p>
        </w:tc>
        <w:tc>
          <w:tcPr>
            <w:tcW w:w="2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5,983</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252,866</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291,202</w:t>
            </w: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 - owner occupied</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55,167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329,226</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3,230</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commercial real estate - owner occupied</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55,167</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71,429</w:t>
            </w:r>
          </w:p>
        </w:tc>
        <w:tc>
          <w:tcPr>
            <w:tcW w:w="2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46,061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44,204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22,297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79,245</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17,255</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335,658</w:t>
            </w: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 - non-owner occupied</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97,885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643,889</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18,265</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5"/>
        </w:trPr>
        <w:tc>
          <w:tcPr>
            <w:tcW w:w="3080" w:type="dxa"/>
            <w:vAlign w:val="bottom"/>
          </w:tcPr>
          <w:p>
            <w:pPr>
              <w:ind w:left="240"/>
              <w:spacing w:after="0" w:line="115" w:lineRule="exact"/>
              <w:rPr>
                <w:sz w:val="20"/>
                <w:szCs w:val="20"/>
                <w:color w:val="auto"/>
              </w:rPr>
            </w:pPr>
            <w:r>
              <w:rPr>
                <w:rFonts w:ascii="Times New Roman" w:cs="Times New Roman" w:eastAsia="Times New Roman" w:hAnsi="Times New Roman"/>
                <w:sz w:val="13"/>
                <w:szCs w:val="13"/>
                <w:color w:val="auto"/>
              </w:rPr>
              <w:t>Total commercial real estate - non-owner</w:t>
            </w: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97,885</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122,975</w:t>
            </w: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95,268</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56,846</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94,881</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187,090</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7,214</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662,159</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occupied</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80,493</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multifamily</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10,135</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19,985</w:t>
            </w:r>
          </w:p>
        </w:tc>
        <w:tc>
          <w:tcPr>
            <w:tcW w:w="2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15,881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21,151</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81,086</w:t>
            </w: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 real estate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185,175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220,075</w:t>
            </w:r>
          </w:p>
        </w:tc>
        <w:tc>
          <w:tcPr>
            <w:tcW w:w="4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274,755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1,339,098</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26,515</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4,492</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186,046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220,075</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157,837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111,782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121,066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293,469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279,830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1,370,105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21,059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182,973</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6,654</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70,863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22,273</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11,964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10,893</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6,338</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20,908</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49,413</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192,652</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 finance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113,363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392,124</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equipment finance</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186,371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113,817</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65,420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27,178</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394,541</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Municipal leases</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24,480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129,729</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municipal leases</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19,425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24,517</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11,034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13,584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39,529</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12,715</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129,766</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PPP loans</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PPP loans</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276,427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159,277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705,487</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5,044</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6,954</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commercial</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276,659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160,982</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86,632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49,105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21,677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60,437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62,128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717,620</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81,475</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78,775</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81,847</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One-to-four family</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74,035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346,523</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6,690</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one-to-four family</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55,543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74,035</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48,366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29,615</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23,680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118,887</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354,203</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HELOCs</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159,181</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HELOCs</w:t>
            </w: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8,348</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148,575</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160,137</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residential real estate</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74,493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587,179</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7,990</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residential real estate</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57,873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74,493</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48,701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30,516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23,787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129,390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231,427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596,187</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Term Loans By Origination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0" w:type="dxa"/>
            <w:vAlign w:val="bottom"/>
          </w:tcPr>
          <w:p>
            <w:pPr>
              <w:spacing w:after="0"/>
              <w:rPr>
                <w:sz w:val="2"/>
                <w:szCs w:val="2"/>
                <w:color w:val="auto"/>
              </w:rPr>
            </w:pPr>
          </w:p>
        </w:tc>
        <w:tc>
          <w:tcPr>
            <w:tcW w:w="7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1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consumer</w:t>
            </w: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20,443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84,466</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3"/>
        </w:trPr>
        <w:tc>
          <w:tcPr>
            <w:tcW w:w="3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consumer</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26,007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20,612</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16,123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85,383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aging analyses of past due loans (including nonaccrual loans) by segment and class for the periods indicated below:</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30-89 Days</w:t>
            </w:r>
          </w:p>
        </w:tc>
        <w:tc>
          <w:tcPr>
            <w:tcW w:w="2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8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Loans</w:t>
            </w:r>
          </w:p>
        </w:tc>
      </w:tr>
      <w:tr>
        <w:trPr>
          <w:trHeight w:val="198"/>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4"/>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328,253</w:t>
            </w:r>
          </w:p>
        </w:tc>
      </w:tr>
      <w:tr>
        <w:trPr>
          <w:trHeight w:val="213"/>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340,824</w:t>
            </w:r>
          </w:p>
        </w:tc>
      </w:tr>
      <w:tr>
        <w:trPr>
          <w:trHeight w:val="21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690,241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690,241</w:t>
            </w:r>
          </w:p>
        </w:tc>
      </w:tr>
      <w:tr>
        <w:trPr>
          <w:trHeight w:val="213"/>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Multifamily</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69,156</w:t>
            </w:r>
          </w:p>
        </w:tc>
      </w:tr>
      <w:tr>
        <w:trPr>
          <w:trHeight w:val="212"/>
        </w:trPr>
        <w:tc>
          <w:tcPr>
            <w:tcW w:w="41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1,427,971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1,428,474</w:t>
            </w:r>
          </w:p>
        </w:tc>
      </w:tr>
      <w:tr>
        <w:trPr>
          <w:trHeight w:val="214"/>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194,465</w:t>
            </w:r>
          </w:p>
        </w:tc>
      </w:tr>
      <w:tr>
        <w:trPr>
          <w:trHeight w:val="213"/>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 finance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425,618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426,507</w:t>
            </w:r>
          </w:p>
        </w:tc>
      </w:tr>
      <w:tr>
        <w:trPr>
          <w:trHeight w:val="21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Municipal leases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135,922</w:t>
            </w:r>
          </w:p>
        </w:tc>
      </w:tr>
      <w:tr>
        <w:trPr>
          <w:trHeight w:val="213"/>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PPP loans</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12"/>
        </w:trPr>
        <w:tc>
          <w:tcPr>
            <w:tcW w:w="41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755,500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757,108</w:t>
            </w:r>
          </w:p>
        </w:tc>
      </w:tr>
      <w:tr>
        <w:trPr>
          <w:trHeight w:val="214"/>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100,002</w:t>
            </w:r>
          </w:p>
        </w:tc>
      </w:tr>
      <w:tr>
        <w:trPr>
          <w:trHeight w:val="213"/>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One-to-four family</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400,595</w:t>
            </w:r>
          </w:p>
        </w:tc>
      </w:tr>
      <w:tr>
        <w:trPr>
          <w:trHeight w:val="21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HELOCs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194,296</w:t>
            </w:r>
          </w:p>
        </w:tc>
      </w:tr>
      <w:tr>
        <w:trPr>
          <w:trHeight w:val="207"/>
        </w:trPr>
        <w:tc>
          <w:tcPr>
            <w:tcW w:w="4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690,468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694,893</w:t>
            </w:r>
          </w:p>
        </w:tc>
      </w:tr>
      <w:tr>
        <w:trPr>
          <w:trHeight w:val="217"/>
        </w:trPr>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104,519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105,148</w:t>
            </w:r>
          </w:p>
        </w:tc>
      </w:tr>
      <w:tr>
        <w:trPr>
          <w:trHeight w:val="211"/>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2,978,458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2,985,623</w:t>
            </w:r>
          </w:p>
        </w:tc>
      </w:tr>
      <w:tr>
        <w:trPr>
          <w:trHeight w:val="21"/>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30-89 Days</w:t>
            </w:r>
          </w:p>
        </w:tc>
        <w:tc>
          <w:tcPr>
            <w:tcW w:w="2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8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Loans</w:t>
            </w:r>
          </w:p>
        </w:tc>
      </w:tr>
      <w:tr>
        <w:trPr>
          <w:trHeight w:val="198"/>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4"/>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291,202</w:t>
            </w:r>
          </w:p>
        </w:tc>
      </w:tr>
      <w:tr>
        <w:trPr>
          <w:trHeight w:val="213"/>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335,658</w:t>
            </w:r>
          </w:p>
        </w:tc>
      </w:tr>
      <w:tr>
        <w:trPr>
          <w:trHeight w:val="21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662,159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662,159</w:t>
            </w:r>
          </w:p>
        </w:tc>
      </w:tr>
      <w:tr>
        <w:trPr>
          <w:trHeight w:val="213"/>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Multifamily</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81,086</w:t>
            </w:r>
          </w:p>
        </w:tc>
      </w:tr>
      <w:tr>
        <w:trPr>
          <w:trHeight w:val="212"/>
        </w:trPr>
        <w:tc>
          <w:tcPr>
            <w:tcW w:w="41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1,370,053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1,370,105</w:t>
            </w:r>
          </w:p>
        </w:tc>
      </w:tr>
      <w:tr>
        <w:trPr>
          <w:trHeight w:val="214"/>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192,652</w:t>
            </w:r>
          </w:p>
        </w:tc>
      </w:tr>
      <w:tr>
        <w:trPr>
          <w:trHeight w:val="213"/>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 finance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394,299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394,541</w:t>
            </w:r>
          </w:p>
        </w:tc>
      </w:tr>
      <w:tr>
        <w:trPr>
          <w:trHeight w:val="21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Municipal leases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129,766</w:t>
            </w:r>
          </w:p>
        </w:tc>
      </w:tr>
      <w:tr>
        <w:trPr>
          <w:trHeight w:val="213"/>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PPP loans</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r>
      <w:tr>
        <w:trPr>
          <w:trHeight w:val="212"/>
        </w:trPr>
        <w:tc>
          <w:tcPr>
            <w:tcW w:w="41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717,123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717,620</w:t>
            </w:r>
          </w:p>
        </w:tc>
      </w:tr>
      <w:tr>
        <w:trPr>
          <w:trHeight w:val="214"/>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81,847</w:t>
            </w:r>
          </w:p>
        </w:tc>
      </w:tr>
      <w:tr>
        <w:trPr>
          <w:trHeight w:val="213"/>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One-to-four family</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351,899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354,203</w:t>
            </w:r>
          </w:p>
        </w:tc>
      </w:tr>
      <w:tr>
        <w:trPr>
          <w:trHeight w:val="21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HELOCs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160,137</w:t>
            </w:r>
          </w:p>
        </w:tc>
      </w:tr>
      <w:tr>
        <w:trPr>
          <w:trHeight w:val="207"/>
        </w:trPr>
        <w:tc>
          <w:tcPr>
            <w:tcW w:w="4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593,341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596,187</w:t>
            </w:r>
          </w:p>
        </w:tc>
      </w:tr>
      <w:tr>
        <w:trPr>
          <w:trHeight w:val="217"/>
        </w:trPr>
        <w:tc>
          <w:tcPr>
            <w:tcW w:w="4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84,876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85,383</w:t>
            </w:r>
          </w:p>
        </w:tc>
      </w:tr>
      <w:tr>
        <w:trPr>
          <w:trHeight w:val="211"/>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2,765,393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2,769,295</w:t>
            </w:r>
          </w:p>
        </w:tc>
      </w:tr>
      <w:tr>
        <w:trPr>
          <w:trHeight w:val="21"/>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following table presents recorded investment in loans on nonaccrual status, by segment and class, including restructured loans. It also includes interest income recognized on nonaccrual loans for the six months ended December 31, 2022.</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90 Days+ &amp;</w:t>
            </w: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Nonaccrual With No</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00" w:type="dxa"/>
            <w:vAlign w:val="bottom"/>
          </w:tcPr>
          <w:p>
            <w:pPr>
              <w:spacing w:after="0"/>
              <w:rPr>
                <w:sz w:val="14"/>
                <w:szCs w:val="14"/>
                <w:color w:val="auto"/>
              </w:rPr>
            </w:pPr>
          </w:p>
        </w:tc>
        <w:tc>
          <w:tcPr>
            <w:tcW w:w="15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Still Accruing as of</w:t>
            </w:r>
          </w:p>
        </w:tc>
        <w:tc>
          <w:tcPr>
            <w:tcW w:w="100" w:type="dxa"/>
            <w:vAlign w:val="bottom"/>
          </w:tcPr>
          <w:p>
            <w:pPr>
              <w:spacing w:after="0"/>
              <w:rPr>
                <w:sz w:val="14"/>
                <w:szCs w:val="14"/>
                <w:color w:val="auto"/>
              </w:rPr>
            </w:pPr>
          </w:p>
        </w:tc>
        <w:tc>
          <w:tcPr>
            <w:tcW w:w="15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Allowance as of</w:t>
            </w: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6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0" w:type="dxa"/>
            <w:vAlign w:val="bottom"/>
          </w:tcPr>
          <w:p>
            <w:pPr>
              <w:spacing w:after="0"/>
              <w:rPr>
                <w:sz w:val="1"/>
                <w:szCs w:val="1"/>
                <w:color w:val="auto"/>
              </w:rPr>
            </w:pPr>
          </w:p>
        </w:tc>
      </w:tr>
      <w:tr>
        <w:trPr>
          <w:trHeight w:val="198"/>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Multifamily</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7"/>
        </w:trPr>
        <w:tc>
          <w:tcPr>
            <w:tcW w:w="3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finance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3"/>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Municipal leases</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39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commercial</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4"/>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One-to-four family</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HELOCs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7"/>
        </w:trPr>
        <w:tc>
          <w:tcPr>
            <w:tcW w:w="3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9"/>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TDRs are loans which have renegotiated loan terms to assist borrowers who are unable to meet the original terms of their loans. Such modifications to loan terms may include a lower interest rate, a reduction in principal, and/or a longer term to maturity. The above table excludes $9,327 and $9,818 of TDRs that were performing under their restructured payment terms as of December 31, 2022 and June 30, 2022, respectively.</w:t>
      </w:r>
    </w:p>
    <w:p>
      <w:pPr>
        <w:spacing w:after="0" w:line="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following tables present analyses of the ACL on loans by segment for the periods indicated below. In addition to the provision (benefit) for credit losses on loans presented below, provisions (benefits) of $(85) and $358 for off-balance sheet credit exposures and $(100) and $(250) for commercial paper were recorded for the three and six months ended December 31, 2022, respectively. Provisions (benefits) of $(110) and $(235) for off-balance sheet credit exposures and $50 and $50 for commercial paper were recorded for the three and six months ended December 31, 2021.</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 December 31, 2022</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140" w:type="dxa"/>
            <w:vAlign w:val="bottom"/>
          </w:tcPr>
          <w:p>
            <w:pPr>
              <w:spacing w:after="0"/>
              <w:rPr>
                <w:sz w:val="13"/>
                <w:szCs w:val="13"/>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8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 Real</w:t>
            </w:r>
          </w:p>
        </w:tc>
        <w:tc>
          <w:tcPr>
            <w:tcW w:w="18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6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Estate</w:t>
            </w: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38,301</w:t>
            </w:r>
          </w:p>
        </w:tc>
        <w:tc>
          <w:tcPr>
            <w:tcW w:w="0" w:type="dxa"/>
            <w:vAlign w:val="bottom"/>
          </w:tcPr>
          <w:p>
            <w:pPr>
              <w:spacing w:after="0"/>
              <w:rPr>
                <w:sz w:val="1"/>
                <w:szCs w:val="1"/>
                <w:color w:val="auto"/>
              </w:rPr>
            </w:pPr>
          </w:p>
        </w:tc>
      </w:tr>
      <w:tr>
        <w:trPr>
          <w:trHeight w:val="21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w:t>
            </w:r>
          </w:p>
        </w:tc>
        <w:tc>
          <w:tcPr>
            <w:tcW w:w="0" w:type="dxa"/>
            <w:vAlign w:val="bottom"/>
          </w:tcPr>
          <w:p>
            <w:pPr>
              <w:spacing w:after="0"/>
              <w:rPr>
                <w:sz w:val="1"/>
                <w:szCs w:val="1"/>
                <w:color w:val="auto"/>
              </w:rPr>
            </w:pPr>
          </w:p>
        </w:tc>
      </w:tr>
      <w:tr>
        <w:trPr>
          <w:trHeight w:val="213"/>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12"/>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(charge-offs) recoveries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0" w:type="dxa"/>
            <w:vAlign w:val="bottom"/>
          </w:tcPr>
          <w:p>
            <w:pPr>
              <w:spacing w:after="0"/>
              <w:rPr>
                <w:sz w:val="1"/>
                <w:szCs w:val="1"/>
                <w:color w:val="auto"/>
              </w:rPr>
            </w:pPr>
          </w:p>
        </w:tc>
      </w:tr>
      <w:tr>
        <w:trPr>
          <w:trHeight w:val="207"/>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12,382</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38,859</w:t>
            </w: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Six Months Ended December 31, 2022</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140" w:type="dxa"/>
            <w:vAlign w:val="bottom"/>
          </w:tcPr>
          <w:p>
            <w:pPr>
              <w:spacing w:after="0"/>
              <w:rPr>
                <w:sz w:val="13"/>
                <w:szCs w:val="13"/>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8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 Real</w:t>
            </w:r>
          </w:p>
        </w:tc>
        <w:tc>
          <w:tcPr>
            <w:tcW w:w="18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6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Estate</w:t>
            </w: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34,690</w:t>
            </w:r>
          </w:p>
        </w:tc>
        <w:tc>
          <w:tcPr>
            <w:tcW w:w="0" w:type="dxa"/>
            <w:vAlign w:val="bottom"/>
          </w:tcPr>
          <w:p>
            <w:pPr>
              <w:spacing w:after="0"/>
              <w:rPr>
                <w:sz w:val="1"/>
                <w:szCs w:val="1"/>
                <w:color w:val="auto"/>
              </w:rPr>
            </w:pPr>
          </w:p>
        </w:tc>
      </w:tr>
      <w:tr>
        <w:trPr>
          <w:trHeight w:val="21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6,119</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0" w:type="dxa"/>
            <w:vAlign w:val="bottom"/>
          </w:tcPr>
          <w:p>
            <w:pPr>
              <w:spacing w:after="0"/>
              <w:rPr>
                <w:sz w:val="1"/>
                <w:szCs w:val="1"/>
                <w:color w:val="auto"/>
              </w:rPr>
            </w:pPr>
          </w:p>
        </w:tc>
      </w:tr>
      <w:tr>
        <w:trPr>
          <w:trHeight w:val="213"/>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0" w:type="dxa"/>
            <w:vAlign w:val="bottom"/>
          </w:tcPr>
          <w:p>
            <w:pPr>
              <w:spacing w:after="0"/>
              <w:rPr>
                <w:sz w:val="1"/>
                <w:szCs w:val="1"/>
                <w:color w:val="auto"/>
              </w:rPr>
            </w:pPr>
          </w:p>
        </w:tc>
      </w:tr>
      <w:tr>
        <w:trPr>
          <w:trHeight w:val="212"/>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(charge-offs) recoveries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0" w:type="dxa"/>
            <w:vAlign w:val="bottom"/>
          </w:tcPr>
          <w:p>
            <w:pPr>
              <w:spacing w:after="0"/>
              <w:rPr>
                <w:sz w:val="1"/>
                <w:szCs w:val="1"/>
                <w:color w:val="auto"/>
              </w:rPr>
            </w:pPr>
          </w:p>
        </w:tc>
      </w:tr>
      <w:tr>
        <w:trPr>
          <w:trHeight w:val="207"/>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12,382</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38,859</w:t>
            </w: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 December 31, 2021</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140" w:type="dxa"/>
            <w:vAlign w:val="bottom"/>
          </w:tcPr>
          <w:p>
            <w:pPr>
              <w:spacing w:after="0"/>
              <w:rPr>
                <w:sz w:val="13"/>
                <w:szCs w:val="13"/>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8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 Real</w:t>
            </w:r>
          </w:p>
        </w:tc>
        <w:tc>
          <w:tcPr>
            <w:tcW w:w="18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6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Estate</w:t>
            </w: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34,406</w:t>
            </w:r>
          </w:p>
        </w:tc>
        <w:tc>
          <w:tcPr>
            <w:tcW w:w="0" w:type="dxa"/>
            <w:vAlign w:val="bottom"/>
          </w:tcPr>
          <w:p>
            <w:pPr>
              <w:spacing w:after="0"/>
              <w:rPr>
                <w:sz w:val="1"/>
                <w:szCs w:val="1"/>
                <w:color w:val="auto"/>
              </w:rPr>
            </w:pPr>
          </w:p>
        </w:tc>
      </w:tr>
      <w:tr>
        <w:trPr>
          <w:trHeight w:val="21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0" w:type="dxa"/>
            <w:vAlign w:val="bottom"/>
          </w:tcPr>
          <w:p>
            <w:pPr>
              <w:spacing w:after="0"/>
              <w:rPr>
                <w:sz w:val="1"/>
                <w:szCs w:val="1"/>
                <w:color w:val="auto"/>
              </w:rPr>
            </w:pPr>
          </w:p>
        </w:tc>
      </w:tr>
      <w:tr>
        <w:trPr>
          <w:trHeight w:val="213"/>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2"/>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(charge-offs) recoveries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0" w:type="dxa"/>
            <w:vAlign w:val="bottom"/>
          </w:tcPr>
          <w:p>
            <w:pPr>
              <w:spacing w:after="0"/>
              <w:rPr>
                <w:sz w:val="1"/>
                <w:szCs w:val="1"/>
                <w:color w:val="auto"/>
              </w:rPr>
            </w:pPr>
          </w:p>
        </w:tc>
      </w:tr>
      <w:tr>
        <w:trPr>
          <w:trHeight w:val="207"/>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10,219</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30,933</w:t>
            </w: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Six Months Ended December 31, 2021</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140" w:type="dxa"/>
            <w:vAlign w:val="bottom"/>
          </w:tcPr>
          <w:p>
            <w:pPr>
              <w:spacing w:after="0"/>
              <w:rPr>
                <w:sz w:val="13"/>
                <w:szCs w:val="13"/>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8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Residential Real</w:t>
            </w:r>
          </w:p>
        </w:tc>
        <w:tc>
          <w:tcPr>
            <w:tcW w:w="18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6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Estate</w:t>
            </w: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35,468</w:t>
            </w:r>
          </w:p>
        </w:tc>
        <w:tc>
          <w:tcPr>
            <w:tcW w:w="0" w:type="dxa"/>
            <w:vAlign w:val="bottom"/>
          </w:tcPr>
          <w:p>
            <w:pPr>
              <w:spacing w:after="0"/>
              <w:rPr>
                <w:sz w:val="1"/>
                <w:szCs w:val="1"/>
                <w:color w:val="auto"/>
              </w:rPr>
            </w:pPr>
          </w:p>
        </w:tc>
      </w:tr>
      <w:tr>
        <w:trPr>
          <w:trHeight w:val="21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(3,775)</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Charge-offs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0" w:type="dxa"/>
            <w:vAlign w:val="bottom"/>
          </w:tcPr>
          <w:p>
            <w:pPr>
              <w:spacing w:after="0"/>
              <w:rPr>
                <w:sz w:val="1"/>
                <w:szCs w:val="1"/>
                <w:color w:val="auto"/>
              </w:rPr>
            </w:pPr>
          </w:p>
        </w:tc>
      </w:tr>
      <w:tr>
        <w:trPr>
          <w:trHeight w:val="213"/>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Recoveries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0" w:type="dxa"/>
            <w:vAlign w:val="bottom"/>
          </w:tcPr>
          <w:p>
            <w:pPr>
              <w:spacing w:after="0"/>
              <w:rPr>
                <w:sz w:val="1"/>
                <w:szCs w:val="1"/>
                <w:color w:val="auto"/>
              </w:rPr>
            </w:pPr>
          </w:p>
        </w:tc>
      </w:tr>
      <w:tr>
        <w:trPr>
          <w:trHeight w:val="212"/>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(charge-offs) recoveries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0" w:type="dxa"/>
            <w:vAlign w:val="bottom"/>
          </w:tcPr>
          <w:p>
            <w:pPr>
              <w:spacing w:after="0"/>
              <w:rPr>
                <w:sz w:val="1"/>
                <w:szCs w:val="1"/>
                <w:color w:val="auto"/>
              </w:rPr>
            </w:pPr>
          </w:p>
        </w:tc>
      </w:tr>
      <w:tr>
        <w:trPr>
          <w:trHeight w:val="207"/>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10,219</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30,933</w:t>
            </w: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ending balances of loans and the related ACL, by segment and class for the periods indicated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w w:val="99"/>
              </w:rPr>
              <w:t>Total Loans Receivable</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Loans</w:t>
            </w: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Loans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Individually</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Collectively</w:t>
            </w:r>
          </w:p>
        </w:tc>
        <w:tc>
          <w:tcPr>
            <w:tcW w:w="340" w:type="dxa"/>
            <w:vAlign w:val="bottom"/>
          </w:tcPr>
          <w:p>
            <w:pPr>
              <w:spacing w:after="0"/>
              <w:rPr>
                <w:sz w:val="14"/>
                <w:szCs w:val="14"/>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Individually</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Collectively</w:t>
            </w:r>
          </w:p>
        </w:tc>
        <w:tc>
          <w:tcPr>
            <w:tcW w:w="260" w:type="dxa"/>
            <w:vAlign w:val="bottom"/>
          </w:tcPr>
          <w:p>
            <w:pPr>
              <w:spacing w:after="0"/>
              <w:rPr>
                <w:sz w:val="14"/>
                <w:szCs w:val="14"/>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Evaluated</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Evaluated</w:t>
            </w:r>
          </w:p>
        </w:tc>
        <w:tc>
          <w:tcPr>
            <w:tcW w:w="3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Evaluated</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Evaluated</w:t>
            </w: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328,253</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340,824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340,824</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690,241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690,241</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Multifamily</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69,156</w:t>
            </w:r>
          </w:p>
        </w:tc>
        <w:tc>
          <w:tcPr>
            <w:tcW w:w="0" w:type="dxa"/>
            <w:vAlign w:val="bottom"/>
          </w:tcPr>
          <w:p>
            <w:pPr>
              <w:spacing w:after="0"/>
              <w:rPr>
                <w:sz w:val="1"/>
                <w:szCs w:val="1"/>
                <w:color w:val="auto"/>
              </w:rPr>
            </w:pPr>
          </w:p>
        </w:tc>
      </w:tr>
      <w:tr>
        <w:trPr>
          <w:trHeight w:val="212"/>
        </w:trPr>
        <w:tc>
          <w:tcPr>
            <w:tcW w:w="37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1,428,474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1,428,474</w:t>
            </w:r>
          </w:p>
        </w:tc>
        <w:tc>
          <w:tcPr>
            <w:tcW w:w="0" w:type="dxa"/>
            <w:vAlign w:val="bottom"/>
          </w:tcPr>
          <w:p>
            <w:pPr>
              <w:spacing w:after="0"/>
              <w:rPr>
                <w:sz w:val="1"/>
                <w:szCs w:val="1"/>
                <w:color w:val="auto"/>
              </w:rPr>
            </w:pPr>
          </w:p>
        </w:tc>
      </w:tr>
      <w:tr>
        <w:trPr>
          <w:trHeight w:val="214"/>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194,465</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 finance</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426,507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426,507</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Municipal leases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135,922</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PPP loans</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2"/>
        </w:trPr>
        <w:tc>
          <w:tcPr>
            <w:tcW w:w="37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commercial</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755,603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757,108</w:t>
            </w:r>
          </w:p>
        </w:tc>
        <w:tc>
          <w:tcPr>
            <w:tcW w:w="0" w:type="dxa"/>
            <w:vAlign w:val="bottom"/>
          </w:tcPr>
          <w:p>
            <w:pPr>
              <w:spacing w:after="0"/>
              <w:rPr>
                <w:sz w:val="1"/>
                <w:szCs w:val="1"/>
                <w:color w:val="auto"/>
              </w:rPr>
            </w:pPr>
          </w:p>
        </w:tc>
      </w:tr>
      <w:tr>
        <w:trPr>
          <w:trHeight w:val="214"/>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100,002</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One-to-four family</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398,663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400,595</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HELOCs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194,296</w:t>
            </w:r>
          </w:p>
        </w:tc>
        <w:tc>
          <w:tcPr>
            <w:tcW w:w="0" w:type="dxa"/>
            <w:vAlign w:val="bottom"/>
          </w:tcPr>
          <w:p>
            <w:pPr>
              <w:spacing w:after="0"/>
              <w:rPr>
                <w:sz w:val="1"/>
                <w:szCs w:val="1"/>
                <w:color w:val="auto"/>
              </w:rPr>
            </w:pPr>
          </w:p>
        </w:tc>
      </w:tr>
      <w:tr>
        <w:trPr>
          <w:trHeight w:val="207"/>
        </w:trPr>
        <w:tc>
          <w:tcPr>
            <w:tcW w:w="3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9,048</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9,048</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692,961</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694,893</w:t>
            </w:r>
          </w:p>
        </w:tc>
        <w:tc>
          <w:tcPr>
            <w:tcW w:w="0" w:type="dxa"/>
            <w:vAlign w:val="bottom"/>
          </w:tcPr>
          <w:p>
            <w:pPr>
              <w:spacing w:after="0"/>
              <w:rPr>
                <w:sz w:val="1"/>
                <w:szCs w:val="1"/>
                <w:color w:val="auto"/>
              </w:rPr>
            </w:pPr>
          </w:p>
        </w:tc>
      </w:tr>
      <w:tr>
        <w:trPr>
          <w:trHeight w:val="217"/>
        </w:trPr>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105,148</w:t>
            </w:r>
          </w:p>
        </w:tc>
        <w:tc>
          <w:tcPr>
            <w:tcW w:w="0" w:type="dxa"/>
            <w:vAlign w:val="bottom"/>
          </w:tcPr>
          <w:p>
            <w:pPr>
              <w:spacing w:after="0"/>
              <w:rPr>
                <w:sz w:val="1"/>
                <w:szCs w:val="1"/>
                <w:color w:val="auto"/>
              </w:rPr>
            </w:pPr>
          </w:p>
        </w:tc>
      </w:tr>
      <w:tr>
        <w:trPr>
          <w:trHeight w:val="211"/>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38,213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38,859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2,982,186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2,985,623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w w:val="99"/>
              </w:rPr>
              <w:t>Total Loans Receivable</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Loans</w:t>
            </w: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Loans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Individually</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Collectively</w:t>
            </w:r>
          </w:p>
        </w:tc>
        <w:tc>
          <w:tcPr>
            <w:tcW w:w="340" w:type="dxa"/>
            <w:vAlign w:val="bottom"/>
          </w:tcPr>
          <w:p>
            <w:pPr>
              <w:spacing w:after="0"/>
              <w:rPr>
                <w:sz w:val="14"/>
                <w:szCs w:val="14"/>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Individually</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Collectively</w:t>
            </w:r>
          </w:p>
        </w:tc>
        <w:tc>
          <w:tcPr>
            <w:tcW w:w="260" w:type="dxa"/>
            <w:vAlign w:val="bottom"/>
          </w:tcPr>
          <w:p>
            <w:pPr>
              <w:spacing w:after="0"/>
              <w:rPr>
                <w:sz w:val="14"/>
                <w:szCs w:val="14"/>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Evaluated</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Evaluated</w:t>
            </w:r>
          </w:p>
        </w:tc>
        <w:tc>
          <w:tcPr>
            <w:tcW w:w="3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Evaluated</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Evaluated</w:t>
            </w: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291,202</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335,658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662,159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662,159</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Multifamily</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81,086</w:t>
            </w:r>
          </w:p>
        </w:tc>
        <w:tc>
          <w:tcPr>
            <w:tcW w:w="0" w:type="dxa"/>
            <w:vAlign w:val="bottom"/>
          </w:tcPr>
          <w:p>
            <w:pPr>
              <w:spacing w:after="0"/>
              <w:rPr>
                <w:sz w:val="1"/>
                <w:szCs w:val="1"/>
                <w:color w:val="auto"/>
              </w:rPr>
            </w:pPr>
          </w:p>
        </w:tc>
      </w:tr>
      <w:tr>
        <w:trPr>
          <w:trHeight w:val="212"/>
        </w:trPr>
        <w:tc>
          <w:tcPr>
            <w:tcW w:w="37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1,370,105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1,370,105</w:t>
            </w:r>
          </w:p>
        </w:tc>
        <w:tc>
          <w:tcPr>
            <w:tcW w:w="0" w:type="dxa"/>
            <w:vAlign w:val="bottom"/>
          </w:tcPr>
          <w:p>
            <w:pPr>
              <w:spacing w:after="0"/>
              <w:rPr>
                <w:sz w:val="1"/>
                <w:szCs w:val="1"/>
                <w:color w:val="auto"/>
              </w:rPr>
            </w:pPr>
          </w:p>
        </w:tc>
      </w:tr>
      <w:tr>
        <w:trPr>
          <w:trHeight w:val="214"/>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192,652</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 finance</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394,541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394,541</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Municipal leases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129,766</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PPP loans</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212"/>
        </w:trPr>
        <w:tc>
          <w:tcPr>
            <w:tcW w:w="37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commercial</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714,766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717,620</w:t>
            </w:r>
          </w:p>
        </w:tc>
        <w:tc>
          <w:tcPr>
            <w:tcW w:w="0" w:type="dxa"/>
            <w:vAlign w:val="bottom"/>
          </w:tcPr>
          <w:p>
            <w:pPr>
              <w:spacing w:after="0"/>
              <w:rPr>
                <w:sz w:val="1"/>
                <w:szCs w:val="1"/>
                <w:color w:val="auto"/>
              </w:rPr>
            </w:pPr>
          </w:p>
        </w:tc>
      </w:tr>
      <w:tr>
        <w:trPr>
          <w:trHeight w:val="214"/>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81,847</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One-to-four family</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351,717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354,203</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HELOCs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160,137</w:t>
            </w:r>
          </w:p>
        </w:tc>
        <w:tc>
          <w:tcPr>
            <w:tcW w:w="0" w:type="dxa"/>
            <w:vAlign w:val="bottom"/>
          </w:tcPr>
          <w:p>
            <w:pPr>
              <w:spacing w:after="0"/>
              <w:rPr>
                <w:sz w:val="1"/>
                <w:szCs w:val="1"/>
                <w:color w:val="auto"/>
              </w:rPr>
            </w:pPr>
          </w:p>
        </w:tc>
      </w:tr>
      <w:tr>
        <w:trPr>
          <w:trHeight w:val="207"/>
        </w:trPr>
        <w:tc>
          <w:tcPr>
            <w:tcW w:w="3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7,611</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593,701</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596,187</w:t>
            </w:r>
          </w:p>
        </w:tc>
        <w:tc>
          <w:tcPr>
            <w:tcW w:w="0" w:type="dxa"/>
            <w:vAlign w:val="bottom"/>
          </w:tcPr>
          <w:p>
            <w:pPr>
              <w:spacing w:after="0"/>
              <w:rPr>
                <w:sz w:val="1"/>
                <w:szCs w:val="1"/>
                <w:color w:val="auto"/>
              </w:rPr>
            </w:pPr>
          </w:p>
        </w:tc>
      </w:tr>
      <w:tr>
        <w:trPr>
          <w:trHeight w:val="217"/>
        </w:trPr>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85,383</w:t>
            </w:r>
          </w:p>
        </w:tc>
        <w:tc>
          <w:tcPr>
            <w:tcW w:w="0" w:type="dxa"/>
            <w:vAlign w:val="bottom"/>
          </w:tcPr>
          <w:p>
            <w:pPr>
              <w:spacing w:after="0"/>
              <w:rPr>
                <w:sz w:val="1"/>
                <w:szCs w:val="1"/>
                <w:color w:val="auto"/>
              </w:rPr>
            </w:pPr>
          </w:p>
        </w:tc>
      </w:tr>
      <w:tr>
        <w:trPr>
          <w:trHeight w:val="211"/>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32,499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34,690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2,763,955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2,769,295</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estimating expected credit losses, ASC 326 prescribes that if foreclosure is probable, a CDA is required to be measured at the fair value of collateral, but as a practical expedient, if foreclosure is not probable, fair value measurement is optional. For those CDA loans measured at the fair value of collateral, a credit loss expense is recorded for loan amounts in excess of fair value. The following tables provide a breakdown between loans identified as CDAs and non-CDAs, by segment and class, and securing collateral, as well as collateral coverage for those loans for the periods indicated below:</w:t>
      </w:r>
    </w:p>
    <w:tbl>
      <w:tblPr>
        <w:tblLayout w:type="fixed"/>
        <w:tblInd w:w="0" w:type="dxa"/>
        <w:tblCellMar>
          <w:top w:w="0" w:type="dxa"/>
          <w:left w:w="0" w:type="dxa"/>
          <w:bottom w:w="0" w:type="dxa"/>
          <w:right w:w="0" w:type="dxa"/>
        </w:tblCellMar>
      </w:tblPr>
      <w:tr>
        <w:trPr>
          <w:trHeight w:val="179"/>
        </w:trPr>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20" w:type="dxa"/>
            <w:vAlign w:val="bottom"/>
            <w:gridSpan w:val="10"/>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Type of Collateral and Extent to Which Collateral Secures Financial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line="179" w:lineRule="exact"/>
              <w:rPr>
                <w:sz w:val="20"/>
                <w:szCs w:val="20"/>
                <w:color w:val="auto"/>
              </w:rPr>
            </w:pPr>
            <w:r>
              <w:rPr>
                <w:rFonts w:ascii="Times New Roman" w:cs="Times New Roman" w:eastAsia="Times New Roman" w:hAnsi="Times New Roman"/>
                <w:sz w:val="16"/>
                <w:szCs w:val="16"/>
                <w:b w:val="1"/>
                <w:bCs w:val="1"/>
                <w:color w:val="auto"/>
              </w:rPr>
              <w:t>Financial</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3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20" w:type="dxa"/>
            <w:vAlign w:val="bottom"/>
            <w:gridSpan w:val="10"/>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Assets Not</w:t>
            </w: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3"/>
            <w:vMerge w:val="restart"/>
          </w:tcPr>
          <w:p>
            <w:pPr>
              <w:ind w:left="8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vMerge w:val="continue"/>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w w:val="99"/>
              </w:rPr>
              <w:t>Considered</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Pr>
          <w:p>
            <w:pPr>
              <w:spacing w:after="0"/>
              <w:rPr>
                <w:sz w:val="13"/>
                <w:szCs w:val="13"/>
                <w:color w:val="auto"/>
              </w:rPr>
            </w:pPr>
          </w:p>
        </w:tc>
        <w:tc>
          <w:tcPr>
            <w:tcW w:w="11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rPr>
              <w:t>Residential</w:t>
            </w:r>
          </w:p>
        </w:tc>
        <w:tc>
          <w:tcPr>
            <w:tcW w:w="140" w:type="dxa"/>
            <w:vAlign w:val="bottom"/>
          </w:tcPr>
          <w:p>
            <w:pPr>
              <w:spacing w:after="0"/>
              <w:rPr>
                <w:sz w:val="13"/>
                <w:szCs w:val="13"/>
                <w:color w:val="auto"/>
              </w:rPr>
            </w:pPr>
          </w:p>
        </w:tc>
        <w:tc>
          <w:tcPr>
            <w:tcW w:w="112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auto"/>
              </w:rPr>
              <w:t>Investment</w:t>
            </w:r>
          </w:p>
        </w:tc>
        <w:tc>
          <w:tcPr>
            <w:tcW w:w="180" w:type="dxa"/>
            <w:vAlign w:val="bottom"/>
          </w:tcPr>
          <w:p>
            <w:pPr>
              <w:spacing w:after="0"/>
              <w:rPr>
                <w:sz w:val="13"/>
                <w:szCs w:val="13"/>
                <w:color w:val="auto"/>
              </w:rPr>
            </w:pPr>
          </w:p>
        </w:tc>
        <w:tc>
          <w:tcPr>
            <w:tcW w:w="116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160" w:type="dxa"/>
            <w:vAlign w:val="bottom"/>
          </w:tcPr>
          <w:p>
            <w:pPr>
              <w:spacing w:after="0"/>
              <w:rPr>
                <w:sz w:val="13"/>
                <w:szCs w:val="13"/>
                <w:color w:val="auto"/>
              </w:rPr>
            </w:pPr>
          </w:p>
        </w:tc>
        <w:tc>
          <w:tcPr>
            <w:tcW w:w="900" w:type="dxa"/>
            <w:vAlign w:val="bottom"/>
          </w:tcPr>
          <w:p>
            <w:pPr>
              <w:jc w:val="right"/>
              <w:ind w:right="159"/>
              <w:spacing w:after="0" w:line="155" w:lineRule="exact"/>
              <w:rPr>
                <w:sz w:val="20"/>
                <w:szCs w:val="20"/>
                <w:color w:val="auto"/>
              </w:rPr>
            </w:pPr>
            <w:r>
              <w:rPr>
                <w:rFonts w:ascii="Times New Roman" w:cs="Times New Roman" w:eastAsia="Times New Roman" w:hAnsi="Times New Roman"/>
                <w:sz w:val="16"/>
                <w:szCs w:val="16"/>
                <w:b w:val="1"/>
                <w:bCs w:val="1"/>
                <w:color w:val="auto"/>
              </w:rPr>
              <w:t>Business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rPr>
              <w:t>Collateral</w:t>
            </w:r>
          </w:p>
        </w:tc>
        <w:tc>
          <w:tcPr>
            <w:tcW w:w="240" w:type="dxa"/>
            <w:vAlign w:val="bottom"/>
          </w:tcPr>
          <w:p>
            <w:pPr>
              <w:spacing w:after="0"/>
              <w:rPr>
                <w:sz w:val="13"/>
                <w:szCs w:val="13"/>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60" w:type="dxa"/>
            <w:vAlign w:val="bottom"/>
          </w:tcPr>
          <w:p>
            <w:pPr>
              <w:spacing w:after="0"/>
              <w:rPr>
                <w:sz w:val="18"/>
                <w:szCs w:val="18"/>
                <w:color w:val="auto"/>
              </w:rPr>
            </w:pP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Dependent</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328,253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328,253</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340,824</w:t>
            </w:r>
          </w:p>
        </w:tc>
        <w:tc>
          <w:tcPr>
            <w:tcW w:w="0" w:type="dxa"/>
            <w:vAlign w:val="bottom"/>
          </w:tcPr>
          <w:p>
            <w:pPr>
              <w:spacing w:after="0"/>
              <w:rPr>
                <w:sz w:val="1"/>
                <w:szCs w:val="1"/>
                <w:color w:val="auto"/>
              </w:rPr>
            </w:pPr>
          </w:p>
        </w:tc>
      </w:tr>
      <w:tr>
        <w:trPr>
          <w:trHeight w:val="21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690,241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690,241</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Multifamily</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69,156</w:t>
            </w:r>
          </w:p>
        </w:tc>
        <w:tc>
          <w:tcPr>
            <w:tcW w:w="0" w:type="dxa"/>
            <w:vAlign w:val="bottom"/>
          </w:tcPr>
          <w:p>
            <w:pPr>
              <w:spacing w:after="0"/>
              <w:rPr>
                <w:sz w:val="1"/>
                <w:szCs w:val="1"/>
                <w:color w:val="auto"/>
              </w:rPr>
            </w:pPr>
          </w:p>
        </w:tc>
      </w:tr>
      <w:tr>
        <w:trPr>
          <w:trHeight w:val="207"/>
        </w:trPr>
        <w:tc>
          <w:tcPr>
            <w:tcW w:w="3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1,428,474</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1,428,474</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194,465</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finance</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426,507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426,507</w:t>
            </w:r>
          </w:p>
        </w:tc>
        <w:tc>
          <w:tcPr>
            <w:tcW w:w="0" w:type="dxa"/>
            <w:vAlign w:val="bottom"/>
          </w:tcPr>
          <w:p>
            <w:pPr>
              <w:spacing w:after="0"/>
              <w:rPr>
                <w:sz w:val="1"/>
                <w:szCs w:val="1"/>
                <w:color w:val="auto"/>
              </w:rPr>
            </w:pPr>
          </w:p>
        </w:tc>
      </w:tr>
      <w:tr>
        <w:trPr>
          <w:trHeight w:val="21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Municipal leases</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135,922</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PPP loans</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07"/>
        </w:trPr>
        <w:tc>
          <w:tcPr>
            <w:tcW w:w="3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commercial</w:t>
            </w: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756,292</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757,108</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100,002</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One-to-four family</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400,595</w:t>
            </w:r>
          </w:p>
        </w:tc>
        <w:tc>
          <w:tcPr>
            <w:tcW w:w="0" w:type="dxa"/>
            <w:vAlign w:val="bottom"/>
          </w:tcPr>
          <w:p>
            <w:pPr>
              <w:spacing w:after="0"/>
              <w:rPr>
                <w:sz w:val="1"/>
                <w:szCs w:val="1"/>
                <w:color w:val="auto"/>
              </w:rPr>
            </w:pPr>
          </w:p>
        </w:tc>
      </w:tr>
      <w:tr>
        <w:trPr>
          <w:trHeight w:val="21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HELOCs</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194,296</w:t>
            </w:r>
          </w:p>
        </w:tc>
        <w:tc>
          <w:tcPr>
            <w:tcW w:w="0" w:type="dxa"/>
            <w:vAlign w:val="bottom"/>
          </w:tcPr>
          <w:p>
            <w:pPr>
              <w:spacing w:after="0"/>
              <w:rPr>
                <w:sz w:val="1"/>
                <w:szCs w:val="1"/>
                <w:color w:val="auto"/>
              </w:rPr>
            </w:pPr>
          </w:p>
        </w:tc>
      </w:tr>
      <w:tr>
        <w:trPr>
          <w:trHeight w:val="212"/>
        </w:trPr>
        <w:tc>
          <w:tcPr>
            <w:tcW w:w="39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694,128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694,893</w:t>
            </w:r>
          </w:p>
        </w:tc>
        <w:tc>
          <w:tcPr>
            <w:tcW w:w="0" w:type="dxa"/>
            <w:vAlign w:val="bottom"/>
          </w:tcPr>
          <w:p>
            <w:pPr>
              <w:spacing w:after="0"/>
              <w:rPr>
                <w:sz w:val="1"/>
                <w:szCs w:val="1"/>
                <w:color w:val="auto"/>
              </w:rPr>
            </w:pPr>
          </w:p>
        </w:tc>
      </w:tr>
      <w:tr>
        <w:trPr>
          <w:trHeight w:val="214"/>
        </w:trPr>
        <w:tc>
          <w:tcPr>
            <w:tcW w:w="39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105,148</w:t>
            </w:r>
          </w:p>
        </w:tc>
        <w:tc>
          <w:tcPr>
            <w:tcW w:w="0" w:type="dxa"/>
            <w:vAlign w:val="bottom"/>
          </w:tcPr>
          <w:p>
            <w:pPr>
              <w:spacing w:after="0"/>
              <w:rPr>
                <w:sz w:val="1"/>
                <w:szCs w:val="1"/>
                <w:color w:val="auto"/>
              </w:rPr>
            </w:pPr>
          </w:p>
        </w:tc>
      </w:tr>
      <w:tr>
        <w:trPr>
          <w:trHeight w:val="236"/>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2,984,042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2,985,623</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collateral value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gridSpan w:val="18"/>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Type of Collateral and Extent to Which Collateral Secures Financial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Financial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3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20" w:type="dxa"/>
            <w:vAlign w:val="bottom"/>
            <w:gridSpan w:val="18"/>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2"/>
            <w:vMerge w:val="restart"/>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Assets Not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00" w:type="dxa"/>
            <w:vAlign w:val="bottom"/>
            <w:gridSpan w:val="7"/>
            <w:vMerge w:val="restart"/>
          </w:tcPr>
          <w:p>
            <w:pPr>
              <w:ind w:left="8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7"/>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6"/>
                <w:szCs w:val="16"/>
                <w:b w:val="1"/>
                <w:bCs w:val="1"/>
                <w:color w:val="auto"/>
                <w:w w:val="99"/>
              </w:rPr>
              <w:t>Considered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00" w:type="dxa"/>
            <w:vAlign w:val="bottom"/>
          </w:tcPr>
          <w:p>
            <w:pPr>
              <w:spacing w:after="0"/>
              <w:rPr>
                <w:sz w:val="13"/>
                <w:szCs w:val="13"/>
                <w:color w:val="auto"/>
              </w:rPr>
            </w:pPr>
          </w:p>
        </w:tc>
        <w:tc>
          <w:tcPr>
            <w:tcW w:w="1060" w:type="dxa"/>
            <w:vAlign w:val="bottom"/>
            <w:gridSpan w:val="3"/>
          </w:tcPr>
          <w:p>
            <w:pPr>
              <w:jc w:val="center"/>
              <w:ind w:right="120"/>
              <w:spacing w:after="0" w:line="155" w:lineRule="exact"/>
              <w:rPr>
                <w:sz w:val="20"/>
                <w:szCs w:val="20"/>
                <w:color w:val="auto"/>
              </w:rPr>
            </w:pPr>
            <w:r>
              <w:rPr>
                <w:rFonts w:ascii="Times New Roman" w:cs="Times New Roman" w:eastAsia="Times New Roman" w:hAnsi="Times New Roman"/>
                <w:sz w:val="16"/>
                <w:szCs w:val="16"/>
                <w:b w:val="1"/>
                <w:bCs w:val="1"/>
                <w:color w:val="auto"/>
              </w:rPr>
              <w:t>Residential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Investment</w:t>
            </w:r>
          </w:p>
        </w:tc>
        <w:tc>
          <w:tcPr>
            <w:tcW w:w="120" w:type="dxa"/>
            <w:vAlign w:val="bottom"/>
          </w:tcPr>
          <w:p>
            <w:pPr>
              <w:spacing w:after="0"/>
              <w:rPr>
                <w:sz w:val="13"/>
                <w:szCs w:val="13"/>
                <w:color w:val="auto"/>
              </w:rPr>
            </w:pPr>
          </w:p>
        </w:tc>
        <w:tc>
          <w:tcPr>
            <w:tcW w:w="1220" w:type="dxa"/>
            <w:vAlign w:val="bottom"/>
            <w:gridSpan w:val="4"/>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rPr>
              <w:t>Commercial</w:t>
            </w: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Business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6"/>
                <w:szCs w:val="16"/>
                <w:b w:val="1"/>
                <w:bCs w:val="1"/>
                <w:color w:val="auto"/>
              </w:rPr>
              <w:t>Collateral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20" w:type="dxa"/>
            <w:vAlign w:val="bottom"/>
          </w:tcPr>
          <w:p>
            <w:pPr>
              <w:spacing w:after="0"/>
              <w:rPr>
                <w:sz w:val="18"/>
                <w:szCs w:val="18"/>
                <w:color w:val="auto"/>
              </w:rPr>
            </w:pPr>
          </w:p>
        </w:tc>
        <w:tc>
          <w:tcPr>
            <w:tcW w:w="122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Dependent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w:t>
            </w: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4"/>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291,202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291,202</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335,658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335,658</w:t>
            </w:r>
          </w:p>
        </w:tc>
        <w:tc>
          <w:tcPr>
            <w:tcW w:w="0" w:type="dxa"/>
            <w:vAlign w:val="bottom"/>
          </w:tcPr>
          <w:p>
            <w:pPr>
              <w:spacing w:after="0"/>
              <w:rPr>
                <w:sz w:val="1"/>
                <w:szCs w:val="1"/>
                <w:color w:val="auto"/>
              </w:rPr>
            </w:pPr>
          </w:p>
        </w:tc>
      </w:tr>
      <w:tr>
        <w:trPr>
          <w:trHeight w:val="21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4"/>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662,159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662,159</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Multifamily</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81,086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81,086</w:t>
            </w:r>
          </w:p>
        </w:tc>
        <w:tc>
          <w:tcPr>
            <w:tcW w:w="0" w:type="dxa"/>
            <w:vAlign w:val="bottom"/>
          </w:tcPr>
          <w:p>
            <w:pPr>
              <w:spacing w:after="0"/>
              <w:rPr>
                <w:sz w:val="1"/>
                <w:szCs w:val="1"/>
                <w:color w:val="auto"/>
              </w:rPr>
            </w:pPr>
          </w:p>
        </w:tc>
      </w:tr>
      <w:tr>
        <w:trPr>
          <w:trHeight w:val="207"/>
        </w:trPr>
        <w:tc>
          <w:tcPr>
            <w:tcW w:w="3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1,370,105</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1,370,105</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4"/>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190,058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192,652</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finance</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394,541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394,541</w:t>
            </w:r>
          </w:p>
        </w:tc>
        <w:tc>
          <w:tcPr>
            <w:tcW w:w="0" w:type="dxa"/>
            <w:vAlign w:val="bottom"/>
          </w:tcPr>
          <w:p>
            <w:pPr>
              <w:spacing w:after="0"/>
              <w:rPr>
                <w:sz w:val="1"/>
                <w:szCs w:val="1"/>
                <w:color w:val="auto"/>
              </w:rPr>
            </w:pPr>
          </w:p>
        </w:tc>
      </w:tr>
      <w:tr>
        <w:trPr>
          <w:trHeight w:val="21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Municipal leases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4"/>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129,766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129,766</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PPP loans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207"/>
        </w:trPr>
        <w:tc>
          <w:tcPr>
            <w:tcW w:w="3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commercial</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715,026</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717,620</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4"/>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81,847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81,847</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One-to-four family</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352,885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354,203</w:t>
            </w:r>
          </w:p>
        </w:tc>
        <w:tc>
          <w:tcPr>
            <w:tcW w:w="0" w:type="dxa"/>
            <w:vAlign w:val="bottom"/>
          </w:tcPr>
          <w:p>
            <w:pPr>
              <w:spacing w:after="0"/>
              <w:rPr>
                <w:sz w:val="1"/>
                <w:szCs w:val="1"/>
                <w:color w:val="auto"/>
              </w:rPr>
            </w:pPr>
          </w:p>
        </w:tc>
      </w:tr>
      <w:tr>
        <w:trPr>
          <w:trHeight w:val="213"/>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HELOCs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4"/>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160,137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160,137</w:t>
            </w:r>
          </w:p>
        </w:tc>
        <w:tc>
          <w:tcPr>
            <w:tcW w:w="0" w:type="dxa"/>
            <w:vAlign w:val="bottom"/>
          </w:tcPr>
          <w:p>
            <w:pPr>
              <w:spacing w:after="0"/>
              <w:rPr>
                <w:sz w:val="1"/>
                <w:szCs w:val="1"/>
                <w:color w:val="auto"/>
              </w:rPr>
            </w:pPr>
          </w:p>
        </w:tc>
      </w:tr>
      <w:tr>
        <w:trPr>
          <w:trHeight w:val="212"/>
        </w:trPr>
        <w:tc>
          <w:tcPr>
            <w:tcW w:w="39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residential real estate</w:t>
            </w: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594,869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596,187</w:t>
            </w:r>
          </w:p>
        </w:tc>
        <w:tc>
          <w:tcPr>
            <w:tcW w:w="0" w:type="dxa"/>
            <w:vAlign w:val="bottom"/>
          </w:tcPr>
          <w:p>
            <w:pPr>
              <w:spacing w:after="0"/>
              <w:rPr>
                <w:sz w:val="1"/>
                <w:szCs w:val="1"/>
                <w:color w:val="auto"/>
              </w:rPr>
            </w:pPr>
          </w:p>
        </w:tc>
      </w:tr>
      <w:tr>
        <w:trPr>
          <w:trHeight w:val="214"/>
        </w:trPr>
        <w:tc>
          <w:tcPr>
            <w:tcW w:w="39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4"/>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85,383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85,383</w:t>
            </w:r>
          </w:p>
        </w:tc>
        <w:tc>
          <w:tcPr>
            <w:tcW w:w="0" w:type="dxa"/>
            <w:vAlign w:val="bottom"/>
          </w:tcPr>
          <w:p>
            <w:pPr>
              <w:spacing w:after="0"/>
              <w:rPr>
                <w:sz w:val="1"/>
                <w:szCs w:val="1"/>
                <w:color w:val="auto"/>
              </w:rPr>
            </w:pPr>
          </w:p>
        </w:tc>
      </w:tr>
      <w:tr>
        <w:trPr>
          <w:trHeight w:val="236"/>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2,765,383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2,769,295</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collateral value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87"/>
              </w:rPr>
              <w:t>69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860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The following tables present a breakdown of the types of concessions made on TDRs by loan class for the periods indicated below:</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1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w:t>
            </w:r>
          </w:p>
        </w:tc>
        <w:tc>
          <w:tcPr>
            <w:tcW w:w="120" w:type="dxa"/>
            <w:vAlign w:val="bottom"/>
          </w:tcPr>
          <w:p>
            <w:pPr>
              <w:spacing w:after="0"/>
              <w:rPr>
                <w:sz w:val="13"/>
                <w:szCs w:val="13"/>
                <w:color w:val="auto"/>
              </w:rPr>
            </w:pPr>
          </w:p>
        </w:tc>
        <w:tc>
          <w:tcPr>
            <w:tcW w:w="10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Post</w:t>
            </w: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4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119"/>
              <w:spacing w:after="0" w:line="158" w:lineRule="exact"/>
              <w:rPr>
                <w:sz w:val="20"/>
                <w:szCs w:val="20"/>
                <w:color w:val="auto"/>
              </w:rPr>
            </w:pPr>
            <w:r>
              <w:rPr>
                <w:rFonts w:ascii="Times New Roman" w:cs="Times New Roman" w:eastAsia="Times New Roman" w:hAnsi="Times New Roman"/>
                <w:sz w:val="16"/>
                <w:szCs w:val="16"/>
                <w:b w:val="1"/>
                <w:bCs w:val="1"/>
                <w:color w:val="auto"/>
                <w:w w:val="95"/>
              </w:rPr>
              <w:t>Post</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Modification</w:t>
            </w:r>
          </w:p>
        </w:tc>
        <w:tc>
          <w:tcPr>
            <w:tcW w:w="120" w:type="dxa"/>
            <w:vAlign w:val="bottom"/>
          </w:tcPr>
          <w:p>
            <w:pPr>
              <w:spacing w:after="0"/>
              <w:rPr>
                <w:sz w:val="14"/>
                <w:szCs w:val="14"/>
                <w:color w:val="auto"/>
              </w:rPr>
            </w:pPr>
          </w:p>
        </w:tc>
        <w:tc>
          <w:tcPr>
            <w:tcW w:w="1220" w:type="dxa"/>
            <w:vAlign w:val="bottom"/>
            <w:gridSpan w:val="4"/>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Modification</w:t>
            </w:r>
          </w:p>
        </w:tc>
        <w:tc>
          <w:tcPr>
            <w:tcW w:w="100" w:type="dxa"/>
            <w:vAlign w:val="bottom"/>
          </w:tcPr>
          <w:p>
            <w:pPr>
              <w:spacing w:after="0"/>
              <w:rPr>
                <w:sz w:val="14"/>
                <w:szCs w:val="14"/>
                <w:color w:val="auto"/>
              </w:rPr>
            </w:pP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Modification</w:t>
            </w:r>
          </w:p>
        </w:tc>
        <w:tc>
          <w:tcPr>
            <w:tcW w:w="100" w:type="dxa"/>
            <w:vAlign w:val="bottom"/>
          </w:tcPr>
          <w:p>
            <w:pPr>
              <w:spacing w:after="0"/>
              <w:rPr>
                <w:sz w:val="14"/>
                <w:szCs w:val="14"/>
                <w:color w:val="auto"/>
              </w:rPr>
            </w:pPr>
          </w:p>
        </w:tc>
        <w:tc>
          <w:tcPr>
            <w:tcW w:w="1100" w:type="dxa"/>
            <w:vAlign w:val="bottom"/>
            <w:gridSpan w:val="2"/>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Modification</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4"/>
                <w:szCs w:val="14"/>
                <w:color w:val="auto"/>
              </w:rPr>
            </w:pPr>
          </w:p>
        </w:tc>
        <w:tc>
          <w:tcPr>
            <w:tcW w:w="1220" w:type="dxa"/>
            <w:vAlign w:val="bottom"/>
            <w:gridSpan w:val="4"/>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100" w:type="dxa"/>
            <w:vAlign w:val="bottom"/>
            <w:gridSpan w:val="2"/>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w w:val="89"/>
              </w:rPr>
              <w:t>of</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120" w:type="dxa"/>
            <w:vAlign w:val="bottom"/>
          </w:tcPr>
          <w:p>
            <w:pPr>
              <w:spacing w:after="0"/>
              <w:rPr>
                <w:sz w:val="14"/>
                <w:szCs w:val="14"/>
                <w:color w:val="auto"/>
              </w:rPr>
            </w:pPr>
          </w:p>
        </w:tc>
        <w:tc>
          <w:tcPr>
            <w:tcW w:w="1220" w:type="dxa"/>
            <w:vAlign w:val="bottom"/>
            <w:gridSpan w:val="4"/>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100" w:type="dxa"/>
            <w:vAlign w:val="bottom"/>
          </w:tcPr>
          <w:p>
            <w:pPr>
              <w:spacing w:after="0"/>
              <w:rPr>
                <w:sz w:val="14"/>
                <w:szCs w:val="14"/>
                <w:color w:val="auto"/>
              </w:rPr>
            </w:pPr>
          </w:p>
        </w:tc>
        <w:tc>
          <w:tcPr>
            <w:tcW w:w="72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w w:val="89"/>
              </w:rPr>
              <w:t>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0" w:type="dxa"/>
            <w:vAlign w:val="bottom"/>
          </w:tcPr>
          <w:p>
            <w:pPr>
              <w:spacing w:after="0"/>
              <w:rPr>
                <w:sz w:val="1"/>
                <w:szCs w:val="1"/>
                <w:color w:val="auto"/>
              </w:rPr>
            </w:pPr>
          </w:p>
        </w:tc>
      </w:tr>
      <w:tr>
        <w:trPr>
          <w:trHeight w:val="214"/>
        </w:trPr>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20" w:type="dxa"/>
            <w:vAlign w:val="bottom"/>
          </w:tcPr>
          <w:p>
            <w:pPr>
              <w:spacing w:after="0"/>
              <w:rPr>
                <w:sz w:val="18"/>
                <w:szCs w:val="18"/>
                <w:color w:val="auto"/>
              </w:rPr>
            </w:pPr>
          </w:p>
        </w:tc>
        <w:tc>
          <w:tcPr>
            <w:tcW w:w="122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00" w:type="dxa"/>
            <w:vAlign w:val="bottom"/>
          </w:tcPr>
          <w:p>
            <w:pPr>
              <w:spacing w:after="0"/>
              <w:rPr>
                <w:sz w:val="18"/>
                <w:szCs w:val="18"/>
                <w:color w:val="auto"/>
              </w:rPr>
            </w:pPr>
          </w:p>
        </w:tc>
        <w:tc>
          <w:tcPr>
            <w:tcW w:w="7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0" w:type="dxa"/>
            <w:vAlign w:val="bottom"/>
          </w:tcPr>
          <w:p>
            <w:pPr>
              <w:spacing w:after="0"/>
              <w:rPr>
                <w:sz w:val="1"/>
                <w:szCs w:val="1"/>
                <w:color w:val="auto"/>
              </w:rPr>
            </w:pPr>
          </w:p>
        </w:tc>
      </w:tr>
      <w:tr>
        <w:trPr>
          <w:trHeight w:val="198"/>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TDRs</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9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One-to-four family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4"/>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13"/>
        </w:trPr>
        <w:tc>
          <w:tcPr>
            <w:tcW w:w="3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HELOCs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4"/>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3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TDRs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w:t>
            </w:r>
          </w:p>
        </w:tc>
        <w:tc>
          <w:tcPr>
            <w:tcW w:w="100" w:type="dxa"/>
            <w:vAlign w:val="bottom"/>
          </w:tcPr>
          <w:p>
            <w:pPr>
              <w:spacing w:after="0"/>
              <w:rPr>
                <w:sz w:val="13"/>
                <w:szCs w:val="13"/>
                <w:color w:val="auto"/>
              </w:rPr>
            </w:pPr>
          </w:p>
        </w:tc>
        <w:tc>
          <w:tcPr>
            <w:tcW w:w="110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Post</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w:t>
            </w:r>
          </w:p>
        </w:tc>
        <w:tc>
          <w:tcPr>
            <w:tcW w:w="120" w:type="dxa"/>
            <w:vAlign w:val="bottom"/>
          </w:tcPr>
          <w:p>
            <w:pPr>
              <w:spacing w:after="0"/>
              <w:rPr>
                <w:sz w:val="13"/>
                <w:szCs w:val="13"/>
                <w:color w:val="auto"/>
              </w:rPr>
            </w:pPr>
          </w:p>
        </w:tc>
        <w:tc>
          <w:tcPr>
            <w:tcW w:w="108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w w:val="95"/>
              </w:rPr>
              <w:t>Post</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Modification</w:t>
            </w:r>
          </w:p>
        </w:tc>
        <w:tc>
          <w:tcPr>
            <w:tcW w:w="10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Modification</w:t>
            </w: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Modification</w:t>
            </w:r>
          </w:p>
        </w:tc>
        <w:tc>
          <w:tcPr>
            <w:tcW w:w="120" w:type="dxa"/>
            <w:vAlign w:val="bottom"/>
          </w:tcPr>
          <w:p>
            <w:pPr>
              <w:spacing w:after="0"/>
              <w:rPr>
                <w:sz w:val="14"/>
                <w:szCs w:val="14"/>
                <w:color w:val="auto"/>
              </w:rPr>
            </w:pPr>
          </w:p>
        </w:tc>
        <w:tc>
          <w:tcPr>
            <w:tcW w:w="10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w w:val="99"/>
              </w:rPr>
              <w:t>Modification</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4"/>
                <w:szCs w:val="14"/>
                <w:color w:val="auto"/>
              </w:rPr>
            </w:pPr>
          </w:p>
        </w:tc>
        <w:tc>
          <w:tcPr>
            <w:tcW w:w="10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9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89"/>
              </w:rPr>
              <w:t>of</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10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9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89"/>
              </w:rPr>
              <w:t>of</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120" w:type="dxa"/>
            <w:vAlign w:val="bottom"/>
          </w:tcPr>
          <w:p>
            <w:pPr>
              <w:spacing w:after="0"/>
              <w:rPr>
                <w:sz w:val="14"/>
                <w:szCs w:val="14"/>
                <w:color w:val="auto"/>
              </w:rPr>
            </w:pPr>
          </w:p>
        </w:tc>
        <w:tc>
          <w:tcPr>
            <w:tcW w:w="10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0" w:type="dxa"/>
            <w:vAlign w:val="bottom"/>
          </w:tcPr>
          <w:p>
            <w:pPr>
              <w:spacing w:after="0"/>
              <w:rPr>
                <w:sz w:val="1"/>
                <w:szCs w:val="1"/>
                <w:color w:val="auto"/>
              </w:rPr>
            </w:pPr>
          </w:p>
        </w:tc>
      </w:tr>
      <w:tr>
        <w:trPr>
          <w:trHeight w:val="214"/>
        </w:trPr>
        <w:tc>
          <w:tcPr>
            <w:tcW w:w="414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20" w:type="dxa"/>
            <w:vAlign w:val="bottom"/>
          </w:tcPr>
          <w:p>
            <w:pPr>
              <w:spacing w:after="0"/>
              <w:rPr>
                <w:sz w:val="18"/>
                <w:szCs w:val="18"/>
                <w:color w:val="auto"/>
              </w:rPr>
            </w:pPr>
          </w:p>
        </w:tc>
        <w:tc>
          <w:tcPr>
            <w:tcW w:w="10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0" w:type="dxa"/>
            <w:vAlign w:val="bottom"/>
          </w:tcPr>
          <w:p>
            <w:pPr>
              <w:spacing w:after="0"/>
              <w:rPr>
                <w:sz w:val="1"/>
                <w:szCs w:val="1"/>
                <w:color w:val="auto"/>
              </w:rPr>
            </w:pPr>
          </w:p>
        </w:tc>
      </w:tr>
      <w:tr>
        <w:trPr>
          <w:trHeight w:val="198"/>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Below market interest rate</w:t>
            </w: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below market interest rate</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7"/>
        </w:trPr>
        <w:tc>
          <w:tcPr>
            <w:tcW w:w="4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TDRs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Residential real estate loans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One-to-four family</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HELOCs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4"/>
        </w:trPr>
        <w:tc>
          <w:tcPr>
            <w:tcW w:w="4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TDRs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12"/>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The following tables present loans that were modified as TDRs within the previous 12 months and for which there was a payment default during the periods indicated below:</w:t>
      </w:r>
    </w:p>
    <w:p>
      <w:pPr>
        <w:spacing w:after="0" w:line="21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20" w:type="dxa"/>
            <w:vAlign w:val="bottom"/>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20" w:type="dxa"/>
            <w:vAlign w:val="bottom"/>
            <w:tcBorders>
              <w:top w:val="single" w:sz="8" w:color="auto"/>
              <w:bottom w:val="single" w:sz="8" w:color="auto"/>
            </w:tcBorders>
          </w:tcPr>
          <w:p>
            <w:pPr>
              <w:spacing w:after="0"/>
              <w:rPr>
                <w:sz w:val="18"/>
                <w:szCs w:val="18"/>
                <w:color w:val="auto"/>
              </w:rPr>
            </w:pPr>
          </w:p>
        </w:tc>
      </w:tr>
      <w:tr>
        <w:trPr>
          <w:trHeight w:val="157"/>
        </w:trPr>
        <w:tc>
          <w:tcPr>
            <w:tcW w:w="6220" w:type="dxa"/>
            <w:vAlign w:val="bottom"/>
          </w:tcPr>
          <w:p>
            <w:pPr>
              <w:spacing w:after="0"/>
              <w:rPr>
                <w:sz w:val="13"/>
                <w:szCs w:val="13"/>
                <w:color w:val="auto"/>
              </w:rPr>
            </w:pPr>
          </w:p>
        </w:tc>
        <w:tc>
          <w:tcPr>
            <w:tcW w:w="1000" w:type="dxa"/>
            <w:vAlign w:val="bottom"/>
          </w:tcPr>
          <w:p>
            <w:pPr>
              <w:jc w:val="center"/>
              <w:ind w:left="79"/>
              <w:spacing w:after="0" w:line="157"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79"/>
              <w:spacing w:after="0" w:line="157"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100" w:type="dxa"/>
            <w:vAlign w:val="bottom"/>
          </w:tcPr>
          <w:p>
            <w:pPr>
              <w:spacing w:after="0"/>
              <w:rPr>
                <w:sz w:val="13"/>
                <w:szCs w:val="13"/>
                <w:color w:val="auto"/>
              </w:rPr>
            </w:pPr>
          </w:p>
        </w:tc>
        <w:tc>
          <w:tcPr>
            <w:tcW w:w="128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60" w:type="dxa"/>
            <w:vAlign w:val="bottom"/>
          </w:tcPr>
          <w:p>
            <w:pPr>
              <w:spacing w:after="0"/>
              <w:rPr>
                <w:sz w:val="13"/>
                <w:szCs w:val="13"/>
                <w:color w:val="auto"/>
              </w:rPr>
            </w:pPr>
          </w:p>
        </w:tc>
        <w:tc>
          <w:tcPr>
            <w:tcW w:w="1020" w:type="dxa"/>
            <w:vAlign w:val="bottom"/>
          </w:tcPr>
          <w:p>
            <w:pPr>
              <w:jc w:val="center"/>
              <w:ind w:right="79"/>
              <w:spacing w:after="0" w:line="157" w:lineRule="exact"/>
              <w:rPr>
                <w:sz w:val="20"/>
                <w:szCs w:val="20"/>
                <w:color w:val="auto"/>
              </w:rPr>
            </w:pPr>
            <w:r>
              <w:rPr>
                <w:rFonts w:ascii="Times New Roman" w:cs="Times New Roman" w:eastAsia="Times New Roman" w:hAnsi="Times New Roman"/>
                <w:sz w:val="16"/>
                <w:szCs w:val="16"/>
                <w:b w:val="1"/>
                <w:bCs w:val="1"/>
                <w:color w:val="auto"/>
              </w:rPr>
              <w:t>Recorded</w:t>
            </w:r>
          </w:p>
        </w:tc>
      </w:tr>
      <w:tr>
        <w:trPr>
          <w:trHeight w:val="214"/>
        </w:trPr>
        <w:tc>
          <w:tcPr>
            <w:tcW w:w="6220" w:type="dxa"/>
            <w:vAlign w:val="bottom"/>
          </w:tcPr>
          <w:p>
            <w:pPr>
              <w:spacing w:after="0"/>
              <w:rPr>
                <w:sz w:val="18"/>
                <w:szCs w:val="18"/>
                <w:color w:val="auto"/>
              </w:rPr>
            </w:pPr>
          </w:p>
        </w:tc>
        <w:tc>
          <w:tcPr>
            <w:tcW w:w="10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60" w:type="dxa"/>
            <w:vAlign w:val="bottom"/>
          </w:tcPr>
          <w:p>
            <w:pPr>
              <w:spacing w:after="0"/>
              <w:rPr>
                <w:sz w:val="18"/>
                <w:szCs w:val="18"/>
                <w:color w:val="auto"/>
              </w:rPr>
            </w:pPr>
          </w:p>
        </w:tc>
        <w:tc>
          <w:tcPr>
            <w:tcW w:w="10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Investment</w:t>
            </w:r>
          </w:p>
        </w:tc>
      </w:tr>
      <w:tr>
        <w:trPr>
          <w:trHeight w:val="198"/>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Below market interest rate</w:t>
            </w: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14"/>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6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0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09"/>
        </w:trPr>
        <w:tc>
          <w:tcPr>
            <w:tcW w:w="62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11"/>
        </w:trPr>
        <w:tc>
          <w:tcPr>
            <w:tcW w:w="62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20" w:type="dxa"/>
            <w:vAlign w:val="bottom"/>
            <w:tcBorders>
              <w:bottom w:val="single" w:sz="8" w:color="auto"/>
            </w:tcBorders>
          </w:tcPr>
          <w:p>
            <w:pPr>
              <w:spacing w:after="0"/>
              <w:rPr>
                <w:sz w:val="18"/>
                <w:szCs w:val="18"/>
                <w:color w:val="auto"/>
              </w:rPr>
            </w:pPr>
          </w:p>
        </w:tc>
      </w:tr>
      <w:tr>
        <w:trPr>
          <w:trHeight w:val="157"/>
        </w:trPr>
        <w:tc>
          <w:tcPr>
            <w:tcW w:w="6220" w:type="dxa"/>
            <w:vAlign w:val="bottom"/>
          </w:tcPr>
          <w:p>
            <w:pPr>
              <w:spacing w:after="0"/>
              <w:rPr>
                <w:sz w:val="13"/>
                <w:szCs w:val="13"/>
                <w:color w:val="auto"/>
              </w:rPr>
            </w:pPr>
          </w:p>
        </w:tc>
        <w:tc>
          <w:tcPr>
            <w:tcW w:w="1000" w:type="dxa"/>
            <w:vAlign w:val="bottom"/>
          </w:tcPr>
          <w:p>
            <w:pPr>
              <w:jc w:val="center"/>
              <w:ind w:left="79"/>
              <w:spacing w:after="0" w:line="158"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Recorded</w:t>
            </w:r>
          </w:p>
        </w:tc>
        <w:tc>
          <w:tcPr>
            <w:tcW w:w="100" w:type="dxa"/>
            <w:vAlign w:val="bottom"/>
          </w:tcPr>
          <w:p>
            <w:pPr>
              <w:spacing w:after="0"/>
              <w:rPr>
                <w:sz w:val="13"/>
                <w:szCs w:val="13"/>
                <w:color w:val="auto"/>
              </w:rPr>
            </w:pPr>
          </w:p>
        </w:tc>
        <w:tc>
          <w:tcPr>
            <w:tcW w:w="128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60" w:type="dxa"/>
            <w:vAlign w:val="bottom"/>
          </w:tcPr>
          <w:p>
            <w:pPr>
              <w:spacing w:after="0"/>
              <w:rPr>
                <w:sz w:val="13"/>
                <w:szCs w:val="13"/>
                <w:color w:val="auto"/>
              </w:rPr>
            </w:pPr>
          </w:p>
        </w:tc>
        <w:tc>
          <w:tcPr>
            <w:tcW w:w="102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Recorded</w:t>
            </w:r>
          </w:p>
        </w:tc>
      </w:tr>
      <w:tr>
        <w:trPr>
          <w:trHeight w:val="214"/>
        </w:trPr>
        <w:tc>
          <w:tcPr>
            <w:tcW w:w="6220" w:type="dxa"/>
            <w:vAlign w:val="bottom"/>
          </w:tcPr>
          <w:p>
            <w:pPr>
              <w:spacing w:after="0"/>
              <w:rPr>
                <w:sz w:val="18"/>
                <w:szCs w:val="18"/>
                <w:color w:val="auto"/>
              </w:rPr>
            </w:pPr>
          </w:p>
        </w:tc>
        <w:tc>
          <w:tcPr>
            <w:tcW w:w="10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60" w:type="dxa"/>
            <w:vAlign w:val="bottom"/>
          </w:tcPr>
          <w:p>
            <w:pPr>
              <w:spacing w:after="0"/>
              <w:rPr>
                <w:sz w:val="18"/>
                <w:szCs w:val="18"/>
                <w:color w:val="auto"/>
              </w:rPr>
            </w:pPr>
          </w:p>
        </w:tc>
        <w:tc>
          <w:tcPr>
            <w:tcW w:w="10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Investment</w:t>
            </w:r>
          </w:p>
        </w:tc>
      </w:tr>
      <w:tr>
        <w:trPr>
          <w:trHeight w:val="198"/>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Below market interest rate</w:t>
            </w: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14"/>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7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below market interest rate</w:t>
            </w:r>
          </w:p>
        </w:tc>
        <w:tc>
          <w:tcPr>
            <w:tcW w:w="10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r>
      <w:tr>
        <w:trPr>
          <w:trHeight w:val="77"/>
        </w:trPr>
        <w:tc>
          <w:tcPr>
            <w:tcW w:w="62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r>
      <w:tr>
        <w:trPr>
          <w:trHeight w:val="214"/>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Extended payment terms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7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Residential real estate loans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One-to-four family</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2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extended payment terms</w:t>
            </w: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r>
      <w:tr>
        <w:trPr>
          <w:trHeight w:val="94"/>
        </w:trPr>
        <w:tc>
          <w:tcPr>
            <w:tcW w:w="722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16"/>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TDRs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4"/>
        </w:trPr>
        <w:tc>
          <w:tcPr>
            <w:tcW w:w="72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44</w:t>
            </w:r>
          </w:p>
        </w:tc>
      </w:tr>
      <w:tr>
        <w:trPr>
          <w:trHeight w:val="208"/>
        </w:trPr>
        <w:tc>
          <w:tcPr>
            <w:tcW w:w="62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TDRs</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44</w:t>
            </w:r>
          </w:p>
        </w:tc>
      </w:tr>
      <w:tr>
        <w:trPr>
          <w:trHeight w:val="212"/>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44</w:t>
            </w:r>
          </w:p>
        </w:tc>
      </w:tr>
      <w:tr>
        <w:trPr>
          <w:trHeight w:val="20"/>
        </w:trPr>
        <w:tc>
          <w:tcPr>
            <w:tcW w:w="6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Other TDRs include TDRs that have a below market interest rate and extended payment terms. The Company does not typically forgive principal when restructuring troubled debt.</w:t>
      </w:r>
    </w:p>
    <w:p>
      <w:pPr>
        <w:spacing w:after="0" w:line="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determining the ACL, management considers TDRs for all loan classes, and the subsequent nonperformance in accordance with their modified terms, by measuring a reserve on a loan-by-loan basis based on either the value of the loan's expected future cash flows discounted at the loan's original effective interest rate or on the collateral value, net of the estimated costs of disposal, if the loan is collateral dependent.</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Off-Balance-Sheet Credit Exposure</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maintains a separate reserve for credit losses on off-balance-sheet credit exposures, including unfunded loan commitments, which is included in other liabilities on the consolidated balance sheet. The reserve for credit losses on off-balance-sheet credit exposures is adjusted as a provision for credit losses in the consolidated statement of income. The estimate includes consideration of the likelihood that funding will occur and an estimate of ECLs on commitments expected to be funded over its estimated life, utilizing the same models and approaches for the Company's other loan portfolio segments described above, as these unfunded commitments share similar risk characteristics as its loan portfolio segments. The Company has identified the unfunded portion of certain lines of credit as unconditionally cancellable credit exposures, meaning the Company can cancel the unfunded commitment at any time. No credit loss estimate is reported for off-balance-sheet credit exposures that are unconditionally cancellable by the Company or for undrawn amounts under such arrangements that may be drawn prior to the cancellation of the arrangement. At December 31, 2022 and June 30, 2022, the ACL on off-balance-sheet credit exposures included in other liabilities was $3,662 and $3,304, respectively.</w:t>
      </w:r>
    </w:p>
    <w:p>
      <w:pPr>
        <w:spacing w:after="0" w:line="138" w:lineRule="exact"/>
        <w:rPr>
          <w:sz w:val="20"/>
          <w:szCs w:val="20"/>
          <w:color w:val="auto"/>
        </w:rPr>
      </w:pPr>
    </w:p>
    <w:p>
      <w:pPr>
        <w:ind w:left="300" w:hanging="292"/>
        <w:spacing w:after="0"/>
        <w:tabs>
          <w:tab w:leader="none" w:pos="30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Leases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Lessee - Operating Leases</w:t>
      </w:r>
    </w:p>
    <w:p>
      <w:pPr>
        <w:spacing w:after="0" w:line="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Company's operating leases primarily include office space and bank branches. Certain leases include one or more options to renew, with renewal terms that can extend the lease term up to 15 additional years. The exercise of lease renewal options is at management's sole discretion. When it is reasonably certain that the Company will exercise its option to renew or extend the lease term, that option is included in estimating the value of the ROU and lease liability. The Company's lease agreements do not contain any material residual value guarantees or material restrictive covenants. Most of the Company's lease agreements include periodic rate adjustments for inflation. The depreciable life of ROU assets and leasehold improvements are limited to the shorter of the useful life or the expected lease term. Leases with an initial term of 12 months or less are not recorded on the Company's Consolidated Balance Sheet. The Company recognizes lease expenses for these leases over the lease term.</w:t>
      </w:r>
    </w:p>
    <w:p>
      <w:pPr>
        <w:spacing w:after="0" w:line="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following table presents supplemental balance sheet information related to operating leases. ROU assets are included in other assets and lease liabilities are included in other liabilities.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Balance Sheet Information</w:t>
            </w:r>
          </w:p>
        </w:tc>
        <w:tc>
          <w:tcPr>
            <w:tcW w:w="15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0" w:type="dxa"/>
            <w:vAlign w:val="bottom"/>
          </w:tcPr>
          <w:p>
            <w:pPr>
              <w:spacing w:after="0"/>
              <w:rPr>
                <w:sz w:val="18"/>
                <w:szCs w:val="18"/>
                <w:color w:val="auto"/>
              </w:rPr>
            </w:pPr>
          </w:p>
        </w:tc>
        <w:tc>
          <w:tcPr>
            <w:tcW w:w="11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0" w:type="dxa"/>
            <w:vAlign w:val="bottom"/>
          </w:tcPr>
          <w:p>
            <w:pPr>
              <w:spacing w:after="0"/>
              <w:rPr>
                <w:sz w:val="1"/>
                <w:szCs w:val="1"/>
                <w:color w:val="auto"/>
              </w:rPr>
            </w:pPr>
          </w:p>
        </w:tc>
      </w:tr>
      <w:tr>
        <w:trPr>
          <w:trHeight w:val="57"/>
        </w:trPr>
        <w:tc>
          <w:tcPr>
            <w:tcW w:w="8360" w:type="dxa"/>
            <w:vAlign w:val="bottom"/>
          </w:tcPr>
          <w:p>
            <w:pPr>
              <w:spacing w:after="0"/>
              <w:rPr>
                <w:sz w:val="4"/>
                <w:szCs w:val="4"/>
                <w:color w:val="auto"/>
              </w:rPr>
            </w:pPr>
          </w:p>
        </w:tc>
        <w:tc>
          <w:tcPr>
            <w:tcW w:w="158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83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ROU assets</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7,189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5,846</w:t>
            </w:r>
          </w:p>
        </w:tc>
        <w:tc>
          <w:tcPr>
            <w:tcW w:w="0" w:type="dxa"/>
            <w:vAlign w:val="bottom"/>
          </w:tcPr>
          <w:p>
            <w:pPr>
              <w:spacing w:after="0"/>
              <w:rPr>
                <w:sz w:val="1"/>
                <w:szCs w:val="1"/>
                <w:color w:val="auto"/>
              </w:rPr>
            </w:pPr>
          </w:p>
        </w:tc>
      </w:tr>
      <w:tr>
        <w:trPr>
          <w:trHeight w:val="213"/>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3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6,641</w:t>
            </w:r>
          </w:p>
        </w:tc>
        <w:tc>
          <w:tcPr>
            <w:tcW w:w="0" w:type="dxa"/>
            <w:vAlign w:val="bottom"/>
          </w:tcPr>
          <w:p>
            <w:pPr>
              <w:spacing w:after="0"/>
              <w:rPr>
                <w:sz w:val="1"/>
                <w:szCs w:val="1"/>
                <w:color w:val="auto"/>
              </w:rPr>
            </w:pPr>
          </w:p>
        </w:tc>
      </w:tr>
      <w:tr>
        <w:trPr>
          <w:trHeight w:val="21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remaining lease terms (years)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0"/>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2.90 %</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schedule summarizes aggregate future minimum lease payments under these operating leases at December 31,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ending June 30</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Remaining 2023</w:t>
            </w: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0" w:type="dxa"/>
            <w:vAlign w:val="bottom"/>
          </w:tcPr>
          <w:p>
            <w:pPr>
              <w:spacing w:after="0"/>
              <w:rPr>
                <w:sz w:val="1"/>
                <w:szCs w:val="1"/>
                <w:color w:val="auto"/>
              </w:rPr>
            </w:pPr>
          </w:p>
        </w:tc>
      </w:tr>
      <w:tr>
        <w:trPr>
          <w:trHeight w:val="21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0" w:type="dxa"/>
            <w:vAlign w:val="bottom"/>
          </w:tcPr>
          <w:p>
            <w:pPr>
              <w:spacing w:after="0"/>
              <w:rPr>
                <w:sz w:val="1"/>
                <w:szCs w:val="1"/>
                <w:color w:val="auto"/>
              </w:rPr>
            </w:pPr>
          </w:p>
        </w:tc>
      </w:tr>
      <w:tr>
        <w:trPr>
          <w:trHeight w:val="21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0" w:type="dxa"/>
            <w:vAlign w:val="bottom"/>
          </w:tcPr>
          <w:p>
            <w:pPr>
              <w:spacing w:after="0"/>
              <w:rPr>
                <w:sz w:val="1"/>
                <w:szCs w:val="1"/>
                <w:color w:val="auto"/>
              </w:rPr>
            </w:pPr>
          </w:p>
        </w:tc>
      </w:tr>
      <w:tr>
        <w:trPr>
          <w:trHeight w:val="213"/>
        </w:trPr>
        <w:tc>
          <w:tcPr>
            <w:tcW w:w="6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8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5,267</w:t>
            </w:r>
          </w:p>
        </w:tc>
        <w:tc>
          <w:tcPr>
            <w:tcW w:w="0" w:type="dxa"/>
            <w:vAlign w:val="bottom"/>
          </w:tcPr>
          <w:p>
            <w:pPr>
              <w:spacing w:after="0"/>
              <w:rPr>
                <w:sz w:val="1"/>
                <w:szCs w:val="1"/>
                <w:color w:val="auto"/>
              </w:rPr>
            </w:pPr>
          </w:p>
        </w:tc>
      </w:tr>
      <w:tr>
        <w:trPr>
          <w:trHeight w:val="212"/>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undiscounted minimum lease payments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9,965</w:t>
            </w:r>
          </w:p>
        </w:tc>
        <w:tc>
          <w:tcPr>
            <w:tcW w:w="0" w:type="dxa"/>
            <w:vAlign w:val="bottom"/>
          </w:tcPr>
          <w:p>
            <w:pPr>
              <w:spacing w:after="0"/>
              <w:rPr>
                <w:sz w:val="1"/>
                <w:szCs w:val="1"/>
                <w:color w:val="auto"/>
              </w:rPr>
            </w:pPr>
          </w:p>
        </w:tc>
      </w:tr>
      <w:tr>
        <w:trPr>
          <w:trHeight w:val="213"/>
        </w:trPr>
        <w:tc>
          <w:tcPr>
            <w:tcW w:w="6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8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0" w:type="dxa"/>
            <w:vAlign w:val="bottom"/>
          </w:tcPr>
          <w:p>
            <w:pPr>
              <w:spacing w:after="0"/>
              <w:rPr>
                <w:sz w:val="1"/>
                <w:szCs w:val="1"/>
                <w:color w:val="auto"/>
              </w:rPr>
            </w:pPr>
          </w:p>
        </w:tc>
      </w:tr>
      <w:tr>
        <w:trPr>
          <w:trHeight w:val="237"/>
        </w:trPr>
        <w:tc>
          <w:tcPr>
            <w:tcW w:w="6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lease liability</w:t>
            </w:r>
          </w:p>
        </w:tc>
        <w:tc>
          <w:tcPr>
            <w:tcW w:w="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8,235</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The following table presents components of operating lease expense for the periods indicated:</w:t>
            </w:r>
          </w:p>
        </w:tc>
        <w:tc>
          <w:tcPr>
            <w:tcW w:w="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62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240" w:type="dxa"/>
            <w:vAlign w:val="bottom"/>
          </w:tcPr>
          <w:p>
            <w:pPr>
              <w:spacing w:after="0"/>
              <w:rPr>
                <w:sz w:val="21"/>
                <w:szCs w:val="21"/>
                <w:color w:val="auto"/>
              </w:rPr>
            </w:pPr>
          </w:p>
        </w:tc>
        <w:tc>
          <w:tcPr>
            <w:tcW w:w="2540" w:type="dxa"/>
            <w:vAlign w:val="bottom"/>
            <w:gridSpan w:val="7"/>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December</w:t>
            </w:r>
          </w:p>
        </w:tc>
        <w:tc>
          <w:tcPr>
            <w:tcW w:w="246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0" w:type="dxa"/>
            <w:vAlign w:val="bottom"/>
          </w:tcPr>
          <w:p>
            <w:pPr>
              <w:spacing w:after="0"/>
              <w:rPr>
                <w:sz w:val="1"/>
                <w:szCs w:val="1"/>
                <w:color w:val="auto"/>
              </w:rPr>
            </w:pPr>
          </w:p>
        </w:tc>
      </w:tr>
      <w:tr>
        <w:trPr>
          <w:trHeight w:val="214"/>
        </w:trPr>
        <w:tc>
          <w:tcPr>
            <w:tcW w:w="62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89"/>
              </w:rPr>
              <w:t>31,</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Borders>
              <w:bottom w:val="single" w:sz="8" w:color="auto"/>
            </w:tcBorders>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 (included in occupancy expense, net)</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lease cost (included in occupancy expense, net)</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Sublease income (included in other, noninterest income)</w:t>
            </w:r>
          </w:p>
        </w:tc>
        <w:tc>
          <w:tcPr>
            <w:tcW w:w="8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09"/>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operating lease expense, net</w:t>
            </w: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Lessee - Finance Lease</w:t>
      </w:r>
    </w:p>
    <w:p>
      <w:pPr>
        <w:spacing w:after="0" w:line="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currently leases land for one of its branch office locations under a finance lease. The ROU asset for the finance lease totaled $2,052 at December 31, 2022 and June 30, 2022 and is included in other assets. The corresponding lease liability totaled $1,741 and $1,763 at December 31, 2022 and June 30, 2022, respectively, and is included in other liabilities. For the three months ended December 31, 2022 and 2021, interest expense on the lease liability totaled $23 and $24, while for the six months ended December 31, 2022 and 2021, interest expense on the lease liability totaled $46 and $48, respectively. The finance lease matures in July 2028 and the Company has applied a discount rate of 5.18%.</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schedule summarizes aggregate future minimum lease payments under this finance lease obligation at December 31, 2022:</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ending June 30</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Remaining 2023</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3"/>
        </w:trPr>
        <w:tc>
          <w:tcPr>
            <w:tcW w:w="8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3"/>
        </w:trPr>
        <w:tc>
          <w:tcPr>
            <w:tcW w:w="8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undiscounted minimum lease payments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lease liability</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Supplemental lease cash flow information for the periods indicated:</w:t>
            </w: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8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8800" w:type="dxa"/>
            <w:vAlign w:val="bottom"/>
          </w:tcPr>
          <w:p>
            <w:pPr>
              <w:spacing w:after="0"/>
              <w:rPr>
                <w:sz w:val="20"/>
                <w:szCs w:val="20"/>
                <w:color w:val="auto"/>
              </w:rPr>
            </w:pPr>
          </w:p>
        </w:tc>
        <w:tc>
          <w:tcPr>
            <w:tcW w:w="24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0" w:type="dxa"/>
            <w:vAlign w:val="bottom"/>
          </w:tcPr>
          <w:p>
            <w:pPr>
              <w:spacing w:after="0"/>
              <w:rPr>
                <w:sz w:val="1"/>
                <w:szCs w:val="1"/>
                <w:color w:val="auto"/>
              </w:rPr>
            </w:pPr>
          </w:p>
        </w:tc>
      </w:tr>
      <w:tr>
        <w:trPr>
          <w:trHeight w:val="211"/>
        </w:trPr>
        <w:tc>
          <w:tcPr>
            <w:tcW w:w="88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 assets - noncash additions (operating leases)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 (operating leases)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 (finance leases)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Lessor - General</w:t>
      </w:r>
    </w:p>
    <w:p>
      <w:pPr>
        <w:spacing w:after="0" w:line="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leases equipment to commercial end users under operating and finance lease arrangements. The Company's equipment finance leases consist mainly of construction, transportation, healthcare, and manufacturing equipment. Many of its operating and finance leases offer the lessee the option to purchase the equipment at fair value or for a nominal fixed purchase option; and most of the leases that do not have a nominal purchase option include renewal provisions resulting in some leases continuing beyond initial contractual terms. The Company's leases do not include early termination options, and continued rent payments are due if leased equipment is not returned at the end of the lease.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Lessor - Operating Leases</w:t>
      </w:r>
    </w:p>
    <w:p>
      <w:pPr>
        <w:spacing w:after="0" w:line="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Operating lease income is recognized as a component of noninterest income on a straight-line basis over the lease term. Lease terms range from one to five years. Assets related to operating leases are included in other assets and the corresponding depreciation expense is recorded on a straight-line basis as a component of other noninterest expense. The net book value of leased assets totaled $20,047 and $20,075 with a residual value of $13,046 and $12,874 as of December 31, 2022 and June 30, 2022, respectively.</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The following table presents total equipment finance operating lease income and depreciation expense for the periods indicated: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40" w:type="dxa"/>
            <w:vAlign w:val="bottom"/>
            <w:gridSpan w:val="6"/>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 December</w:t>
            </w:r>
          </w:p>
        </w:tc>
        <w:tc>
          <w:tcPr>
            <w:tcW w:w="2460" w:type="dxa"/>
            <w:vAlign w:val="bottom"/>
            <w:gridSpan w:val="6"/>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0" w:type="dxa"/>
            <w:vAlign w:val="bottom"/>
          </w:tcPr>
          <w:p>
            <w:pPr>
              <w:spacing w:after="0"/>
              <w:rPr>
                <w:sz w:val="1"/>
                <w:szCs w:val="1"/>
                <w:color w:val="auto"/>
              </w:rPr>
            </w:pPr>
          </w:p>
        </w:tc>
      </w:tr>
      <w:tr>
        <w:trPr>
          <w:trHeight w:val="214"/>
        </w:trPr>
        <w:tc>
          <w:tcPr>
            <w:tcW w:w="6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31,</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Borders>
              <w:bottom w:val="single" w:sz="8" w:color="auto"/>
            </w:tcBorders>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w:t>
            </w:r>
          </w:p>
        </w:tc>
        <w:tc>
          <w:tcPr>
            <w:tcW w:w="0" w:type="dxa"/>
            <w:vAlign w:val="bottom"/>
          </w:tcPr>
          <w:p>
            <w:pPr>
              <w:spacing w:after="0"/>
              <w:rPr>
                <w:sz w:val="1"/>
                <w:szCs w:val="1"/>
                <w:color w:val="auto"/>
              </w:rPr>
            </w:pPr>
          </w:p>
        </w:tc>
      </w:tr>
      <w:tr>
        <w:trPr>
          <w:trHeight w:val="210"/>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2,882</w:t>
            </w:r>
          </w:p>
        </w:tc>
        <w:tc>
          <w:tcPr>
            <w:tcW w:w="0" w:type="dxa"/>
            <w:vAlign w:val="bottom"/>
          </w:tcPr>
          <w:p>
            <w:pPr>
              <w:spacing w:after="0"/>
              <w:rPr>
                <w:sz w:val="1"/>
                <w:szCs w:val="1"/>
                <w:color w:val="auto"/>
              </w:rPr>
            </w:pPr>
          </w:p>
        </w:tc>
      </w:tr>
      <w:tr>
        <w:trPr>
          <w:trHeight w:val="391"/>
        </w:trPr>
        <w:tc>
          <w:tcPr>
            <w:tcW w:w="79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The following schedule summarizes, as of December 31, 2022, aggregate future minimum lease payments to be received: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ending June 30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Remaining 2023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3,498</w:t>
            </w:r>
          </w:p>
        </w:tc>
        <w:tc>
          <w:tcPr>
            <w:tcW w:w="0" w:type="dxa"/>
            <w:vAlign w:val="bottom"/>
          </w:tcPr>
          <w:p>
            <w:pPr>
              <w:spacing w:after="0"/>
              <w:rPr>
                <w:sz w:val="1"/>
                <w:szCs w:val="1"/>
                <w:color w:val="auto"/>
              </w:rPr>
            </w:pPr>
          </w:p>
        </w:tc>
      </w:tr>
      <w:tr>
        <w:trPr>
          <w:trHeight w:val="21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0" w:type="dxa"/>
            <w:vAlign w:val="bottom"/>
          </w:tcPr>
          <w:p>
            <w:pPr>
              <w:spacing w:after="0"/>
              <w:rPr>
                <w:sz w:val="1"/>
                <w:szCs w:val="1"/>
                <w:color w:val="auto"/>
              </w:rPr>
            </w:pPr>
          </w:p>
        </w:tc>
      </w:tr>
      <w:tr>
        <w:trPr>
          <w:trHeight w:val="21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13"/>
        </w:trPr>
        <w:tc>
          <w:tcPr>
            <w:tcW w:w="6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of future minimum lease payments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11,265</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 Lessor - Direct Financing Leases</w:t>
      </w:r>
    </w:p>
    <w:p>
      <w:pPr>
        <w:spacing w:after="0" w:line="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Finance lease income is recognized as a component of loan interest income over the lease term. The finance leases are included as a component of the equipment finance class of financing receivables under the commercial loan segment of the loan portfolio. For the three months ended December 31, 2022 and 2021, interest income on equipment finance leases totaled $818 and $753, respectively. For the six months ended December 31, 2022 and 2021, interest income on equipment finance leases totaled $1,575 and $1,512, respectively.</w:t>
      </w:r>
    </w:p>
    <w:p>
      <w:pPr>
        <w:spacing w:after="0" w:line="71"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lease receivable component of finance lease net investment included within the equipment finance class of financing receivables was $63.9 million and $62.2 million at December 31, 2022 and June 30, 2022, respectively.</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89"/>
        </w:trPr>
        <w:tc>
          <w:tcPr>
            <w:tcW w:w="9940" w:type="dxa"/>
            <w:vAlign w:val="bottom"/>
          </w:tcPr>
          <w:p>
            <w:pPr>
              <w:jc w:val="center"/>
              <w:ind w:left="1239"/>
              <w:spacing w:after="0"/>
              <w:rPr>
                <w:sz w:val="20"/>
                <w:szCs w:val="20"/>
                <w:color w:val="auto"/>
              </w:rPr>
            </w:pPr>
            <w:r>
              <w:rPr>
                <w:rFonts w:ascii="Times New Roman" w:cs="Times New Roman" w:eastAsia="Times New Roman" w:hAnsi="Times New Roman"/>
                <w:sz w:val="16"/>
                <w:szCs w:val="16"/>
                <w:color w:val="auto"/>
              </w:rPr>
              <w:t>HOMETRUST BANCSHARES, INC. AND SUBSIDIARY</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3"/>
        </w:trPr>
        <w:tc>
          <w:tcPr>
            <w:tcW w:w="9940" w:type="dxa"/>
            <w:vAlign w:val="bottom"/>
          </w:tcPr>
          <w:p>
            <w:pPr>
              <w:jc w:val="center"/>
              <w:ind w:left="1219"/>
              <w:spacing w:after="0"/>
              <w:rPr>
                <w:sz w:val="20"/>
                <w:szCs w:val="20"/>
                <w:color w:val="auto"/>
              </w:rPr>
            </w:pPr>
            <w:r>
              <w:rPr>
                <w:rFonts w:ascii="Times New Roman" w:cs="Times New Roman" w:eastAsia="Times New Roman" w:hAnsi="Times New Roman"/>
                <w:sz w:val="16"/>
                <w:szCs w:val="16"/>
                <w:color w:val="auto"/>
              </w:rPr>
              <w:t>Notes to Consolidated Financial Statements</w:t>
            </w: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9940" w:type="dxa"/>
            <w:vAlign w:val="bottom"/>
          </w:tcPr>
          <w:p>
            <w:pPr>
              <w:jc w:val="center"/>
              <w:ind w:left="1219"/>
              <w:spacing w:after="0"/>
              <w:rPr>
                <w:sz w:val="20"/>
                <w:szCs w:val="20"/>
                <w:color w:val="auto"/>
              </w:rPr>
            </w:pPr>
            <w:r>
              <w:rPr>
                <w:rFonts w:ascii="Times New Roman" w:cs="Times New Roman" w:eastAsia="Times New Roman" w:hAnsi="Times New Roman"/>
                <w:sz w:val="16"/>
                <w:szCs w:val="16"/>
                <w:color w:val="auto"/>
              </w:rPr>
              <w:t>(Dollars in thousands, except per share data)</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742"/>
        </w:trPr>
        <w:tc>
          <w:tcPr>
            <w:tcW w:w="994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schedule summarizes, as of December 31, 2022, aggregate future minimum finance lease payments to be received:</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7"/>
        </w:trPr>
        <w:tc>
          <w:tcPr>
            <w:tcW w:w="9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ending June 30</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9"/>
        </w:trPr>
        <w:tc>
          <w:tcPr>
            <w:tcW w:w="9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Remaining 2023</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12,478</w:t>
            </w:r>
          </w:p>
        </w:tc>
      </w:tr>
      <w:tr>
        <w:trPr>
          <w:trHeight w:val="213"/>
        </w:trPr>
        <w:tc>
          <w:tcPr>
            <w:tcW w:w="9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20,448</w:t>
            </w:r>
          </w:p>
        </w:tc>
      </w:tr>
      <w:tr>
        <w:trPr>
          <w:trHeight w:val="219"/>
        </w:trPr>
        <w:tc>
          <w:tcPr>
            <w:tcW w:w="9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15,905</w:t>
            </w:r>
          </w:p>
        </w:tc>
      </w:tr>
      <w:tr>
        <w:trPr>
          <w:trHeight w:val="213"/>
        </w:trPr>
        <w:tc>
          <w:tcPr>
            <w:tcW w:w="9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11,646</w:t>
            </w:r>
          </w:p>
        </w:tc>
      </w:tr>
      <w:tr>
        <w:trPr>
          <w:trHeight w:val="219"/>
        </w:trPr>
        <w:tc>
          <w:tcPr>
            <w:tcW w:w="9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6,650</w:t>
            </w:r>
          </w:p>
        </w:tc>
      </w:tr>
      <w:tr>
        <w:trPr>
          <w:trHeight w:val="213"/>
        </w:trPr>
        <w:tc>
          <w:tcPr>
            <w:tcW w:w="9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5,658</w:t>
            </w:r>
          </w:p>
        </w:tc>
      </w:tr>
      <w:tr>
        <w:trPr>
          <w:trHeight w:val="212"/>
        </w:trPr>
        <w:tc>
          <w:tcPr>
            <w:tcW w:w="9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undiscounted minimum lease payments</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72,785</w:t>
            </w:r>
          </w:p>
        </w:tc>
      </w:tr>
      <w:tr>
        <w:trPr>
          <w:trHeight w:val="213"/>
        </w:trPr>
        <w:tc>
          <w:tcPr>
            <w:tcW w:w="9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(8,874)</w:t>
            </w:r>
          </w:p>
        </w:tc>
      </w:tr>
      <w:tr>
        <w:trPr>
          <w:trHeight w:val="237"/>
        </w:trPr>
        <w:tc>
          <w:tcPr>
            <w:tcW w:w="9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lease receivable</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63,911</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300" w:hanging="292"/>
        <w:spacing w:after="0"/>
        <w:tabs>
          <w:tab w:leader="none" w:pos="30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Equity Incentive Plan</w:t>
      </w:r>
    </w:p>
    <w:p>
      <w:pPr>
        <w:spacing w:after="0" w:line="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Company historically provided stock-based awards through the 2013 Omnibus Incentive Plan, which provided for awards of restricted stock, restricted stock units, stock options, stock appreciation rights and cash awards to directors, directors emeritus, officers, employees and advisory directors. On November 14, 2022, at the Company's annual meeting, stockholders approved the 2022 Omnibus Incentive Plan which provides for the same types of awards as described under the 2013 Omnibus Incentive Plan. Going forward, any future grants will be made under this plan.</w:t>
      </w:r>
    </w:p>
    <w:p>
      <w:pPr>
        <w:spacing w:after="0" w:line="6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cost of equity-based awards under the 2022 Omnibus Incentive Plan generally is based on the fair value of the awards on their grant date. The maximum number of shares that may be utilized for awards under the plan is 1,000,000. Shares of common stock issued under the plan will be issued out of authorized but unissued shares, some or all of which may be repurchased shares.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presents share-based compensation expense and the estimated related tax benefit for stock options and restricted stock for the dates indicated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40" w:type="dxa"/>
            <w:vAlign w:val="bottom"/>
          </w:tcPr>
          <w:p>
            <w:pPr>
              <w:spacing w:after="0"/>
              <w:rPr>
                <w:sz w:val="18"/>
                <w:szCs w:val="18"/>
                <w:color w:val="auto"/>
              </w:rPr>
            </w:pPr>
          </w:p>
        </w:tc>
        <w:tc>
          <w:tcPr>
            <w:tcW w:w="264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460" w:type="dxa"/>
            <w:vAlign w:val="bottom"/>
            <w:gridSpan w:val="5"/>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6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r>
      <w:tr>
        <w:trPr>
          <w:trHeight w:val="210"/>
        </w:trPr>
        <w:tc>
          <w:tcPr>
            <w:tcW w:w="6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benefit</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presents stock option activity and related information for the six months ended December 31, 2022 and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20" w:type="dxa"/>
            <w:vAlign w:val="bottom"/>
          </w:tcPr>
          <w:p>
            <w:pPr>
              <w:spacing w:after="0"/>
              <w:rPr>
                <w:sz w:val="16"/>
                <w:szCs w:val="16"/>
                <w:color w:val="auto"/>
              </w:rPr>
            </w:pPr>
          </w:p>
        </w:tc>
        <w:tc>
          <w:tcPr>
            <w:tcW w:w="112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4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2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4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4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Life</w:t>
            </w:r>
          </w:p>
        </w:tc>
        <w:tc>
          <w:tcPr>
            <w:tcW w:w="220" w:type="dxa"/>
            <w:vAlign w:val="bottom"/>
          </w:tcPr>
          <w:p>
            <w:pPr>
              <w:spacing w:after="0"/>
              <w:rPr>
                <w:sz w:val="14"/>
                <w:szCs w:val="14"/>
                <w:color w:val="auto"/>
              </w:rPr>
            </w:pPr>
          </w:p>
        </w:tc>
        <w:tc>
          <w:tcPr>
            <w:tcW w:w="112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552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220" w:type="dxa"/>
            <w:vAlign w:val="bottom"/>
          </w:tcPr>
          <w:p>
            <w:pPr>
              <w:spacing w:after="0"/>
              <w:rPr>
                <w:sz w:val="18"/>
                <w:szCs w:val="18"/>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outstanding at June 30, 2021</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1,319,456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w w:val="99"/>
              </w:rPr>
              <w:t>3.9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11,657</w:t>
            </w:r>
          </w:p>
        </w:tc>
        <w:tc>
          <w:tcPr>
            <w:tcW w:w="0" w:type="dxa"/>
            <w:vAlign w:val="bottom"/>
          </w:tcPr>
          <w:p>
            <w:pPr>
              <w:spacing w:after="0"/>
              <w:rPr>
                <w:sz w:val="1"/>
                <w:szCs w:val="1"/>
                <w:color w:val="auto"/>
              </w:rPr>
            </w:pPr>
          </w:p>
        </w:tc>
      </w:tr>
      <w:tr>
        <w:trPr>
          <w:trHeight w:val="21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(347,800)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00" w:type="dxa"/>
            <w:vAlign w:val="bottom"/>
          </w:tcPr>
          <w:p>
            <w:pPr>
              <w:spacing w:after="0"/>
              <w:rPr>
                <w:sz w:val="18"/>
                <w:szCs w:val="18"/>
                <w:color w:val="auto"/>
              </w:rPr>
            </w:pPr>
          </w:p>
        </w:tc>
        <w:tc>
          <w:tcPr>
            <w:tcW w:w="144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5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Options outstanding at December 31, 2021</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953,056</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100" w:type="dxa"/>
            <w:vAlign w:val="bottom"/>
          </w:tcPr>
          <w:p>
            <w:pPr>
              <w:spacing w:after="0"/>
              <w:rPr>
                <w:sz w:val="17"/>
                <w:szCs w:val="17"/>
                <w:color w:val="auto"/>
              </w:rPr>
            </w:pPr>
          </w:p>
        </w:tc>
        <w:tc>
          <w:tcPr>
            <w:tcW w:w="134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9,840</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Exercisable at December 31, 2021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727,506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December 31, 2021</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20" w:type="dxa"/>
            <w:vAlign w:val="bottom"/>
            <w:vMerge w:val="continue"/>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225,550</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25.62</w:t>
            </w:r>
          </w:p>
        </w:tc>
        <w:tc>
          <w:tcPr>
            <w:tcW w:w="100" w:type="dxa"/>
            <w:vAlign w:val="bottom"/>
          </w:tcPr>
          <w:p>
            <w:pPr>
              <w:spacing w:after="0"/>
              <w:rPr>
                <w:sz w:val="16"/>
                <w:szCs w:val="16"/>
                <w:color w:val="auto"/>
              </w:rPr>
            </w:pPr>
          </w:p>
        </w:tc>
        <w:tc>
          <w:tcPr>
            <w:tcW w:w="13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w w:val="99"/>
              </w:rPr>
              <w:t>6.9</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552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Options outstanding at June 30, 2022</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928,870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w:t>
            </w:r>
          </w:p>
        </w:tc>
        <w:tc>
          <w:tcPr>
            <w:tcW w:w="100" w:type="dxa"/>
            <w:vAlign w:val="bottom"/>
          </w:tcPr>
          <w:p>
            <w:pPr>
              <w:spacing w:after="0"/>
              <w:rPr>
                <w:sz w:val="18"/>
                <w:szCs w:val="18"/>
                <w:color w:val="auto"/>
              </w:rPr>
            </w:pPr>
          </w:p>
        </w:tc>
        <w:tc>
          <w:tcPr>
            <w:tcW w:w="13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4,036</w:t>
            </w:r>
          </w:p>
        </w:tc>
        <w:tc>
          <w:tcPr>
            <w:tcW w:w="0" w:type="dxa"/>
            <w:vAlign w:val="bottom"/>
          </w:tcPr>
          <w:p>
            <w:pPr>
              <w:spacing w:after="0"/>
              <w:rPr>
                <w:sz w:val="1"/>
                <w:szCs w:val="1"/>
                <w:color w:val="auto"/>
              </w:rPr>
            </w:pPr>
          </w:p>
        </w:tc>
      </w:tr>
      <w:tr>
        <w:trPr>
          <w:trHeight w:val="218"/>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tcPr>
          <w:p>
            <w:pPr>
              <w:spacing w:after="0"/>
              <w:rPr>
                <w:sz w:val="18"/>
                <w:szCs w:val="18"/>
                <w:color w:val="auto"/>
              </w:rPr>
            </w:pPr>
          </w:p>
        </w:tc>
        <w:tc>
          <w:tcPr>
            <w:tcW w:w="144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5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Options outstanding at December 31, 2022</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849,623</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22.06</w:t>
            </w:r>
          </w:p>
        </w:tc>
        <w:tc>
          <w:tcPr>
            <w:tcW w:w="100" w:type="dxa"/>
            <w:vAlign w:val="bottom"/>
          </w:tcPr>
          <w:p>
            <w:pPr>
              <w:spacing w:after="0"/>
              <w:rPr>
                <w:sz w:val="17"/>
                <w:szCs w:val="17"/>
                <w:color w:val="auto"/>
              </w:rPr>
            </w:pPr>
          </w:p>
        </w:tc>
        <w:tc>
          <w:tcPr>
            <w:tcW w:w="134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w w:val="99"/>
              </w:rPr>
              <w:t>3.9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2,958</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Exercisable at December 31, 2022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682,673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2,918</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December 31, 2022</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20" w:type="dxa"/>
            <w:vAlign w:val="bottom"/>
            <w:vMerge w:val="continue"/>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166,950</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26.88</w:t>
            </w:r>
          </w:p>
        </w:tc>
        <w:tc>
          <w:tcPr>
            <w:tcW w:w="100" w:type="dxa"/>
            <w:vAlign w:val="bottom"/>
          </w:tcPr>
          <w:p>
            <w:pPr>
              <w:spacing w:after="0"/>
              <w:rPr>
                <w:sz w:val="16"/>
                <w:szCs w:val="16"/>
                <w:color w:val="auto"/>
              </w:rPr>
            </w:pPr>
          </w:p>
        </w:tc>
        <w:tc>
          <w:tcPr>
            <w:tcW w:w="13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w w:val="99"/>
              </w:rPr>
              <w:t>7.1</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Assumptions used in estimating the fair value of options granted during the six months ended December 31, 2022 have been detailed below. There were no options granted during the six months ended December 31,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2"/>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volatility</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27.78 %</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1.62 %</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3.11 %</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life (years)</w:t>
            </w:r>
          </w:p>
        </w:tc>
        <w:tc>
          <w:tcPr>
            <w:tcW w:w="200" w:type="dxa"/>
            <w:vAlign w:val="bottom"/>
          </w:tcPr>
          <w:p>
            <w:pPr>
              <w:spacing w:after="0"/>
              <w:rPr>
                <w:sz w:val="18"/>
                <w:szCs w:val="18"/>
                <w:color w:val="auto"/>
              </w:rPr>
            </w:pPr>
          </w:p>
        </w:tc>
        <w:tc>
          <w:tcPr>
            <w:tcW w:w="17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6.5</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fair value of options granted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6.77</w:t>
            </w:r>
          </w:p>
        </w:tc>
      </w:tr>
    </w:tbl>
    <w:p>
      <w:pPr>
        <w:spacing w:after="0" w:line="1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At December 31, 2022, the Company had $613 of unrecognized compensation expense related to 166,950 stock options originally scheduled to vest over a five-year period. The weighted average period over which compensation cost related to non-vested awards expected to be recognized was 1.1 years at December 31, 2022. At December 31, 2021, the Company had $894 of unrecognized compensation expense related to 225,550 stock options originally scheduled to vest over a five-year period. The weighted average period over which compensation cost related to non-vested awards expected to be recognized was 1.1 years at December 31, 2021.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The table below presents restricted stock award activity and related information: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980" w:type="dxa"/>
            <w:vAlign w:val="bottom"/>
          </w:tcPr>
          <w:p>
            <w:pPr>
              <w:spacing w:after="0"/>
              <w:rPr>
                <w:sz w:val="15"/>
                <w:szCs w:val="15"/>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40" w:type="dxa"/>
            <w:vAlign w:val="bottom"/>
          </w:tcPr>
          <w:p>
            <w:pPr>
              <w:spacing w:after="0"/>
              <w:rPr>
                <w:sz w:val="15"/>
                <w:szCs w:val="15"/>
                <w:color w:val="auto"/>
              </w:rPr>
            </w:pPr>
          </w:p>
        </w:tc>
        <w:tc>
          <w:tcPr>
            <w:tcW w:w="148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w w:val="98"/>
              </w:rPr>
              <w:t>Weighted-</w:t>
            </w:r>
          </w:p>
        </w:tc>
        <w:tc>
          <w:tcPr>
            <w:tcW w:w="180" w:type="dxa"/>
            <w:vAlign w:val="bottom"/>
          </w:tcPr>
          <w:p>
            <w:pPr>
              <w:spacing w:after="0"/>
              <w:rPr>
                <w:sz w:val="15"/>
                <w:szCs w:val="15"/>
                <w:color w:val="auto"/>
              </w:rPr>
            </w:pPr>
          </w:p>
        </w:tc>
        <w:tc>
          <w:tcPr>
            <w:tcW w:w="1080" w:type="dxa"/>
            <w:vAlign w:val="bottom"/>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81"/>
        </w:trPr>
        <w:tc>
          <w:tcPr>
            <w:tcW w:w="698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180" w:type="dxa"/>
            <w:vAlign w:val="bottom"/>
          </w:tcPr>
          <w:p>
            <w:pPr>
              <w:spacing w:after="0"/>
              <w:rPr>
                <w:sz w:val="7"/>
                <w:szCs w:val="7"/>
                <w:color w:val="auto"/>
              </w:rPr>
            </w:pPr>
          </w:p>
        </w:tc>
        <w:tc>
          <w:tcPr>
            <w:tcW w:w="1080" w:type="dxa"/>
            <w:vAlign w:val="bottom"/>
            <w:vMerge w:val="restart"/>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81"/>
        </w:trPr>
        <w:tc>
          <w:tcPr>
            <w:tcW w:w="6980" w:type="dxa"/>
            <w:vAlign w:val="bottom"/>
          </w:tcPr>
          <w:p>
            <w:pPr>
              <w:spacing w:after="0"/>
              <w:rPr>
                <w:sz w:val="7"/>
                <w:szCs w:val="7"/>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4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69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180" w:type="dxa"/>
            <w:vAlign w:val="bottom"/>
          </w:tcPr>
          <w:p>
            <w:pPr>
              <w:spacing w:after="0"/>
              <w:rPr>
                <w:sz w:val="11"/>
                <w:szCs w:val="11"/>
                <w:color w:val="auto"/>
              </w:rPr>
            </w:pPr>
          </w:p>
        </w:tc>
        <w:tc>
          <w:tcPr>
            <w:tcW w:w="10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83"/>
        </w:trPr>
        <w:tc>
          <w:tcPr>
            <w:tcW w:w="69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June 30, 2021</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151,575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4,229</w:t>
            </w:r>
          </w:p>
        </w:tc>
        <w:tc>
          <w:tcPr>
            <w:tcW w:w="0" w:type="dxa"/>
            <w:vAlign w:val="bottom"/>
          </w:tcPr>
          <w:p>
            <w:pPr>
              <w:spacing w:after="0"/>
              <w:rPr>
                <w:sz w:val="1"/>
                <w:szCs w:val="1"/>
                <w:color w:val="auto"/>
              </w:rPr>
            </w:pPr>
          </w:p>
        </w:tc>
      </w:tr>
      <w:tr>
        <w:trPr>
          <w:trHeight w:val="213"/>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December 31, 2021</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133,257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4,128</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69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June 30, 2022</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135,910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0" w:type="dxa"/>
            <w:vAlign w:val="bottom"/>
          </w:tcPr>
          <w:p>
            <w:pPr>
              <w:spacing w:after="0"/>
              <w:rPr>
                <w:sz w:val="1"/>
                <w:szCs w:val="1"/>
                <w:color w:val="auto"/>
              </w:rPr>
            </w:pPr>
          </w:p>
        </w:tc>
      </w:tr>
      <w:tr>
        <w:trPr>
          <w:trHeight w:val="218"/>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at December 31, 2022</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123,835</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table above includes non-vested performance-based restricted stock units totaling 22,843 and 23,662 at December 31, 2022 and 2021, respectively. Each issuance of these stock units is scheduled to vest over 3.0 years assuming the applicable dilutive EPS goals are met.</w:t>
      </w:r>
    </w:p>
    <w:p>
      <w:pPr>
        <w:spacing w:after="0" w:line="1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At December 31, 2022, unrecognized compensation expense was $2,037 related to 123,835 shares of restricted stock originally scheduled to vest over three- and five-year periods. The weighted average period over which compensation cost related to non-vested awards is expected to be recognized was 1.3 years at December 31, 2022. At December 31, 2021, unrecognized compensation expense was $2,043 related to 133,257 shares of restricted stock originally scheduled to vest over three- and five-year periods. The weighted average period over which compensation cost related to non-vested awards is expected to be recognized was 1.3 years at December 31, 2021.</w:t>
      </w:r>
    </w:p>
    <w:p>
      <w:pPr>
        <w:spacing w:after="0" w:line="123" w:lineRule="exact"/>
        <w:rPr>
          <w:sz w:val="20"/>
          <w:szCs w:val="20"/>
          <w:color w:val="auto"/>
        </w:rPr>
      </w:pPr>
    </w:p>
    <w:p>
      <w:pPr>
        <w:ind w:left="300" w:hanging="292"/>
        <w:spacing w:after="0"/>
        <w:tabs>
          <w:tab w:leader="none" w:pos="30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Net Income per Share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computation of basic and diluted net income per common share for the periods indicated: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80" w:type="dxa"/>
            <w:vAlign w:val="bottom"/>
          </w:tcPr>
          <w:p>
            <w:pPr>
              <w:spacing w:after="0"/>
              <w:rPr>
                <w:sz w:val="18"/>
                <w:szCs w:val="18"/>
                <w:color w:val="auto"/>
              </w:rPr>
            </w:pPr>
          </w:p>
        </w:tc>
        <w:tc>
          <w:tcPr>
            <w:tcW w:w="260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460" w:type="dxa"/>
            <w:vAlign w:val="bottom"/>
            <w:gridSpan w:val="5"/>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0" w:type="dxa"/>
            <w:vAlign w:val="bottom"/>
          </w:tcPr>
          <w:p>
            <w:pPr>
              <w:spacing w:after="0"/>
              <w:rPr>
                <w:sz w:val="1"/>
                <w:szCs w:val="1"/>
                <w:color w:val="auto"/>
              </w:rPr>
            </w:pPr>
          </w:p>
        </w:tc>
      </w:tr>
      <w:tr>
        <w:trPr>
          <w:trHeight w:val="211"/>
        </w:trPr>
        <w:tc>
          <w:tcPr>
            <w:tcW w:w="6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8"/>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21,605</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Allocation of earnings to participating securities</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12"/>
        </w:trPr>
        <w:tc>
          <w:tcPr>
            <w:tcW w:w="6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Numerator for basic EPS - Net income available to common stockholders</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22,670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21,423</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Dilutive effect of participating securities</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7"/>
        </w:trPr>
        <w:tc>
          <w:tcPr>
            <w:tcW w:w="61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Numerator for diluted EPS</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21,427</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1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6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15,028,179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15,632,283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15,008,092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15,696,765</w:t>
            </w:r>
          </w:p>
        </w:tc>
        <w:tc>
          <w:tcPr>
            <w:tcW w:w="0" w:type="dxa"/>
            <w:vAlign w:val="bottom"/>
          </w:tcPr>
          <w:p>
            <w:pPr>
              <w:spacing w:after="0"/>
              <w:rPr>
                <w:sz w:val="1"/>
                <w:szCs w:val="1"/>
                <w:color w:val="auto"/>
              </w:rPr>
            </w:pPr>
          </w:p>
        </w:tc>
      </w:tr>
      <w:tr>
        <w:trPr>
          <w:trHeight w:val="213"/>
        </w:trPr>
        <w:tc>
          <w:tcPr>
            <w:tcW w:w="6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Dilutive effect of assumed exercises of stock options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132,974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357,323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137,609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360,842</w:t>
            </w:r>
          </w:p>
        </w:tc>
        <w:tc>
          <w:tcPr>
            <w:tcW w:w="0" w:type="dxa"/>
            <w:vAlign w:val="bottom"/>
          </w:tcPr>
          <w:p>
            <w:pPr>
              <w:spacing w:after="0"/>
              <w:rPr>
                <w:sz w:val="1"/>
                <w:szCs w:val="1"/>
                <w:color w:val="auto"/>
              </w:rPr>
            </w:pPr>
          </w:p>
        </w:tc>
      </w:tr>
      <w:tr>
        <w:trPr>
          <w:trHeight w:val="237"/>
        </w:trPr>
        <w:tc>
          <w:tcPr>
            <w:tcW w:w="6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2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15,161,153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15,989,606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15,145,701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16,057,607</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 basic</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180" w:type="dxa"/>
            <w:vAlign w:val="bottom"/>
            <w:vMerge w:val="continue"/>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 diluted</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Potential dilutive shares are excluded from the computation of earnings per share if their effect is anti-dilutive. There were 540,600 of stock options that were anti-dilutive for the three and six months ended December 31, 2022. There were 41,000 and 56,000 of stock options that were anti-dilutive for the three and six months ended December 31, 2021, respectively.</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30" w:name="page31"/>
    <w:bookmarkEnd w:id="30"/>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ind w:left="300" w:hanging="292"/>
        <w:spacing w:after="0"/>
        <w:tabs>
          <w:tab w:leader="none" w:pos="30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Commitments and Contingencies</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u w:val="single" w:color="auto"/>
          <w:color w:val="auto"/>
        </w:rPr>
        <w:t>Loan Commitments</w:t>
      </w:r>
      <w:r>
        <w:rPr>
          <w:rFonts w:ascii="Times New Roman" w:cs="Times New Roman" w:eastAsia="Times New Roman" w:hAnsi="Times New Roman"/>
          <w:sz w:val="16"/>
          <w:szCs w:val="16"/>
          <w:color w:val="auto"/>
        </w:rPr>
        <w:t xml:space="preserve"> – Legally binding commitments to extend credit are agreements to lend to a customer as long as there is no violation of any condition established in the contract. Commitments generally have fixed expiration dates or other termination clauses and may require payment of a fee. Since many commitments may expire without being drawn upon, the total commitment amounts do not necessarily represent future cash requirements. In the normal course of business, there are various outstanding commitments to extend credit that are not reflected in the consolidated financial statements. At December 31, 2022 and June 30, 2022, respectively, loan commitments (excluding $272,250 and $312,893 of undisbursed portions of construction loans) totaled $90,214 and $104,745 of which $11,604 and $23,159 were variable rate commitments and $78,610 and $81,586 were fixed rate commitments. The fixed rate loan commitments had interest rates ranging from 1.41% to 9.44% at December 31, 2022 and 1.41% to 9.00% at June 30, 2022, and terms ranging from three to 30 years. Pre-approved but unused lines of credit (principally second mortgage home equity loans and overdraft protection loans) totaled $540,370 and $485,239 at December 31, 2022 and June 30, 2022, respectively. These amounts represent the Company's exposure to credit risk, and in the opinion of management have no more than the normal lending risk that the Company commits to its borrowers.</w:t>
      </w:r>
    </w:p>
    <w:p>
      <w:pPr>
        <w:spacing w:after="0" w:line="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has two types of commitments related to certain one-to-four family loans held for sale: rate lock commitments and forward loan commitments. Rate lock commitments are commitments to extend credit to a customer that has an interest rate lock and are considered derivative instruments. The rate lock commitments do not qualify for hedge accounting. In order to mitigate the risk from interest rate fluctuations, the Company enters into forward loan sale commitments such as TBAs, mandatory delivery commitments with investors, or best efforts forward sale commitments with investors. The fair value of these interest rate lock commitments was not material at December 31, 2022 or June 30, 2022.</w:t>
      </w:r>
    </w:p>
    <w:p>
      <w:pPr>
        <w:spacing w:after="0" w:line="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grants construction and permanent loans collateralized primarily by residential and commercial real estate to customers throughout its primary market areas. In addition, the Company grants equipment financing throughout the United States and municipal financing to customers throughout North and South Carolina. The Company’s loan portfolio can be affected by the general economic conditions within these market areas. Management believes that the Company has no significant concentration of credit in the loan portfolio.</w:t>
      </w:r>
    </w:p>
    <w:p>
      <w:pPr>
        <w:spacing w:after="0" w:line="7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u w:val="single" w:color="auto"/>
          <w:color w:val="auto"/>
        </w:rPr>
        <w:t>Restrictions on Cash</w:t>
      </w:r>
      <w:r>
        <w:rPr>
          <w:rFonts w:ascii="Times New Roman" w:cs="Times New Roman" w:eastAsia="Times New Roman" w:hAnsi="Times New Roman"/>
          <w:sz w:val="16"/>
          <w:szCs w:val="16"/>
          <w:color w:val="auto"/>
        </w:rPr>
        <w:t xml:space="preserve"> – In response to COVID-19, the FRB reduced the reserve requirements to zero on March 15, 2020. Prior to this change the Bank was required by regulation to maintain a varying cash reserve balance with the FRB.</w:t>
      </w:r>
    </w:p>
    <w:p>
      <w:pPr>
        <w:spacing w:after="0" w:line="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u w:val="single" w:color="auto"/>
          <w:color w:val="auto"/>
        </w:rPr>
        <w:t>Guarantees</w:t>
      </w:r>
      <w:r>
        <w:rPr>
          <w:rFonts w:ascii="Times New Roman" w:cs="Times New Roman" w:eastAsia="Times New Roman" w:hAnsi="Times New Roman"/>
          <w:sz w:val="16"/>
          <w:szCs w:val="16"/>
          <w:color w:val="auto"/>
        </w:rPr>
        <w:t xml:space="preserve"> – Standby letters of credit obligate the Company to meet certain financial obligations of its customers, if, under the contractual terms of the agreement, the customers are unable to do so. The financial standby letters of credit issued by the Company are irrevocable and payment is only guaranteed upon the borrower's failure to perform its obligations to the beneficiary. Total commitments under standby letters of credit as of December 31, 2022 and June 30, 2022 were $19,997 and $18,362, respectively. There was no liability recorded for these letters of credit at December 31, 2022 or June 30, 2022.</w:t>
      </w:r>
    </w:p>
    <w:p>
      <w:pPr>
        <w:spacing w:after="0" w:line="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xml:space="preserve"> – From time to time, the Company is involved in litigation matters in the ordinary course of business. These proceedings and the associated legal claims are often contested, and the outcome of individual matters is not always predictable. These claims and counter claims typically arise during the course of collection efforts on problem loans or with respect to actions to enforce liens on properties in which the Company holds a security interest. The Company is not a party to any pending legal proceedings that management believes would have a material adverse effect on the Company’s financial condition or results of operations</w:t>
      </w:r>
      <w:r>
        <w:rPr>
          <w:rFonts w:ascii="Times New Roman" w:cs="Times New Roman" w:eastAsia="Times New Roman" w:hAnsi="Times New Roman"/>
          <w:sz w:val="16"/>
          <w:szCs w:val="16"/>
          <w:b w:val="1"/>
          <w:bCs w:val="1"/>
          <w:color w:val="auto"/>
        </w:rPr>
        <w:t>.</w:t>
      </w:r>
    </w:p>
    <w:p>
      <w:pPr>
        <w:spacing w:after="0" w:line="123"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Fair Value of Financial Instruments</w:t>
      </w:r>
    </w:p>
    <w:p>
      <w:pPr>
        <w:spacing w:after="0" w:line="7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70" w:lineRule="exact"/>
        <w:rPr>
          <w:sz w:val="20"/>
          <w:szCs w:val="20"/>
          <w:color w:val="auto"/>
        </w:rPr>
      </w:pPr>
    </w:p>
    <w:p>
      <w:pPr>
        <w:ind w:left="340"/>
        <w:spacing w:after="0"/>
        <w:tabs>
          <w:tab w:leader="none" w:pos="1000" w:val="left"/>
        </w:tabs>
        <w:rPr>
          <w:sz w:val="20"/>
          <w:szCs w:val="20"/>
          <w:color w:val="auto"/>
        </w:rPr>
      </w:pPr>
      <w:r>
        <w:rPr>
          <w:rFonts w:ascii="Times New Roman" w:cs="Times New Roman" w:eastAsia="Times New Roman" w:hAnsi="Times New Roman"/>
          <w:sz w:val="16"/>
          <w:szCs w:val="16"/>
          <w:color w:val="auto"/>
        </w:rPr>
        <w:t>Level 1:</w:t>
        <w:tab/>
        <w:t>Quoted prices (unadjusted) for identical assets or liabilities in active markets that the entity has the ability to access as of the measurement date.</w:t>
      </w:r>
    </w:p>
    <w:p>
      <w:pPr>
        <w:spacing w:after="0" w:line="113" w:lineRule="exact"/>
        <w:rPr>
          <w:sz w:val="20"/>
          <w:szCs w:val="20"/>
          <w:color w:val="auto"/>
        </w:rPr>
      </w:pPr>
    </w:p>
    <w:p>
      <w:pPr>
        <w:ind w:left="1020" w:hanging="971"/>
        <w:spacing w:after="0" w:line="280" w:lineRule="auto"/>
        <w:tabs>
          <w:tab w:leader="none" w:pos="1000" w:val="left"/>
        </w:tabs>
        <w:rPr>
          <w:sz w:val="20"/>
          <w:szCs w:val="20"/>
          <w:color w:val="auto"/>
        </w:rPr>
      </w:pPr>
      <w:r>
        <w:rPr>
          <w:rFonts w:ascii="Times New Roman" w:cs="Times New Roman" w:eastAsia="Times New Roman" w:hAnsi="Times New Roman"/>
          <w:sz w:val="16"/>
          <w:szCs w:val="16"/>
          <w:color w:val="auto"/>
        </w:rPr>
        <w:t>Level 2:</w:t>
        <w:tab/>
        <w:t>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70" w:lineRule="exact"/>
        <w:rPr>
          <w:sz w:val="20"/>
          <w:szCs w:val="20"/>
          <w:color w:val="auto"/>
        </w:rPr>
      </w:pPr>
    </w:p>
    <w:p>
      <w:pPr>
        <w:ind w:left="1080" w:hanging="971"/>
        <w:spacing w:after="0" w:line="280" w:lineRule="auto"/>
        <w:tabs>
          <w:tab w:leader="none" w:pos="1060" w:val="left"/>
        </w:tabs>
        <w:rPr>
          <w:sz w:val="20"/>
          <w:szCs w:val="20"/>
          <w:color w:val="auto"/>
        </w:rPr>
      </w:pPr>
      <w:r>
        <w:rPr>
          <w:rFonts w:ascii="Times New Roman" w:cs="Times New Roman" w:eastAsia="Times New Roman" w:hAnsi="Times New Roman"/>
          <w:sz w:val="16"/>
          <w:szCs w:val="16"/>
          <w:color w:val="auto"/>
        </w:rPr>
        <w:t>Level 3:</w:t>
        <w:tab/>
        <w:t>Significant unobservable inputs that reflect a company's own assumptions about the assumptions that market participants would use in pricing an asset or liability.</w:t>
      </w:r>
    </w:p>
    <w:p>
      <w:pPr>
        <w:spacing w:after="0" w:line="5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A financial instrument's level within the fair value hierarchy is based on the lowest level of any input that is significant to the fair value measurement. The following is a description of valuation methodologies used for assets recorded at fair value. The Company does not have any liabilities recorded at fair value.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methods of determining the fair value of assets and liabilities presented in this note are consistent with the methodologies disclosed in Note 19 of the 2022 Form 10-K.</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Assets Recorded at Fair Value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financial assets measured at fair value on a recurring basis at the dates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1"/>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9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Debt securities available for sale</w:t>
            </w: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13"/>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MBS, residential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Municipal bonds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debt securities available for sale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147,942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147,942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2"/>
        </w:trPr>
        <w:tc>
          <w:tcPr>
            <w:tcW w:w="55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r>
      <w:tr>
        <w:trPr>
          <w:trHeight w:val="212"/>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Loans held for sale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r>
    </w:tbl>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1"/>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9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Debt securities available for sale</w:t>
            </w: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13"/>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MBS, residential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Municipal bonds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5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debt securities available for sale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126,978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126,978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w:t>
            </w:r>
          </w:p>
        </w:tc>
      </w:tr>
      <w:tr>
        <w:trPr>
          <w:trHeight w:val="21"/>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Loans held for sale carried at fair value are valued at the individual loan level using quoted secondary market prices.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transfers between levels during the six months ended December 31, 2022 and 2021.</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financial assets measured at fair value on a non-recurring basis at the dates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80" w:type="dxa"/>
            <w:vAlign w:val="bottom"/>
            <w:tcBorders>
              <w:bottom w:val="single" w:sz="8" w:color="auto"/>
            </w:tcBorders>
          </w:tcPr>
          <w:p>
            <w:pPr>
              <w:spacing w:after="0"/>
              <w:rPr>
                <w:sz w:val="18"/>
                <w:szCs w:val="18"/>
                <w:color w:val="auto"/>
              </w:rPr>
            </w:pPr>
          </w:p>
        </w:tc>
      </w:tr>
      <w:tr>
        <w:trPr>
          <w:trHeight w:val="211"/>
        </w:trPr>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8"/>
                <w:szCs w:val="18"/>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98"/>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Collateral dependent loans</w:t>
            </w: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14"/>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   $</w:t>
            </w:r>
          </w:p>
        </w:tc>
        <w:tc>
          <w:tcPr>
            <w:tcW w:w="14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r>
    </w:tbl>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080" w:type="dxa"/>
            <w:vAlign w:val="bottom"/>
            <w:tcBorders>
              <w:bottom w:val="single" w:sz="8" w:color="auto"/>
            </w:tcBorders>
          </w:tcPr>
          <w:p>
            <w:pPr>
              <w:spacing w:after="0"/>
              <w:rPr>
                <w:sz w:val="18"/>
                <w:szCs w:val="18"/>
                <w:color w:val="auto"/>
              </w:rPr>
            </w:pPr>
          </w:p>
        </w:tc>
      </w:tr>
      <w:tr>
        <w:trPr>
          <w:trHeight w:val="211"/>
        </w:trPr>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8"/>
                <w:szCs w:val="18"/>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98"/>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Collateral dependent loans</w:t>
            </w: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14"/>
        </w:trPr>
        <w:tc>
          <w:tcPr>
            <w:tcW w:w="55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   $</w:t>
            </w:r>
          </w:p>
        </w:tc>
        <w:tc>
          <w:tcPr>
            <w:tcW w:w="14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r>
    </w:tbl>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 loan is considered to be collateral dependent when, based on current information and events, the Company expects repayment of the financial assets to be provided substantially through the operation or sale of the collateral and the Company has determined that the borrower is experiencing financial difficulty as of the measurement date. For real estate loans, the fair value of the loan's collateral is determined by a third party appraisal, which is then adjusted for the estimated selling and closing costs related to liquidation of the collateral (typically ranging from 8% to 12% of the appraised value). For this asset class, the actual valuation methods (income, sales comparable, or cost) vary based on the status of the project or property. Additional discounts of 5% to 15% may be applied depending on the age of the appraisals. The unobservable inputs may vary depending on the individual asset with no one of the three methods being the predominant approach. For non-real estate loans, the fair value of the loan's collateral may be determined using an appraisal, net book value per the borrower's financial statements, or aging reports, adjusted or discounted based on management's historical knowledge, changes in market conditions from the time of the valuation, and management's expertise and knowledge of the customer and customer's business.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6"/>
          <w:szCs w:val="16"/>
          <w:color w:val="auto"/>
        </w:rPr>
        <w:t>HOMETRUST BANCSHARES, INC. AND SUBSIDIARY</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stated carrying value and estimated fair value amounts of financial instruments as of December 31, 2022 and June 30, 2022, are summarized below:</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80" w:type="dxa"/>
            <w:vAlign w:val="bottom"/>
          </w:tcPr>
          <w:p>
            <w:pPr>
              <w:spacing w:after="0"/>
              <w:rPr>
                <w:sz w:val="13"/>
                <w:szCs w:val="13"/>
                <w:color w:val="auto"/>
              </w:rPr>
            </w:pPr>
          </w:p>
        </w:tc>
        <w:tc>
          <w:tcPr>
            <w:tcW w:w="1160" w:type="dxa"/>
            <w:vAlign w:val="bottom"/>
            <w:gridSpan w:val="2"/>
          </w:tcPr>
          <w:p>
            <w:pPr>
              <w:jc w:val="center"/>
              <w:ind w:right="42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240" w:type="dxa"/>
            <w:vAlign w:val="bottom"/>
          </w:tcPr>
          <w:p>
            <w:pPr>
              <w:spacing w:after="0"/>
              <w:rPr>
                <w:sz w:val="13"/>
                <w:szCs w:val="13"/>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3"/>
                <w:szCs w:val="13"/>
                <w:color w:val="auto"/>
              </w:rPr>
            </w:pPr>
          </w:p>
        </w:tc>
        <w:tc>
          <w:tcPr>
            <w:tcW w:w="14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10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4"/>
        </w:trPr>
        <w:tc>
          <w:tcPr>
            <w:tcW w:w="4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165,034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165,034</w:t>
            </w:r>
          </w:p>
        </w:tc>
        <w:tc>
          <w:tcPr>
            <w:tcW w:w="1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165,034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Certificates of deposit in other banks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Debt securities available for sale, at fair value</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FHLB and FRB stock</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4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SBIC investments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12,414</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Loans held for sale, at fair value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41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Loans held for sale, at the lower of cost</w:t>
            </w:r>
          </w:p>
        </w:tc>
        <w:tc>
          <w:tcPr>
            <w:tcW w:w="2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72,777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74,917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42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74,917</w:t>
            </w: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or fair value</w:t>
            </w: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Loans, net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2,946,764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2,867,148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2,867,148</w:t>
            </w:r>
          </w:p>
        </w:tc>
        <w:tc>
          <w:tcPr>
            <w:tcW w:w="0" w:type="dxa"/>
            <w:vAlign w:val="bottom"/>
          </w:tcPr>
          <w:p>
            <w:pPr>
              <w:spacing w:after="0"/>
              <w:rPr>
                <w:sz w:val="1"/>
                <w:szCs w:val="1"/>
                <w:color w:val="auto"/>
              </w:rPr>
            </w:pPr>
          </w:p>
        </w:tc>
      </w:tr>
      <w:tr>
        <w:trPr>
          <w:trHeight w:val="213"/>
        </w:trPr>
        <w:tc>
          <w:tcPr>
            <w:tcW w:w="4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10,434</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Noninterest-bearing and NOW deposits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1,365,312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1,365,312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1,365,312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Money market accounts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992,083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992,083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992,083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Savings accounts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Certificates of deposit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459,729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Borrowings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80" w:type="dxa"/>
            <w:vAlign w:val="bottom"/>
          </w:tcPr>
          <w:p>
            <w:pPr>
              <w:spacing w:after="0"/>
              <w:rPr>
                <w:sz w:val="13"/>
                <w:szCs w:val="13"/>
                <w:color w:val="auto"/>
              </w:rPr>
            </w:pPr>
          </w:p>
        </w:tc>
        <w:tc>
          <w:tcPr>
            <w:tcW w:w="116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3"/>
                <w:szCs w:val="13"/>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8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4"/>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105,119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105,119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105,119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paper,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Certificates of deposit in other banks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FHLB and FRB stock</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Pr>
          <w:p>
            <w:pPr>
              <w:spacing w:after="0"/>
              <w:rPr>
                <w:sz w:val="18"/>
                <w:szCs w:val="18"/>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tcPr>
          <w:p>
            <w:pPr>
              <w:spacing w:after="0"/>
              <w:rPr>
                <w:sz w:val="18"/>
                <w:szCs w:val="18"/>
                <w:color w:val="auto"/>
              </w:rPr>
            </w:pPr>
          </w:p>
        </w:tc>
        <w:tc>
          <w:tcPr>
            <w:tcW w:w="144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N/A</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SBIC investments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12,758</w:t>
            </w:r>
          </w:p>
        </w:tc>
        <w:tc>
          <w:tcPr>
            <w:tcW w:w="0" w:type="dxa"/>
            <w:vAlign w:val="bottom"/>
          </w:tcPr>
          <w:p>
            <w:pPr>
              <w:spacing w:after="0"/>
              <w:rPr>
                <w:sz w:val="1"/>
                <w:szCs w:val="1"/>
                <w:color w:val="auto"/>
              </w:rPr>
            </w:pPr>
          </w:p>
        </w:tc>
      </w:tr>
      <w:tr>
        <w:trPr>
          <w:trHeight w:val="213"/>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held for sale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80,489</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Loans,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2,734,605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2,687,293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2,687,293</w:t>
            </w:r>
          </w:p>
        </w:tc>
        <w:tc>
          <w:tcPr>
            <w:tcW w:w="0" w:type="dxa"/>
            <w:vAlign w:val="bottom"/>
          </w:tcPr>
          <w:p>
            <w:pPr>
              <w:spacing w:after="0"/>
              <w:rPr>
                <w:sz w:val="1"/>
                <w:szCs w:val="1"/>
                <w:color w:val="auto"/>
              </w:rPr>
            </w:pPr>
          </w:p>
        </w:tc>
      </w:tr>
      <w:tr>
        <w:trPr>
          <w:trHeight w:val="213"/>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7,969</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Noninterest-bearing and NOW deposits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1,400,727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1,400,727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1,400,727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Money market accounts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969,661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969,661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969,661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Savings accounts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Certificates of deposit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485,452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485,452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had off-balance sheet financial commitments, which included approximately $922,831 and $921,239 of commitments to originate loans, undisbursed portions of construction loans, unused lines of credit, and standby letters of credit at December 31, 2022 and June 30, 2022, respectively (see "Note 9 – Commitments and Contingencies"). Since these commitments are based on current rates, the carrying amount approximates the fair value.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3" w:name="page34"/>
    <w:bookmarkEnd w:id="33"/>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2.</w:t>
        <w:tab/>
        <w:t>Management's Discussion and Analysis of Financial Condition and Results of Operations</w:t>
      </w:r>
    </w:p>
    <w:p>
      <w:pPr>
        <w:spacing w:after="0" w:line="6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November 2020, the SEC adopted amendments to Regulation S-K to eliminate certain disclosure requirements and to revise several others to make the disclosures provided in the management's discussion and analysis section more useful for investors. When providing a discussion and analysis of interim period results, the amendments provide a registrant with the option to discuss its interim results by comparing its most recent quarter to the immediately preceding quarter rather than to the same quarter of the prior year. The Company elected to exercise this option as it believes that the comparison of current quarter results to a linked quarter, rather than the prior year comparable quarter, more accurately reflects management's perspective of the organization and its results.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Certain matters in this Form 10-Q constitute forward-looking statements within the meaning of the Private Securities Litigation Reform Act of 1995. These statements relate to our financial condition, results of operations, plans, objectives, future performance or business. Forward-looking statements are not statements of historical fact, but instead are based on certain assumptions and are generally identified by use of the words "believes," "expects," "anticipates," "estimates," "forecasts," "intends," "plans," "targets," "potentially," "probably," "projects," "outlook" or similar expressions or future or conditional verbs such as "may," "will," "should," "would," and "could." Forward-looking statements include statements with respect to our beliefs, plans, objectives, goals, expectations, assumptions, and statements about future economic performance and projections of financial items. These forward-looking statements are subject to known and unknown risks, uncertainties and other factors that could cause actual results to differ materially from the results anticipated or implied by our forward-looking statements.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factors that could result in material differentiation include, but are not limited to:</w:t>
      </w:r>
    </w:p>
    <w:p>
      <w:pPr>
        <w:spacing w:after="0" w:line="73" w:lineRule="exact"/>
        <w:rPr>
          <w:sz w:val="20"/>
          <w:szCs w:val="20"/>
          <w:color w:val="auto"/>
        </w:rPr>
      </w:pPr>
    </w:p>
    <w:p>
      <w:pPr>
        <w:jc w:val="both"/>
        <w:ind w:left="340" w:hanging="332"/>
        <w:spacing w:after="0" w:line="263" w:lineRule="auto"/>
        <w:tabs>
          <w:tab w:leader="none" w:pos="32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remaining effect of the COVID-19 pandemic, including on our credit quality and business operations, as well as its impact on general economic and financial market conditions and other uncertainties resulting from the COVID-19 pandemic, such as the extent and remaining duration of the impact on public health, the U.S. and global economies, and consumer and corporate customers, including economic activity, employment levels, labor shortages and market liquidity, both nationally and in our market areas;</w:t>
      </w:r>
    </w:p>
    <w:p>
      <w:pPr>
        <w:spacing w:after="0" w:line="17"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32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revenues, cost savings, synergies and other benefits from our merger and acquisition activities, including the proposed acquisition of Quantum Capital Corp., might not be realized to the extent anticipated, within the anticipated time frames, or at all, and costs or difficulties relating to integration matters, including but not limited to customer and employee retention, might be greater than expected;</w:t>
      </w:r>
    </w:p>
    <w:p>
      <w:pPr>
        <w:spacing w:after="0" w:line="22" w:lineRule="exact"/>
        <w:rPr>
          <w:rFonts w:ascii="Times New Roman" w:cs="Times New Roman" w:eastAsia="Times New Roman" w:hAnsi="Times New Roman"/>
          <w:sz w:val="16"/>
          <w:szCs w:val="16"/>
          <w:color w:val="auto"/>
        </w:rPr>
      </w:pPr>
    </w:p>
    <w:p>
      <w:pPr>
        <w:ind w:left="340" w:hanging="332"/>
        <w:spacing w:after="0" w:line="280" w:lineRule="auto"/>
        <w:tabs>
          <w:tab w:leader="none" w:pos="32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credit risks of lending activities, including changes in the level and trend of loan delinquencies and write offs and changes in our allowance for credit losses and provision for credit losses that may be impacted by deterioration in the housing and commercial real estate markets;</w:t>
      </w:r>
    </w:p>
    <w:p>
      <w:pPr>
        <w:spacing w:after="0" w:line="2"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general economic conditions, either nationally or in our market areas;</w:t>
      </w:r>
    </w:p>
    <w:p>
      <w:pPr>
        <w:spacing w:after="0" w:line="72" w:lineRule="exact"/>
        <w:rPr>
          <w:rFonts w:ascii="Times New Roman" w:cs="Times New Roman" w:eastAsia="Times New Roman" w:hAnsi="Times New Roman"/>
          <w:sz w:val="16"/>
          <w:szCs w:val="16"/>
          <w:color w:val="auto"/>
        </w:rPr>
      </w:pPr>
    </w:p>
    <w:p>
      <w:pPr>
        <w:ind w:left="340" w:hanging="332"/>
        <w:spacing w:after="0" w:line="280" w:lineRule="auto"/>
        <w:tabs>
          <w:tab w:leader="none" w:pos="32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levels of general interest rates, and the relative differences between short and long term interest rates, deposit interest rates, our net interest margin and funding sources and the effects of inflation or a potential recession;</w:t>
      </w:r>
    </w:p>
    <w:p>
      <w:pPr>
        <w:spacing w:after="0" w:line="16"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uncertainty regarding the limited future of LIBOR, and the expected transition toward new interest rate benchmarks;</w:t>
      </w:r>
    </w:p>
    <w:p>
      <w:pPr>
        <w:spacing w:after="0" w:line="59"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the demand for loans, the number of unsold homes, land and other properties and fluctuations in real estate values in our market areas;</w:t>
      </w:r>
    </w:p>
    <w:p>
      <w:pPr>
        <w:spacing w:after="0" w:line="59"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decreases in the secondary market for the sale of loans that we originate;</w:t>
      </w:r>
    </w:p>
    <w:p>
      <w:pPr>
        <w:spacing w:after="0" w:line="72"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32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of examinations of us by the Federal Reserve, the NCCOB, or other regulatory authorities, including the possibility that any such regulatory authority may, among other things, require us to increase our allowance for credit losses, write-down assets, change our regulatory capital position or affect our ability to borrow funds or maintain or increase deposits, which could adversely affect our liquidity and earnings;</w:t>
      </w:r>
    </w:p>
    <w:p>
      <w:pPr>
        <w:spacing w:after="0" w:line="8" w:lineRule="exact"/>
        <w:rPr>
          <w:rFonts w:ascii="Times New Roman" w:cs="Times New Roman" w:eastAsia="Times New Roman" w:hAnsi="Times New Roman"/>
          <w:sz w:val="16"/>
          <w:szCs w:val="16"/>
          <w:color w:val="auto"/>
        </w:rPr>
      </w:pPr>
    </w:p>
    <w:p>
      <w:pPr>
        <w:jc w:val="both"/>
        <w:ind w:left="340" w:right="20" w:hanging="332"/>
        <w:spacing w:after="0" w:line="272" w:lineRule="auto"/>
        <w:tabs>
          <w:tab w:leader="none" w:pos="32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legislative or regulatory changes that adversely affect our business including the effect of Dodd-Frank Wall Street Reform and Consumer Protection Act, changes in laws or regulations, changes in regulatory policies and principles or the application or interpretation of laws and regulations by regulatory agencies and tax authorities, including changes in deferred tax asset and liability activity, or the interpretation of regulatory capital or other rules, including as a result of Basel III;</w:t>
      </w:r>
    </w:p>
    <w:p>
      <w:pPr>
        <w:spacing w:after="0" w:line="8"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deposits;</w:t>
      </w:r>
    </w:p>
    <w:p>
      <w:pPr>
        <w:spacing w:after="0" w:line="59"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management's assumptions in determining the adequacy of the allowance for credit losses;</w:t>
      </w:r>
    </w:p>
    <w:p>
      <w:pPr>
        <w:spacing w:after="0" w:line="72"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control operating costs and expenses, especially costs associated with our operation as a public company;</w:t>
      </w:r>
    </w:p>
    <w:p>
      <w:pPr>
        <w:spacing w:after="0" w:line="59"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use of estimates in determining fair value of certain assets, which estimates may prove to be incorrect and result in significant declines in valuation;</w:t>
      </w:r>
    </w:p>
    <w:p>
      <w:pPr>
        <w:spacing w:after="0" w:line="72"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reducing risks associated with the loans on our balance sheet;</w:t>
      </w:r>
    </w:p>
    <w:p>
      <w:pPr>
        <w:spacing w:after="0" w:line="59"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staffing fluctuations in response to product demand or the implementation of corporate strategies that affect our workforce and potential associated charges;</w:t>
      </w:r>
    </w:p>
    <w:p>
      <w:pPr>
        <w:spacing w:after="0" w:line="59" w:lineRule="exact"/>
        <w:rPr>
          <w:rFonts w:ascii="Times New Roman" w:cs="Times New Roman" w:eastAsia="Times New Roman" w:hAnsi="Times New Roman"/>
          <w:sz w:val="16"/>
          <w:szCs w:val="16"/>
          <w:color w:val="auto"/>
        </w:rPr>
      </w:pPr>
    </w:p>
    <w:p>
      <w:pPr>
        <w:ind w:left="340" w:hanging="332"/>
        <w:spacing w:after="0" w:line="290" w:lineRule="auto"/>
        <w:tabs>
          <w:tab w:leader="none" w:pos="32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disruptions, security breaches, or other adverse events, failures or interruptions in, or attacks on, our information technology systems or on the third-party vendors who perform several of our critical processing functions;</w:t>
      </w:r>
    </w:p>
    <w:p>
      <w:pPr>
        <w:ind w:left="320" w:hanging="312"/>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retain key members of our senior management team;</w:t>
      </w:r>
    </w:p>
    <w:p>
      <w:pPr>
        <w:spacing w:after="0" w:line="72"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and effects of litigation, including settlements and judgments;</w:t>
      </w:r>
    </w:p>
    <w:p>
      <w:pPr>
        <w:spacing w:after="0" w:line="59" w:lineRule="exact"/>
        <w:rPr>
          <w:rFonts w:ascii="Times New Roman" w:cs="Times New Roman" w:eastAsia="Times New Roman" w:hAnsi="Times New Roman"/>
          <w:sz w:val="16"/>
          <w:szCs w:val="16"/>
          <w:color w:val="auto"/>
        </w:rPr>
      </w:pPr>
    </w:p>
    <w:p>
      <w:pPr>
        <w:ind w:left="340" w:hanging="332"/>
        <w:spacing w:after="0" w:line="280" w:lineRule="auto"/>
        <w:tabs>
          <w:tab w:leader="none" w:pos="32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integrate any assets, liabilities, customers, systems, and management personnel we may in the future acquire into our operations and our ability to realize related revenue synergies and cost savings within expected time frames and any goodwill charges related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4" w:name="page35"/>
    <w:bookmarkEnd w:id="34"/>
    <w:p>
      <w:pPr>
        <w:ind w:left="320" w:hanging="312"/>
        <w:spacing w:after="0"/>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competitive pressures among financial services companies;</w:t>
      </w:r>
    </w:p>
    <w:p>
      <w:pPr>
        <w:spacing w:after="0" w:line="59"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consumer spending, borrowing and savings habits;</w:t>
      </w:r>
    </w:p>
    <w:p>
      <w:pPr>
        <w:spacing w:after="0" w:line="72"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resources to address changes in laws, rules, or regulations or to respond to regulatory actions;</w:t>
      </w:r>
    </w:p>
    <w:p>
      <w:pPr>
        <w:spacing w:after="0" w:line="59"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changes in the securities markets;</w:t>
      </w:r>
    </w:p>
    <w:p>
      <w:pPr>
        <w:spacing w:after="0" w:line="72"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of key third-party providers to perform their obligations to us;</w:t>
      </w:r>
    </w:p>
    <w:p>
      <w:pPr>
        <w:spacing w:after="0" w:line="59" w:lineRule="exact"/>
        <w:rPr>
          <w:rFonts w:ascii="Times New Roman" w:cs="Times New Roman" w:eastAsia="Times New Roman" w:hAnsi="Times New Roman"/>
          <w:sz w:val="16"/>
          <w:szCs w:val="16"/>
          <w:color w:val="auto"/>
        </w:rPr>
      </w:pPr>
    </w:p>
    <w:p>
      <w:pPr>
        <w:ind w:left="340" w:hanging="332"/>
        <w:spacing w:after="0" w:line="280" w:lineRule="auto"/>
        <w:tabs>
          <w:tab w:leader="none" w:pos="32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accounting principles, policies or guidelines and practices, as may be adopted by the financial institution regulatory agencies, the Public Company Accounting Oversight Board or the FASB;</w:t>
      </w:r>
    </w:p>
    <w:p>
      <w:pPr>
        <w:spacing w:after="0" w:line="16" w:lineRule="exact"/>
        <w:rPr>
          <w:rFonts w:ascii="Times New Roman" w:cs="Times New Roman" w:eastAsia="Times New Roman" w:hAnsi="Times New Roman"/>
          <w:sz w:val="16"/>
          <w:szCs w:val="16"/>
          <w:color w:val="auto"/>
        </w:rPr>
      </w:pPr>
    </w:p>
    <w:p>
      <w:pPr>
        <w:ind w:left="340" w:hanging="332"/>
        <w:spacing w:after="0" w:line="260" w:lineRule="auto"/>
        <w:tabs>
          <w:tab w:leader="none" w:pos="32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economic, competitive, governmental, regulatory, and technological factors affecting our operations, pricing, products and services including the CARES Act; and</w:t>
      </w:r>
    </w:p>
    <w:p>
      <w:pPr>
        <w:spacing w:after="0" w:line="246"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risks detailed from time to time in our filings with the SEC, including this report on Form 10-Q.</w:t>
      </w:r>
    </w:p>
    <w:p>
      <w:pPr>
        <w:spacing w:after="0" w:line="1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Many of the forward-looking statements are based upon management’s beliefs and assumptions at the time they are made. We undertake no obligation to publicly update or revise any forward-looking statements included in this report or to update the reasons why actual results could differ from those contained in such statements, whether as a result of new information, future events or otherwise. In light of these risks, uncertainties and assumptions, the forward-looking statements discussed in this report might not occur and you should not put undue reliance on any forward-looking statements.</w:t>
      </w:r>
    </w:p>
    <w:p>
      <w:pPr>
        <w:spacing w:after="0" w:line="7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As used throughout this report, the terms “we,” “our,” “us,” “HomeTrust Bancshares” or the “Company” refer to HomeTrust Bancshares, Inc. and its consolidated subsidiaries, including HomeTrust Bank (“HomeTrust” or "Bank") unless the context indicates otherwise.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HomeTrust Bancshares, Inc., a Maryland corporation, was formed for the purpose of becoming the holding company for HomeTrust Bank in connection with the Bank’s conversion from mutual to stock form, which was completed on July 10, 2012. As a bank holding company and financial holding company, we are regulated by the Federal Reserve. The Company has not engaged in any significant activity other than holding the stock of the Bank. As a North Carolina state-chartered bank, and member of the FRB, the Bank's primary regulators are the NCCOB and the Federal Reserve. The Bank's deposits are federally insured up to applicable limits by the FDIC. The Bank is a member of the FHLB of Atlanta, which is one of the 11 regional banks in the FHLB System. Our headquarters is located in Asheville, North Carolina.</w:t>
      </w:r>
    </w:p>
    <w:p>
      <w:pPr>
        <w:spacing w:after="0" w:line="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Bank has more than 30 locations across North Carolina, South Carolina, Tennessee, and Virginia, many of which are located in markets experiencing growth rates above the national average. Historically, our branches and facilities have primarily been located in small- to medium-sized communities, but in recent years we have implemented a strategy of expanding into larger, higher growth markets via business banking centers rather than retail-focused branches.</w:t>
      </w:r>
    </w:p>
    <w:p>
      <w:pPr>
        <w:spacing w:after="0" w:line="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Our principal business consists of attracting deposits from the general public and investing those funds, along with borrowed funds, in commercial real estate loans, construction and development loans, commercial and industrial loans, equipment finance leases, municipal leases, loans secured by first and second mortgages on one-to-four family residences including home equity and other consumer loans. We also originate one-to-four family loans, SBA loans, and HELOCs to sell to third parties. In addition, we invest in debt securities issued by United States Government agencies and GSEs, corporate bonds, commercial paper, and certificates of deposit in other banks insured by the FDIC. We offer a variety of deposit accounts for individuals, businesses, and nonprofit organizations.</w:t>
      </w:r>
    </w:p>
    <w:p>
      <w:pPr>
        <w:spacing w:after="0" w:line="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Our primary source of pre-tax income is net interest income. Net interest income is the difference between interest income, which is the income that we earn on our loans and investments, and interest expense, which is the interest that we pay on our deposits and borrowings. Changes in levels of interest rates affect our net interest income.</w:t>
      </w:r>
    </w:p>
    <w:p>
      <w:pPr>
        <w:spacing w:after="0" w:line="7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 secondary source of income is noninterest income, which includes revenue we receive from providing products and services, including service charges and fees on deposit accounts, loan income and fees, gains on the sale of loans held for sale, BOLI income, and operating lease income.</w:t>
      </w:r>
    </w:p>
    <w:p>
      <w:pPr>
        <w:spacing w:after="0" w:line="5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An offset to net interest income is the provision for credit losses which is required to establish the ACL at a level that adequately provides for current expected credit losses inherent in our loan portfolio, off balance sheet credit commitments, and available for sale debt securities. See "Note 1 – Summary of Significant Accounting Policies" in Item 1 of our 2022 Form 10-K for further discussion.</w:t>
      </w:r>
    </w:p>
    <w:p>
      <w:pPr>
        <w:spacing w:after="0" w:line="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Our noninterest expenses consist primarily of salaries and employee benefits, expenses for occupancy, marketing and computer services, and FDIC deposit insurance premiums. Salaries and benefits consist primarily of the salaries and wages paid to our employees, payroll taxes, expenses for retirement, and other employee benefits. Occupancy expenses, which are the fixed and variable costs of buildings and equipment, consist primarily of lease payments, property taxes, depreciation charges, maintenance, and costs of utilities.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Certain of our accounting policies are important to the portrayal of our financial condition, since they require management to make difficult, complex, or subjective judgments, some of which may relate to matters that are inherently uncertain. Estimates associated with these policies are susceptible to material changes as a result of changes in facts and circumstances which could include, but are not limited to, changes in interest rates, changes in the performance of the economy, and changes in the financial condition of borrowers.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represents our critical accounting policy:</w:t>
      </w:r>
    </w:p>
    <w:p>
      <w:pPr>
        <w:spacing w:after="0" w:line="1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Allowance for Credit Losses, or ACL, on Loans. </w:t>
      </w:r>
      <w:r>
        <w:rPr>
          <w:rFonts w:ascii="Times New Roman" w:cs="Times New Roman" w:eastAsia="Times New Roman" w:hAnsi="Times New Roman"/>
          <w:sz w:val="16"/>
          <w:szCs w:val="16"/>
          <w:color w:val="auto"/>
        </w:rPr>
        <w:t>The ACL reflects our estimate of credit losses that will result from the inability of our borrowers to make required loan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payments. We charge off loans against the ACL and subsequent recoveries, if any, increase the ACL when they are recognized. We use a systematic methodology to determine our ACL for loans held for investment and certain off-balance-sheet credit exposures. The ACL is a valuation account that is deducted from the amortized cost basis to present the net amount expected to be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jc w:val="both"/>
        <w:spacing w:after="0" w:line="263" w:lineRule="auto"/>
        <w:rPr>
          <w:sz w:val="20"/>
          <w:szCs w:val="20"/>
          <w:color w:val="auto"/>
        </w:rPr>
      </w:pPr>
      <w:r>
        <w:rPr>
          <w:rFonts w:ascii="Times New Roman" w:cs="Times New Roman" w:eastAsia="Times New Roman" w:hAnsi="Times New Roman"/>
          <w:sz w:val="16"/>
          <w:szCs w:val="16"/>
          <w:color w:val="auto"/>
        </w:rPr>
        <w:t>collected on the loan portfolio. We consider the effects of past events, current conditions, and reasonable and supportable forecasts on the collectability of the loan portfolio. The estimate of our ACL involves a high degree of judgment; therefore, our process for determining expected credit losses may result in a range of expected credit losses. Our ACL recorded in the balance sheet reflects our best estimate within the range of expected credit losses. We recognize in net income the amount needed to adjust the ACL for management’s current estimate of expected credit losses. Our ACL is calculated using collectively evaluated and individually evaluated loans.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Highlights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quarter ended December 31, 2022 compared to the quarter ended September 30, 2022:</w:t>
      </w:r>
    </w:p>
    <w:p>
      <w:pPr>
        <w:spacing w:after="0" w:line="59" w:lineRule="exact"/>
        <w:rPr>
          <w:sz w:val="20"/>
          <w:szCs w:val="20"/>
          <w:color w:val="auto"/>
        </w:rPr>
      </w:pPr>
    </w:p>
    <w:p>
      <w:pPr>
        <w:ind w:left="480" w:hanging="310"/>
        <w:spacing w:after="0"/>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was $13.7 million compared to $9.2 million;</w:t>
      </w:r>
    </w:p>
    <w:p>
      <w:pPr>
        <w:spacing w:after="0" w:line="26"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EPS was $0.90 compared to $0.60;</w:t>
      </w:r>
    </w:p>
    <w:p>
      <w:pPr>
        <w:spacing w:after="0" w:line="15"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ROA was 1.54% compared to 1.02%;</w:t>
      </w:r>
    </w:p>
    <w:p>
      <w:pPr>
        <w:spacing w:after="0" w:line="8"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ROE was 13.37% compared to 9.25%;</w:t>
      </w:r>
    </w:p>
    <w:p>
      <w:pPr>
        <w:spacing w:after="0" w:line="15"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interest income was $37.5 million compared to $34.5 million;</w:t>
      </w:r>
    </w:p>
    <w:p>
      <w:pPr>
        <w:spacing w:after="0" w:line="5"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tax-equivalent net interest margin increased from 4.13% to 4.56%;</w:t>
      </w:r>
    </w:p>
    <w:p>
      <w:pPr>
        <w:spacing w:after="0" w:line="8"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 for credit losses was $2.2 million compared to $4.0 million;</w:t>
      </w:r>
    </w:p>
    <w:p>
      <w:pPr>
        <w:spacing w:after="0" w:line="15"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noninterest income was $8.5 million compared to $7.4 million;</w:t>
      </w:r>
    </w:p>
    <w:p>
      <w:pPr>
        <w:spacing w:after="0" w:line="5"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loan growth was $117.8 million, or 16.4% annualized, compared to $98.5 million, or 14.2% annualized; and</w:t>
      </w:r>
    </w:p>
    <w:p>
      <w:pPr>
        <w:spacing w:after="0" w:line="8"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quarterly cash dividends increased $0.01 per share, or 11.1%, to $0.10 per share totaling $1.5 million compared to $0.09 per share totaling $1.4 million.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six months ended December 31, 2022 compared to the six months ended December 31, 2021:</w:t>
      </w:r>
    </w:p>
    <w:p>
      <w:pPr>
        <w:spacing w:after="0" w:line="73" w:lineRule="exact"/>
        <w:rPr>
          <w:sz w:val="20"/>
          <w:szCs w:val="20"/>
          <w:color w:val="auto"/>
        </w:rPr>
      </w:pPr>
    </w:p>
    <w:p>
      <w:pPr>
        <w:ind w:left="480" w:hanging="310"/>
        <w:spacing w:after="0"/>
        <w:tabs>
          <w:tab w:leader="none" w:pos="4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was $22.9 million compared to $21.6 million;</w:t>
      </w:r>
    </w:p>
    <w:p>
      <w:pPr>
        <w:spacing w:after="0" w:line="23"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EPS was $1.50 compared to $1.33;</w:t>
      </w:r>
    </w:p>
    <w:p>
      <w:pPr>
        <w:spacing w:after="0" w:line="5"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ROA was 1.28% compared to 1.21%;</w:t>
      </w:r>
    </w:p>
    <w:p>
      <w:pPr>
        <w:spacing w:after="0" w:line="8"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annualized ROE was 11.32% compared to 10.78%;</w:t>
      </w:r>
    </w:p>
    <w:p>
      <w:pPr>
        <w:spacing w:after="0" w:line="15"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interest income was $72.1 million compared to $54.9 million;</w:t>
      </w:r>
    </w:p>
    <w:p>
      <w:pPr>
        <w:spacing w:after="0" w:line="8"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tax-equivalent net interest margin increased from 3.37% to 4.35%;</w:t>
      </w:r>
    </w:p>
    <w:p>
      <w:pPr>
        <w:spacing w:after="0" w:line="15"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 for credit losses was $6.2 million compared to a net benefit of $4.0 million;</w:t>
      </w:r>
    </w:p>
    <w:p>
      <w:pPr>
        <w:spacing w:after="0" w:line="5"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noninterest income was $15.9 million compared to $20.4 million;</w:t>
      </w:r>
    </w:p>
    <w:p>
      <w:pPr>
        <w:spacing w:after="0" w:line="8"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loan growth was $216.3 million, or 15.6% annualized, compared to a net decrease of $37.2 million, or (1.4)% annualized; and</w:t>
      </w:r>
    </w:p>
    <w:p>
      <w:pPr>
        <w:spacing w:after="0" w:line="15"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dividends of $0.19 per share totaling $2.9 million compared to $0.17 per share totaling $2.7 million.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252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62"/>
        </w:trPr>
        <w:tc>
          <w:tcPr>
            <w:tcW w:w="57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79"/>
              <w:spacing w:after="0" w:line="16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79"/>
              <w:spacing w:after="0" w:line="161"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5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dividend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57,793</w:t>
            </w:r>
          </w:p>
        </w:tc>
      </w:tr>
      <w:tr>
        <w:trPr>
          <w:trHeight w:val="21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2,918</w:t>
            </w:r>
          </w:p>
        </w:tc>
      </w:tr>
      <w:tr>
        <w:trPr>
          <w:trHeight w:val="212"/>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54,875</w:t>
            </w:r>
          </w:p>
        </w:tc>
      </w:tr>
      <w:tr>
        <w:trPr>
          <w:trHeight w:val="21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(3,960)</w:t>
            </w:r>
          </w:p>
        </w:tc>
      </w:tr>
      <w:tr>
        <w:trPr>
          <w:trHeight w:val="212"/>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 after provision (benefit) for credit losses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58,835</w:t>
            </w:r>
          </w:p>
        </w:tc>
      </w:tr>
      <w:tr>
        <w:trPr>
          <w:trHeight w:val="213"/>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20,445</w:t>
            </w:r>
          </w:p>
        </w:tc>
      </w:tr>
      <w:tr>
        <w:trPr>
          <w:trHeight w:val="21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52,165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51,838</w:t>
            </w:r>
          </w:p>
        </w:tc>
      </w:tr>
      <w:tr>
        <w:trPr>
          <w:trHeight w:val="207"/>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27,442</w:t>
            </w: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5,837</w:t>
            </w:r>
          </w:p>
        </w:tc>
      </w:tr>
      <w:tr>
        <w:trPr>
          <w:trHeight w:val="212"/>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22,857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21,605</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1"/>
        </w:trPr>
        <w:tc>
          <w:tcPr>
            <w:tcW w:w="5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r>
      <w:tr>
        <w:trPr>
          <w:trHeight w:val="27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3"/>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declared per common share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r>
      <w:tr>
        <w:trPr>
          <w:trHeight w:val="213"/>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Book value per share at end of period</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24.64</w:t>
            </w:r>
          </w:p>
        </w:tc>
      </w:tr>
      <w:tr>
        <w:trPr>
          <w:trHeight w:val="219"/>
        </w:trPr>
        <w:tc>
          <w:tcPr>
            <w:tcW w:w="57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Tangible book value per share at end of period</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w:t>
            </w:r>
          </w:p>
        </w:tc>
      </w:tr>
      <w:tr>
        <w:trPr>
          <w:trHeight w:val="21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price per share at end of period</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w:t>
            </w:r>
          </w:p>
        </w:tc>
      </w:tr>
    </w:tbl>
    <w:p>
      <w:pPr>
        <w:spacing w:after="0" w:line="176" w:lineRule="exact"/>
        <w:rPr>
          <w:sz w:val="20"/>
          <w:szCs w:val="20"/>
          <w:color w:val="auto"/>
        </w:rPr>
      </w:pPr>
    </w:p>
    <w:p>
      <w:pPr>
        <w:ind w:left="420" w:hanging="412"/>
        <w:spacing w:after="0"/>
        <w:tabs>
          <w:tab w:leader="none" w:pos="42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Basic and diluted net income per common share have been prepared in accordance with the two-class method.</w:t>
      </w:r>
    </w:p>
    <w:p>
      <w:pPr>
        <w:spacing w:after="0" w:line="13" w:lineRule="exact"/>
        <w:rPr>
          <w:rFonts w:ascii="Times New Roman" w:cs="Times New Roman" w:eastAsia="Times New Roman" w:hAnsi="Times New Roman"/>
          <w:sz w:val="13"/>
          <w:szCs w:val="13"/>
          <w:color w:val="auto"/>
        </w:rPr>
      </w:pPr>
    </w:p>
    <w:p>
      <w:pPr>
        <w:ind w:left="420" w:hanging="412"/>
        <w:spacing w:after="0"/>
        <w:tabs>
          <w:tab w:leader="none" w:pos="42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Non-GAAP reconciliations below for adjustments.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color w:val="auto"/>
        </w:rPr>
        <w:t>GAAP Reconciliation of Non-GAAP Financial Measures</w:t>
      </w:r>
    </w:p>
    <w:p>
      <w:pPr>
        <w:spacing w:after="0" w:line="6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believe the non-GAAP financial measures included within this report provide useful information to management and investors that is supplementary to our financial condition, results of operations and cash flows computed in accordance with US GAAP; however, we acknowledge that our non-GAAP financial measures have a number of limitations. The following reconciliation tables provide detailed analyses of these non-GAAP financial measures.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Set forth below is a reconciliation to US GAAP of tangible book value and tangible book value per share: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7"/>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 except per share data)</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410,155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396,222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401,746</w:t>
            </w:r>
          </w:p>
        </w:tc>
        <w:tc>
          <w:tcPr>
            <w:tcW w:w="0" w:type="dxa"/>
            <w:vAlign w:val="bottom"/>
          </w:tcPr>
          <w:p>
            <w:pPr>
              <w:spacing w:after="0"/>
              <w:rPr>
                <w:sz w:val="1"/>
                <w:szCs w:val="1"/>
                <w:color w:val="auto"/>
              </w:rPr>
            </w:pPr>
          </w:p>
        </w:tc>
      </w:tr>
      <w:tr>
        <w:trPr>
          <w:trHeight w:val="213"/>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goodwill, core deposit intangibles, net of taxes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25,663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25,683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25,780</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Tangible book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384,492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363,135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375,966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Common shares outstanding</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5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15,673,595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15,632,348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15,591,466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16,303,461</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Book value per share at end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w:t>
            </w:r>
          </w:p>
        </w:tc>
        <w:tc>
          <w:tcPr>
            <w:tcW w:w="0" w:type="dxa"/>
            <w:vAlign w:val="bottom"/>
          </w:tcPr>
          <w:p>
            <w:pPr>
              <w:spacing w:after="0"/>
              <w:rPr>
                <w:sz w:val="1"/>
                <w:szCs w:val="1"/>
                <w:color w:val="auto"/>
              </w:rPr>
            </w:pPr>
          </w:p>
        </w:tc>
      </w:tr>
      <w:tr>
        <w:trPr>
          <w:trHeight w:val="210"/>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Tangible book value per share at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Set forth below is a reconciliation to US GAAP of tangible equity to tangible assets: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09"/>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8"/>
                <w:szCs w:val="18"/>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7"/>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2"/>
        </w:trPr>
        <w:tc>
          <w:tcPr>
            <w:tcW w:w="52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Tangible equity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384,492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370,539</w:t>
            </w:r>
          </w:p>
        </w:tc>
        <w:tc>
          <w:tcPr>
            <w:tcW w:w="540" w:type="dxa"/>
            <w:vAlign w:val="bottom"/>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363,135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375,966</w:t>
            </w:r>
          </w:p>
        </w:tc>
      </w:tr>
      <w:tr>
        <w:trPr>
          <w:trHeight w:val="20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3,647,015</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3,555,186</w:t>
            </w:r>
          </w:p>
        </w:tc>
        <w:tc>
          <w:tcPr>
            <w:tcW w:w="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3,549,204</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3,502,819</w:t>
            </w:r>
          </w:p>
        </w:tc>
      </w:tr>
      <w:tr>
        <w:trPr>
          <w:trHeight w:val="21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goodwill, core deposit intangibles, net of taxes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25,663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25,683</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25,710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25,780</w:t>
            </w:r>
          </w:p>
        </w:tc>
      </w:tr>
      <w:tr>
        <w:trPr>
          <w:trHeight w:val="209"/>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tangible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3,621,352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3,529,503</w:t>
            </w: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3,523,494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3,477,039</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Tangible equity to tangible assets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10.81 %</w:t>
            </w:r>
          </w:p>
        </w:tc>
      </w:tr>
    </w:tbl>
    <w:p>
      <w:pPr>
        <w:spacing w:after="0" w:line="13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Tangible equity (or tangible book value) is equal to total stockholders' equity less goodwill and core deposit intangibles, net of related deferred tax liabilities.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color w:val="auto"/>
        </w:rPr>
        <w:t>Comparison of Results of Operations for the Three Months Ended December 31, 2022 and September 30, 2022</w:t>
      </w:r>
    </w:p>
    <w:p>
      <w:pPr>
        <w:spacing w:after="0" w:line="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Income. </w:t>
      </w:r>
      <w:r>
        <w:rPr>
          <w:rFonts w:ascii="Times New Roman" w:cs="Times New Roman" w:eastAsia="Times New Roman" w:hAnsi="Times New Roman"/>
          <w:sz w:val="16"/>
          <w:szCs w:val="16"/>
          <w:color w:val="auto"/>
        </w:rPr>
        <w:t>Net income totaled $13.7 million, or $0.90 per diluted share, for the three months ended December 31, 2022 compared to net income of $9.2 million, or $0.60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 diluted share, for the three months ended September 30, 2022, an increase of $4.5 million, or 48.5%. The results for the three months ended December 31, 2022 were positively impacted by a $3.0 million increase in net interest income and a $1.1 million increase in noninterest income. Details of the changes in the various components of net income are further discussed below.</w:t>
      </w:r>
    </w:p>
    <w:p>
      <w:pPr>
        <w:spacing w:after="0" w:line="6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Interest Income. </w:t>
      </w:r>
      <w:r>
        <w:rPr>
          <w:rFonts w:ascii="Times New Roman" w:cs="Times New Roman" w:eastAsia="Times New Roman" w:hAnsi="Times New Roman"/>
          <w:sz w:val="16"/>
          <w:szCs w:val="16"/>
          <w:color w:val="auto"/>
        </w:rPr>
        <w:t>The following table presents the distribution of average assets, liabilities and equity, as well as interest income on average interest-earning assets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interest expense paid on average interest-bearing liabilities. All average balances are daily average balances. Nonaccruing loans have been included in the table as loans carrying a zero yield.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3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Yield /</w:t>
            </w:r>
          </w:p>
        </w:tc>
        <w:tc>
          <w:tcPr>
            <w:tcW w:w="140" w:type="dxa"/>
            <w:vAlign w:val="bottom"/>
          </w:tcPr>
          <w:p>
            <w:pPr>
              <w:spacing w:after="0"/>
              <w:rPr>
                <w:sz w:val="13"/>
                <w:szCs w:val="13"/>
                <w:color w:val="auto"/>
              </w:rPr>
            </w:pPr>
          </w:p>
        </w:tc>
        <w:tc>
          <w:tcPr>
            <w:tcW w:w="10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center"/>
              <w:ind w:right="480"/>
              <w:spacing w:after="0" w:line="158"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02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Yield /</w:t>
            </w:r>
          </w:p>
        </w:tc>
        <w:tc>
          <w:tcPr>
            <w:tcW w:w="0" w:type="dxa"/>
            <w:vAlign w:val="bottom"/>
          </w:tcPr>
          <w:p>
            <w:pPr>
              <w:spacing w:after="0"/>
              <w:rPr>
                <w:sz w:val="1"/>
                <w:szCs w:val="1"/>
                <w:color w:val="auto"/>
              </w:rPr>
            </w:pPr>
          </w:p>
        </w:tc>
      </w:tr>
      <w:tr>
        <w:trPr>
          <w:trHeight w:val="162"/>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Balance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Earned /</w:t>
            </w: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jc w:val="center"/>
              <w:ind w:right="4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Earned /</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6"/>
                <w:szCs w:val="16"/>
                <w:b w:val="1"/>
                <w:bCs w:val="1"/>
                <w:color w:val="auto"/>
              </w:rPr>
              <w:t>Paid</w:t>
            </w:r>
            <w:r>
              <w:rPr>
                <w:rFonts w:ascii="Times New Roman" w:cs="Times New Roman" w:eastAsia="Times New Roman" w:hAnsi="Times New Roman"/>
                <w:sz w:val="21"/>
                <w:szCs w:val="21"/>
                <w:b w:val="1"/>
                <w:bCs w:val="1"/>
                <w:color w:val="auto"/>
                <w:vertAlign w:val="superscript"/>
              </w:rPr>
              <w:t>(2)</w:t>
            </w:r>
          </w:p>
        </w:tc>
        <w:tc>
          <w:tcPr>
            <w:tcW w:w="130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6"/>
                <w:szCs w:val="16"/>
                <w:b w:val="1"/>
                <w:bCs w:val="1"/>
                <w:color w:val="auto"/>
              </w:rPr>
              <w:t>Rate</w:t>
            </w:r>
            <w:r>
              <w:rPr>
                <w:rFonts w:ascii="Times New Roman" w:cs="Times New Roman" w:eastAsia="Times New Roman" w:hAnsi="Times New Roman"/>
                <w:sz w:val="21"/>
                <w:szCs w:val="21"/>
                <w:b w:val="1"/>
                <w:bCs w:val="1"/>
                <w:color w:val="auto"/>
                <w:vertAlign w:val="superscript"/>
              </w:rPr>
              <w:t>(2)</w:t>
            </w:r>
          </w:p>
        </w:tc>
        <w:tc>
          <w:tcPr>
            <w:tcW w:w="1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center"/>
              <w:ind w:right="480"/>
              <w:spacing w:after="0" w:line="216" w:lineRule="exact"/>
              <w:rPr>
                <w:sz w:val="20"/>
                <w:szCs w:val="20"/>
                <w:color w:val="auto"/>
              </w:rPr>
            </w:pPr>
            <w:r>
              <w:rPr>
                <w:rFonts w:ascii="Times New Roman" w:cs="Times New Roman" w:eastAsia="Times New Roman" w:hAnsi="Times New Roman"/>
                <w:sz w:val="16"/>
                <w:szCs w:val="16"/>
                <w:b w:val="1"/>
                <w:bCs w:val="1"/>
                <w:color w:val="auto"/>
                <w:w w:val="88"/>
              </w:rPr>
              <w:t>Paid</w:t>
            </w:r>
            <w:r>
              <w:rPr>
                <w:rFonts w:ascii="Times New Roman" w:cs="Times New Roman" w:eastAsia="Times New Roman" w:hAnsi="Times New Roman"/>
                <w:sz w:val="21"/>
                <w:szCs w:val="21"/>
                <w:b w:val="1"/>
                <w:bCs w:val="1"/>
                <w:color w:val="auto"/>
                <w:w w:val="88"/>
                <w:vertAlign w:val="superscript"/>
              </w:rPr>
              <w:t>(2)</w:t>
            </w:r>
          </w:p>
        </w:tc>
        <w:tc>
          <w:tcPr>
            <w:tcW w:w="10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b w:val="1"/>
                <w:bCs w:val="1"/>
                <w:color w:val="auto"/>
              </w:rPr>
              <w:t>Rate</w:t>
            </w:r>
            <w:r>
              <w:rPr>
                <w:rFonts w:ascii="Times New Roman" w:cs="Times New Roman" w:eastAsia="Times New Roman" w:hAnsi="Times New Roman"/>
                <w:sz w:val="21"/>
                <w:szCs w:val="21"/>
                <w:b w:val="1"/>
                <w:bCs w:val="1"/>
                <w:color w:val="auto"/>
                <w:vertAlign w:val="superscript"/>
              </w:rPr>
              <w:t>(2)</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Loans receivable</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2,999,207</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5.20 %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2,880,148</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4.62 %</w:t>
            </w:r>
          </w:p>
        </w:tc>
        <w:tc>
          <w:tcPr>
            <w:tcW w:w="0" w:type="dxa"/>
            <w:vAlign w:val="bottom"/>
          </w:tcPr>
          <w:p>
            <w:pPr>
              <w:spacing w:after="0"/>
              <w:rPr>
                <w:sz w:val="1"/>
                <w:szCs w:val="1"/>
                <w:color w:val="auto"/>
              </w:rPr>
            </w:pPr>
          </w:p>
        </w:tc>
      </w:tr>
      <w:tr>
        <w:trPr>
          <w:trHeight w:val="213"/>
        </w:trPr>
        <w:tc>
          <w:tcPr>
            <w:tcW w:w="3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Pr>
          <w:p>
            <w:pPr>
              <w:spacing w:after="0"/>
              <w:rPr>
                <w:sz w:val="18"/>
                <w:szCs w:val="18"/>
                <w:color w:val="auto"/>
              </w:rPr>
            </w:pPr>
          </w:p>
        </w:tc>
        <w:tc>
          <w:tcPr>
            <w:tcW w:w="12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214,214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167,818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135,015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16"/>
        </w:trPr>
        <w:tc>
          <w:tcPr>
            <w:tcW w:w="360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interest-earning assets</w:t>
            </w:r>
            <w:r>
              <w:rPr>
                <w:rFonts w:ascii="Times New Roman" w:cs="Times New Roman" w:eastAsia="Times New Roman" w:hAnsi="Times New Roman"/>
                <w:sz w:val="21"/>
                <w:szCs w:val="21"/>
                <w:color w:val="auto"/>
                <w:vertAlign w:val="superscript"/>
              </w:rPr>
              <w:t>(3)</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86,430</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113,821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09"/>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3,287,942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41,689</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3,343,198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19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236,159</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243,113</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3,524,101</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3,586,311</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Interest-bearing checking accounts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627,548</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tcPr>
          <w:p>
            <w:pPr>
              <w:spacing w:after="0"/>
              <w:rPr>
                <w:sz w:val="18"/>
                <w:szCs w:val="18"/>
                <w:color w:val="auto"/>
              </w:rPr>
            </w:pPr>
          </w:p>
        </w:tc>
        <w:tc>
          <w:tcPr>
            <w:tcW w:w="12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0.36 %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654,154</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0.16 %</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accounts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954,007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968,084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213"/>
        </w:trPr>
        <w:tc>
          <w:tcPr>
            <w:tcW w:w="3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Savings accounts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12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Certificate accounts</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444,845</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0.94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476,761</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0.47</w:t>
            </w:r>
          </w:p>
        </w:tc>
        <w:tc>
          <w:tcPr>
            <w:tcW w:w="0" w:type="dxa"/>
            <w:vAlign w:val="bottom"/>
          </w:tcPr>
          <w:p>
            <w:pPr>
              <w:spacing w:after="0"/>
              <w:rPr>
                <w:sz w:val="1"/>
                <w:szCs w:val="1"/>
                <w:color w:val="auto"/>
              </w:rPr>
            </w:pPr>
          </w:p>
        </w:tc>
      </w:tr>
      <w:tr>
        <w:trPr>
          <w:trHeight w:val="207"/>
        </w:trPr>
        <w:tc>
          <w:tcPr>
            <w:tcW w:w="3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2,262,427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120" w:type="dxa"/>
            <w:vAlign w:val="bottom"/>
          </w:tcPr>
          <w:p>
            <w:pPr>
              <w:spacing w:after="0"/>
              <w:rPr>
                <w:sz w:val="17"/>
                <w:szCs w:val="17"/>
                <w:color w:val="auto"/>
              </w:rPr>
            </w:pPr>
          </w:p>
        </w:tc>
        <w:tc>
          <w:tcPr>
            <w:tcW w:w="12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0.63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2,337,991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Borrowings</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26,063</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07"/>
        </w:trPr>
        <w:tc>
          <w:tcPr>
            <w:tcW w:w="3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4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2,288,490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0.67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2,339,517</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19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785,785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800,912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44,333</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51,485</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3,118,608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3,191,914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405,493</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394,397</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3,524,101</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3,586,311</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999,452</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1,003,681</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0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4"/>
                <w:szCs w:val="14"/>
                <w:color w:val="auto"/>
              </w:rPr>
              <w:t>Average interest-earning assets to average interest-</w:t>
            </w:r>
          </w:p>
        </w:tc>
        <w:tc>
          <w:tcPr>
            <w:tcW w:w="14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143.67 %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142.90 %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bearing liabilities</w:t>
            </w:r>
          </w:p>
        </w:tc>
        <w:tc>
          <w:tcPr>
            <w:tcW w:w="1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Tax-equivalent</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interest income</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37,832</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Interest rate spread</w:t>
            </w: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ind w:left="700"/>
              <w:spacing w:after="0"/>
              <w:rPr>
                <w:sz w:val="20"/>
                <w:szCs w:val="20"/>
                <w:color w:val="auto"/>
              </w:rPr>
            </w:pPr>
            <w:r>
              <w:rPr>
                <w:rFonts w:ascii="Times New Roman" w:cs="Times New Roman" w:eastAsia="Times New Roman" w:hAnsi="Times New Roman"/>
                <w:sz w:val="16"/>
                <w:szCs w:val="16"/>
                <w:color w:val="auto"/>
              </w:rPr>
              <w:t>4.36 %</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ind w:left="540"/>
              <w:spacing w:after="0"/>
              <w:rPr>
                <w:sz w:val="20"/>
                <w:szCs w:val="20"/>
                <w:color w:val="auto"/>
              </w:rPr>
            </w:pPr>
            <w:r>
              <w:rPr>
                <w:rFonts w:ascii="Times New Roman" w:cs="Times New Roman" w:eastAsia="Times New Roman" w:hAnsi="Times New Roman"/>
                <w:sz w:val="16"/>
                <w:szCs w:val="16"/>
                <w:color w:val="auto"/>
              </w:rPr>
              <w:t>4.06 %</w:t>
            </w:r>
          </w:p>
        </w:tc>
        <w:tc>
          <w:tcPr>
            <w:tcW w:w="0" w:type="dxa"/>
            <w:vAlign w:val="bottom"/>
          </w:tcPr>
          <w:p>
            <w:pPr>
              <w:spacing w:after="0" w:line="20" w:lineRule="exact"/>
              <w:rPr>
                <w:sz w:val="1"/>
                <w:szCs w:val="1"/>
                <w:color w:val="auto"/>
              </w:rPr>
            </w:pPr>
          </w:p>
        </w:tc>
      </w:tr>
      <w:tr>
        <w:trPr>
          <w:trHeight w:val="160"/>
        </w:trPr>
        <w:tc>
          <w:tcPr>
            <w:tcW w:w="3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Net interest margin</w:t>
            </w:r>
            <w:r>
              <w:rPr>
                <w:rFonts w:ascii="Times New Roman" w:cs="Times New Roman" w:eastAsia="Times New Roman" w:hAnsi="Times New Roman"/>
                <w:sz w:val="21"/>
                <w:szCs w:val="21"/>
                <w:color w:val="auto"/>
                <w:vertAlign w:val="superscript"/>
              </w:rPr>
              <w:t>(4)</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4.56 %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4.13 %</w:t>
            </w: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Non-tax-equivalent</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interest income</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37,545</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Interest rate spread</w:t>
            </w: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ind w:left="700"/>
              <w:spacing w:after="0"/>
              <w:rPr>
                <w:sz w:val="20"/>
                <w:szCs w:val="20"/>
                <w:color w:val="auto"/>
              </w:rPr>
            </w:pPr>
            <w:r>
              <w:rPr>
                <w:rFonts w:ascii="Times New Roman" w:cs="Times New Roman" w:eastAsia="Times New Roman" w:hAnsi="Times New Roman"/>
                <w:sz w:val="16"/>
                <w:szCs w:val="16"/>
                <w:color w:val="auto"/>
              </w:rPr>
              <w:t>4.33 %</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ind w:left="540"/>
              <w:spacing w:after="0"/>
              <w:rPr>
                <w:sz w:val="20"/>
                <w:szCs w:val="20"/>
                <w:color w:val="auto"/>
              </w:rPr>
            </w:pPr>
            <w:r>
              <w:rPr>
                <w:rFonts w:ascii="Times New Roman" w:cs="Times New Roman" w:eastAsia="Times New Roman" w:hAnsi="Times New Roman"/>
                <w:sz w:val="16"/>
                <w:szCs w:val="16"/>
                <w:color w:val="auto"/>
              </w:rPr>
              <w:t>4.02 %</w:t>
            </w:r>
          </w:p>
        </w:tc>
        <w:tc>
          <w:tcPr>
            <w:tcW w:w="0" w:type="dxa"/>
            <w:vAlign w:val="bottom"/>
          </w:tcPr>
          <w:p>
            <w:pPr>
              <w:spacing w:after="0" w:line="20" w:lineRule="exact"/>
              <w:rPr>
                <w:sz w:val="1"/>
                <w:szCs w:val="1"/>
                <w:color w:val="auto"/>
              </w:rPr>
            </w:pPr>
          </w:p>
        </w:tc>
      </w:tr>
      <w:tr>
        <w:trPr>
          <w:trHeight w:val="160"/>
        </w:trPr>
        <w:tc>
          <w:tcPr>
            <w:tcW w:w="3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Net interest margin</w:t>
            </w:r>
            <w:r>
              <w:rPr>
                <w:rFonts w:ascii="Times New Roman" w:cs="Times New Roman" w:eastAsia="Times New Roman" w:hAnsi="Times New Roman"/>
                <w:sz w:val="21"/>
                <w:szCs w:val="21"/>
                <w:color w:val="auto"/>
                <w:vertAlign w:val="superscript"/>
              </w:rPr>
              <w:t>(4)</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4.53 %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4.10 %</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20" w:hanging="412"/>
        <w:spacing w:after="0"/>
        <w:tabs>
          <w:tab w:leader="none" w:pos="4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average loans receivable balances include loans held for sale and nonaccruing loans.</w:t>
      </w:r>
    </w:p>
    <w:p>
      <w:pPr>
        <w:ind w:left="420" w:right="640" w:hanging="412"/>
        <w:spacing w:after="0" w:line="239" w:lineRule="auto"/>
        <w:tabs>
          <w:tab w:leader="none" w:pos="418"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income used in the average interest earned and yield calculation includes the tax equivalent adjustment of $287 and $277 for the three months ended December 31, 2022 and September 30, 2022, respectively, calculated based on a combined federal and state tax rate of 24%.</w:t>
      </w:r>
    </w:p>
    <w:p>
      <w:pPr>
        <w:ind w:left="420" w:hanging="412"/>
        <w:spacing w:after="0"/>
        <w:tabs>
          <w:tab w:leader="none" w:pos="4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average other interest-earning assets consist of FRB stock, FHLB stock, SBIC investments, and deposits in other banks.</w:t>
      </w:r>
    </w:p>
    <w:p>
      <w:pPr>
        <w:spacing w:after="0" w:line="10" w:lineRule="exact"/>
        <w:rPr>
          <w:rFonts w:ascii="Times New Roman" w:cs="Times New Roman" w:eastAsia="Times New Roman" w:hAnsi="Times New Roman"/>
          <w:sz w:val="13"/>
          <w:szCs w:val="13"/>
          <w:color w:val="auto"/>
        </w:rPr>
      </w:pPr>
    </w:p>
    <w:p>
      <w:pPr>
        <w:ind w:left="420" w:hanging="412"/>
        <w:spacing w:after="0"/>
        <w:tabs>
          <w:tab w:leader="none" w:pos="4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interest income divided by average interest-earning assets.</w:t>
      </w:r>
    </w:p>
    <w:p>
      <w:pPr>
        <w:spacing w:after="0" w:line="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Total interest and dividend income for the three months ended December 31, 2022 increased $5.5 million, or 15.2%, compared to the three months ended September 30, 2022, which was driven by a $5.8 million, or 17.3%, increase in interest income on loans. The overall increase in average yield on interest-earning assets and rate paid on liabilities was the result of rising interest rates. Specific to debt securities available for sale, the Company has intentionally maintained a relatively short-term duration portfolio which has allowed, and will continue to allow, the Company to take advantage of rising rates when reinvesting the proceeds of maturing instruments.</w:t>
      </w:r>
    </w:p>
    <w:p>
      <w:pPr>
        <w:sectPr>
          <w:pgSz w:w="11900" w:h="16838" w:orient="portrait"/>
          <w:cols w:equalWidth="0" w:num="1">
            <w:col w:w="11240"/>
          </w:cols>
          <w:pgMar w:left="320" w:top="893"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38" w:name="page39"/>
    <w:bookmarkEnd w:id="38"/>
    <w:p>
      <w:pPr>
        <w:jc w:val="both"/>
        <w:spacing w:after="0" w:line="272" w:lineRule="auto"/>
        <w:rPr>
          <w:sz w:val="20"/>
          <w:szCs w:val="20"/>
          <w:color w:val="auto"/>
        </w:rPr>
      </w:pPr>
      <w:r>
        <w:rPr>
          <w:rFonts w:ascii="Times New Roman" w:cs="Times New Roman" w:eastAsia="Times New Roman" w:hAnsi="Times New Roman"/>
          <w:sz w:val="16"/>
          <w:szCs w:val="16"/>
          <w:color w:val="auto"/>
        </w:rPr>
        <w:t>Total interest expense for the three months ended December 31, 2022 increased $2.5 million, or 174.1%, compared to the three months ended September 30, 2022. The increase was driven by a $2.2 million, or 158.3%, increase in interest expense on deposits as a result of a 39 basis point increase in the associated average cost of funds, and a $242,000 increase in interest expense on borrowings as a result of higher average balances and higher rates.</w:t>
      </w:r>
    </w:p>
    <w:p>
      <w:pPr>
        <w:spacing w:after="0" w:line="6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following table shows the effects that changes in average balances (volume), including differences in the number of days in the periods compared, and average interest rates (rate) had on the interest earned on interest-earning assets and interest paid on interest-bearing liabilities: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Increase / (Decrease)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68"/>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20" w:type="dxa"/>
            <w:vAlign w:val="bottom"/>
          </w:tcPr>
          <w:p>
            <w:pPr>
              <w:spacing w:after="0"/>
              <w:rPr>
                <w:sz w:val="5"/>
                <w:szCs w:val="5"/>
                <w:color w:val="auto"/>
              </w:rPr>
            </w:pPr>
          </w:p>
        </w:tc>
        <w:tc>
          <w:tcPr>
            <w:tcW w:w="1920" w:type="dxa"/>
            <w:vAlign w:val="bottom"/>
            <w:gridSpan w:val="3"/>
            <w:vMerge w:val="restart"/>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Due to</w:t>
            </w: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730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99"/>
              <w:spacing w:after="0" w:line="142" w:lineRule="exact"/>
              <w:rPr>
                <w:sz w:val="20"/>
                <w:szCs w:val="20"/>
                <w:color w:val="auto"/>
              </w:rPr>
            </w:pPr>
            <w:r>
              <w:rPr>
                <w:rFonts w:ascii="Times New Roman" w:cs="Times New Roman" w:eastAsia="Times New Roman" w:hAnsi="Times New Roman"/>
                <w:sz w:val="16"/>
                <w:szCs w:val="16"/>
                <w:b w:val="1"/>
                <w:bCs w:val="1"/>
                <w:color w:val="auto"/>
              </w:rPr>
              <w:t>Increase /</w:t>
            </w:r>
          </w:p>
        </w:tc>
        <w:tc>
          <w:tcPr>
            <w:tcW w:w="0" w:type="dxa"/>
            <w:vAlign w:val="bottom"/>
          </w:tcPr>
          <w:p>
            <w:pPr>
              <w:spacing w:after="0"/>
              <w:rPr>
                <w:sz w:val="1"/>
                <w:szCs w:val="1"/>
                <w:color w:val="auto"/>
              </w:rPr>
            </w:pPr>
          </w:p>
        </w:tc>
      </w:tr>
      <w:tr>
        <w:trPr>
          <w:trHeight w:val="208"/>
        </w:trPr>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Rate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0" w:type="dxa"/>
            <w:vAlign w:val="bottom"/>
          </w:tcPr>
          <w:p>
            <w:pPr>
              <w:spacing w:after="0"/>
              <w:rPr>
                <w:sz w:val="1"/>
                <w:szCs w:val="1"/>
                <w:color w:val="auto"/>
              </w:rPr>
            </w:pPr>
          </w:p>
        </w:tc>
      </w:tr>
      <w:tr>
        <w:trPr>
          <w:trHeight w:val="198"/>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receivable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10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4,374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5,760</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interest-earning assets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07"/>
        </w:trPr>
        <w:tc>
          <w:tcPr>
            <w:tcW w:w="7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interest-earning assets</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5,084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5,485</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Interest-bearing checking accounts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accounts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Savings accounts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Certificate accounts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Borrowings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09"/>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2,315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w:t>
            </w:r>
          </w:p>
        </w:tc>
        <w:tc>
          <w:tcPr>
            <w:tcW w:w="0" w:type="dxa"/>
            <w:vAlign w:val="bottom"/>
          </w:tcPr>
          <w:p>
            <w:pPr>
              <w:spacing w:after="0"/>
              <w:rPr>
                <w:sz w:val="1"/>
                <w:szCs w:val="1"/>
                <w:color w:val="auto"/>
              </w:rPr>
            </w:pPr>
          </w:p>
        </w:tc>
      </w:tr>
      <w:tr>
        <w:trPr>
          <w:trHeight w:val="212"/>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in tax equivalent interest income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3,035</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Credit Losses. </w:t>
      </w:r>
      <w:r>
        <w:rPr>
          <w:rFonts w:ascii="Times New Roman" w:cs="Times New Roman" w:eastAsia="Times New Roman" w:hAnsi="Times New Roman"/>
          <w:sz w:val="16"/>
          <w:szCs w:val="16"/>
          <w:color w:val="auto"/>
        </w:rPr>
        <w:t>The provision for credit losses is the amount of expense that, based on our judgment, is required to maintain the ACL at an appropriate level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under the CECL model.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 breakdown of the components of the provision for credit losses: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for credit losses</w:t>
            </w: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Off-balance-sheet credit exposure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34"/>
        </w:trPr>
        <w:tc>
          <w:tcPr>
            <w:tcW w:w="5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provision for credit losses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For the quarter ended December 31, 2022, the "loans" portion of the provision for credit losses was the result of the following, offset by net charge-offs of $1.9 million during the quarter:</w:t>
      </w:r>
    </w:p>
    <w:p>
      <w:pPr>
        <w:spacing w:after="0" w:line="1" w:lineRule="exact"/>
        <w:rPr>
          <w:sz w:val="20"/>
          <w:szCs w:val="20"/>
          <w:color w:val="auto"/>
        </w:rPr>
      </w:pPr>
    </w:p>
    <w:p>
      <w:pPr>
        <w:ind w:left="480" w:hanging="310"/>
        <w:spacing w:after="0"/>
        <w:tabs>
          <w:tab w:leader="none" w:pos="4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 million provision driven by loan growth and changes in the loan mix.</w:t>
      </w:r>
    </w:p>
    <w:p>
      <w:pPr>
        <w:spacing w:after="0" w:line="72"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$0.4 million provision due to changes in the projected economic forecast, specifically the national unemployment rate, and changes in qualitative adjustments.</w:t>
      </w:r>
    </w:p>
    <w:p>
      <w:pPr>
        <w:spacing w:after="0" w:line="59"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 million reduction of specific reserves on individually evaluated credits, which was tied to two relationships which were fully charged-off during the quarter.</w:t>
      </w:r>
    </w:p>
    <w:p>
      <w:pPr>
        <w:spacing w:after="0" w:line="11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For the quarter ended September 30, 2022, the "loans" portion of the provision for credit losses was the result of the following, offset by net charge-offs of $83,000 during the quarter:</w:t>
      </w:r>
    </w:p>
    <w:p>
      <w:pPr>
        <w:spacing w:after="0" w:line="1" w:lineRule="exact"/>
        <w:rPr>
          <w:sz w:val="20"/>
          <w:szCs w:val="20"/>
          <w:color w:val="auto"/>
        </w:rPr>
      </w:pPr>
    </w:p>
    <w:p>
      <w:pPr>
        <w:ind w:left="500" w:hanging="330"/>
        <w:spacing w:after="0" w:line="290" w:lineRule="auto"/>
        <w:tabs>
          <w:tab w:leader="none" w:pos="48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 million provision specific to fintech portfolios which have a riskier credit profile than loans originated in-house. The elevated credit risk is offset by the higher yields earned on the portfolios.</w:t>
      </w:r>
    </w:p>
    <w:p>
      <w:pPr>
        <w:ind w:left="480" w:hanging="310"/>
        <w:spacing w:after="0"/>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 million provision driven by loan growth and changes in the loan mix.</w:t>
      </w:r>
    </w:p>
    <w:p>
      <w:pPr>
        <w:spacing w:after="0" w:line="59"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 million provision due to a projected worsening of the economic forecast, specifically the national unemployment rate, and changes in qualitative adjustments.</w:t>
      </w:r>
    </w:p>
    <w:p>
      <w:pPr>
        <w:spacing w:after="0" w:line="127"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For both periods presented, the change in the provision for credit losses for off-balance-sheet credit exposure was the result of changes in the balance of loan commitments as well as changes in the loan mix and the projected economic forecast outlined above.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Noninterest Income. </w:t>
      </w:r>
      <w:r>
        <w:rPr>
          <w:rFonts w:ascii="Times New Roman" w:cs="Times New Roman" w:eastAsia="Times New Roman" w:hAnsi="Times New Roman"/>
          <w:sz w:val="16"/>
          <w:szCs w:val="16"/>
          <w:color w:val="auto"/>
        </w:rPr>
        <w:t>Noninterest income for the three months ended December 31, 2022 increased $1.1 million, or 14.3%, when compared to the quarter ended September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30, 2022. Changes in selected components of noninterest income are discussed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 charges and fees on deposit accounts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 income and fees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5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of loans held for sale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BOLI income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5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income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2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(loss) on sale of premises and equipment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9,492</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500" w:hanging="330"/>
        <w:spacing w:after="0" w:line="260" w:lineRule="auto"/>
        <w:tabs>
          <w:tab w:leader="none" w:pos="48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Gain on sale of loans held for sale: </w:t>
      </w:r>
      <w:r>
        <w:rPr>
          <w:rFonts w:ascii="Times New Roman" w:cs="Times New Roman" w:eastAsia="Times New Roman" w:hAnsi="Times New Roman"/>
          <w:sz w:val="16"/>
          <w:szCs w:val="16"/>
          <w:color w:val="auto"/>
        </w:rPr>
        <w:t>The decrease in the gain on sale of loans held for sale was primarily driven by a decrease in volume of residential mortgage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SBA loans sold during the period as a result of rising interest rates. During the quarter ended December 31, 2022, $7.3 million of residential mortgage loans originated for sale were sold with gains of $183,000 compared to $20.9 million sold with gains of $493,000 for the quarter ended September 30, 2022. There were $8.2 million of sales of the guaranteed portion of SBA commercial loans with gains of $568,000 in the current quarter compared to $12.1 million sold and gains of $891,000 in the prior quarter. There were $41.4 million of HELOCs sold during the current quarter for a gain of $340,000 compared to $22.8 million sold and gains of $202,000 in the prior quarter.</w:t>
      </w:r>
    </w:p>
    <w:p>
      <w:pPr>
        <w:spacing w:after="0" w:line="32" w:lineRule="exact"/>
        <w:rPr>
          <w:rFonts w:ascii="Times New Roman" w:cs="Times New Roman" w:eastAsia="Times New Roman" w:hAnsi="Times New Roman"/>
          <w:sz w:val="16"/>
          <w:szCs w:val="16"/>
          <w:color w:val="auto"/>
        </w:rPr>
      </w:pPr>
    </w:p>
    <w:p>
      <w:pPr>
        <w:jc w:val="both"/>
        <w:ind w:left="500" w:hanging="330"/>
        <w:spacing w:after="0" w:line="285" w:lineRule="auto"/>
        <w:tabs>
          <w:tab w:leader="none" w:pos="489" w:val="left"/>
        </w:tabs>
        <w:numPr>
          <w:ilvl w:val="0"/>
          <w:numId w:val="1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Operating lease income: </w:t>
      </w:r>
      <w:r>
        <w:rPr>
          <w:rFonts w:ascii="Times New Roman" w:cs="Times New Roman" w:eastAsia="Times New Roman" w:hAnsi="Times New Roman"/>
          <w:sz w:val="16"/>
          <w:szCs w:val="16"/>
          <w:color w:val="auto"/>
        </w:rPr>
        <w:t>The decrease in operating lease income can be traced to lower contractual earnings as well as gains or losses incurred at the end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operating leases, where we recognized a net loss of $337,000 for the quarter ended December 31, 2022 versus a net gain of $148,000 for the quarter ended September 30, 2022.</w:t>
      </w:r>
    </w:p>
    <w:p>
      <w:pPr>
        <w:spacing w:after="0" w:line="197" w:lineRule="exact"/>
        <w:rPr>
          <w:rFonts w:ascii="Times New Roman" w:cs="Times New Roman" w:eastAsia="Times New Roman" w:hAnsi="Times New Roman"/>
          <w:sz w:val="16"/>
          <w:szCs w:val="16"/>
          <w:b w:val="1"/>
          <w:bCs w:val="1"/>
          <w:i w:val="1"/>
          <w:iCs w:val="1"/>
          <w:color w:val="auto"/>
        </w:rPr>
      </w:pPr>
    </w:p>
    <w:p>
      <w:pPr>
        <w:ind w:left="500" w:hanging="330"/>
        <w:spacing w:after="0" w:line="283" w:lineRule="auto"/>
        <w:tabs>
          <w:tab w:leader="none" w:pos="489" w:val="left"/>
        </w:tabs>
        <w:numPr>
          <w:ilvl w:val="0"/>
          <w:numId w:val="1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Gain (loss) on sale of premises and equipment: </w:t>
      </w:r>
      <w:r>
        <w:rPr>
          <w:rFonts w:ascii="Times New Roman" w:cs="Times New Roman" w:eastAsia="Times New Roman" w:hAnsi="Times New Roman"/>
          <w:sz w:val="16"/>
          <w:szCs w:val="16"/>
          <w:color w:val="auto"/>
        </w:rPr>
        <w:t>During the quarter ended December 31, 2022 two properties were sold for a combined gain of $1.6 million, partially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offset by additional impairment of $420,000 on premises and equipment associated with prior branch closures.</w:t>
      </w:r>
    </w:p>
    <w:p>
      <w:pPr>
        <w:spacing w:after="0" w:line="11" w:lineRule="exact"/>
        <w:rPr>
          <w:rFonts w:ascii="Times New Roman" w:cs="Times New Roman" w:eastAsia="Times New Roman" w:hAnsi="Times New Roman"/>
          <w:sz w:val="16"/>
          <w:szCs w:val="16"/>
          <w:b w:val="1"/>
          <w:bCs w:val="1"/>
          <w:i w:val="1"/>
          <w:iCs w:val="1"/>
          <w:color w:val="auto"/>
        </w:rPr>
      </w:pPr>
    </w:p>
    <w:p>
      <w:pPr>
        <w:ind w:left="500" w:hanging="330"/>
        <w:spacing w:after="0" w:line="283" w:lineRule="auto"/>
        <w:tabs>
          <w:tab w:leader="none" w:pos="489" w:val="left"/>
        </w:tabs>
        <w:numPr>
          <w:ilvl w:val="0"/>
          <w:numId w:val="1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Other: </w:t>
      </w:r>
      <w:r>
        <w:rPr>
          <w:rFonts w:ascii="Times New Roman" w:cs="Times New Roman" w:eastAsia="Times New Roman" w:hAnsi="Times New Roman"/>
          <w:sz w:val="16"/>
          <w:szCs w:val="16"/>
          <w:color w:val="auto"/>
        </w:rPr>
        <w:t>The increase in other income was driven by a $721,000 gain recognized on the sale of closely held equity securities which the Company obtained through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prior bank acquisition.</w:t>
      </w:r>
    </w:p>
    <w:p>
      <w:pPr>
        <w:spacing w:after="0" w:line="64"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6"/>
          <w:szCs w:val="16"/>
          <w:b w:val="1"/>
          <w:bCs w:val="1"/>
          <w:i w:val="1"/>
          <w:iCs w:val="1"/>
          <w:color w:val="auto"/>
        </w:rPr>
        <w:t>Noninterest Expense.</w:t>
      </w:r>
      <w:r>
        <w:rPr>
          <w:sz w:val="20"/>
          <w:szCs w:val="20"/>
          <w:color w:val="auto"/>
        </w:rPr>
        <w:tab/>
      </w:r>
      <w:r>
        <w:rPr>
          <w:rFonts w:ascii="Times New Roman" w:cs="Times New Roman" w:eastAsia="Times New Roman" w:hAnsi="Times New Roman"/>
          <w:sz w:val="16"/>
          <w:szCs w:val="16"/>
          <w:color w:val="auto"/>
        </w:rPr>
        <w:t>Noninterest expense for the three months ended December 31, 2022 decreased $12,000, or 0.0%, when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2022. Changes in selected components of noninterest expense are discussed below:</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6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5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Occupancy expense, net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Computer services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Telephone, postage and supplies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Marketing and advertising</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 insurance premiums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Core deposit intangible amortization</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Merger-related expenses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37"/>
        </w:trPr>
        <w:tc>
          <w:tcPr>
            <w:tcW w:w="5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500" w:hanging="330"/>
        <w:spacing w:after="0" w:line="283" w:lineRule="auto"/>
        <w:tabs>
          <w:tab w:leader="none" w:pos="48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Salaries and employee benefits: </w:t>
      </w:r>
      <w:r>
        <w:rPr>
          <w:rFonts w:ascii="Times New Roman" w:cs="Times New Roman" w:eastAsia="Times New Roman" w:hAnsi="Times New Roman"/>
          <w:sz w:val="16"/>
          <w:szCs w:val="16"/>
          <w:color w:val="auto"/>
        </w:rPr>
        <w:t>The decrease in salaries and employee benefits expense is primarily the result of lower mortgage banking incentive pay as a result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reduction in the volume of originations due to rising interest rates.</w:t>
      </w:r>
    </w:p>
    <w:p>
      <w:pPr>
        <w:spacing w:after="0" w:line="11" w:lineRule="exact"/>
        <w:rPr>
          <w:rFonts w:ascii="Times New Roman" w:cs="Times New Roman" w:eastAsia="Times New Roman" w:hAnsi="Times New Roman"/>
          <w:sz w:val="16"/>
          <w:szCs w:val="16"/>
          <w:color w:val="auto"/>
        </w:rPr>
      </w:pPr>
    </w:p>
    <w:p>
      <w:pPr>
        <w:jc w:val="both"/>
        <w:ind w:left="500" w:hanging="330"/>
        <w:spacing w:after="0" w:line="273" w:lineRule="auto"/>
        <w:tabs>
          <w:tab w:leader="none" w:pos="48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Merger-related expenses: </w:t>
      </w:r>
      <w:r>
        <w:rPr>
          <w:rFonts w:ascii="Times New Roman" w:cs="Times New Roman" w:eastAsia="Times New Roman" w:hAnsi="Times New Roman"/>
          <w:sz w:val="16"/>
          <w:szCs w:val="16"/>
          <w:color w:val="auto"/>
        </w:rPr>
        <w:t>On July 24, 2022, the Company entered into an Agreement and Plan of Merger with Quantum Capital Corp. The expense for both periods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costs incurred related to due diligence and legal work performed associated with the transaction, in addition to ongoing costs incurred in preparation for the transaction.</w:t>
      </w:r>
    </w:p>
    <w:p>
      <w:pPr>
        <w:spacing w:after="0" w:line="6" w:lineRule="exact"/>
        <w:rPr>
          <w:rFonts w:ascii="Times New Roman" w:cs="Times New Roman" w:eastAsia="Times New Roman" w:hAnsi="Times New Roman"/>
          <w:sz w:val="16"/>
          <w:szCs w:val="16"/>
          <w:color w:val="auto"/>
        </w:rPr>
      </w:pPr>
    </w:p>
    <w:p>
      <w:pPr>
        <w:ind w:left="500" w:hanging="330"/>
        <w:spacing w:after="0" w:line="283" w:lineRule="auto"/>
        <w:tabs>
          <w:tab w:leader="none" w:pos="489" w:val="left"/>
        </w:tabs>
        <w:numPr>
          <w:ilvl w:val="0"/>
          <w:numId w:val="2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Other: </w:t>
      </w:r>
      <w:r>
        <w:rPr>
          <w:rFonts w:ascii="Times New Roman" w:cs="Times New Roman" w:eastAsia="Times New Roman" w:hAnsi="Times New Roman"/>
          <w:sz w:val="16"/>
          <w:szCs w:val="16"/>
          <w:color w:val="auto"/>
        </w:rPr>
        <w:t>During the quarter ended December 31, 2022 the Company wrote off $350,000 in previously capitalized costs associated with a technology project which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is no longer pursuing. No such expense was incurred in the prior quarter.</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The amount of income tax expense is influenced by the amount of pre-tax income, the amount of tax-exempt income, changes in the statutory rate, and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effect of changes in valuation allowances maintained against deferred tax benefits. Income tax expense for the three months ended December 31, 2022 increased $1.4 million as a result of higher taxable income in the current quarter and an increase in the effective tax rate which moved from 22.3% to 22.8% quarter-over-quarter.</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color w:val="auto"/>
        </w:rPr>
        <w:t>Comparison of Results of Operations for the Six Months Ended December 31, 2022 and December 31, 2021</w:t>
      </w:r>
    </w:p>
    <w:p>
      <w:pPr>
        <w:spacing w:after="0" w:line="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Income. </w:t>
      </w:r>
      <w:r>
        <w:rPr>
          <w:rFonts w:ascii="Times New Roman" w:cs="Times New Roman" w:eastAsia="Times New Roman" w:hAnsi="Times New Roman"/>
          <w:sz w:val="16"/>
          <w:szCs w:val="16"/>
          <w:color w:val="auto"/>
        </w:rPr>
        <w:t>Net income totaled $22.9 million, or $1.50 per diluted share, for the six months ended December 31, 2022 compared to net income of $21.6 million, or $1.33</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 diluted share, for the six months ended December 31, 2021, an increase of $1.3 million, or 5.8%. The results for the six months ended December 31, 2022 were positively impacted by a $17.2 million increase in net interest income, partially offset by an increase of $10.2 million in the provision for credit losses and a $4.7 million decrease in noninterest income. Details of the changes in the various components of net income are further discussed below.</w:t>
      </w:r>
    </w:p>
    <w:p>
      <w:pPr>
        <w:spacing w:after="0" w:line="6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Interest Income. </w:t>
      </w:r>
      <w:r>
        <w:rPr>
          <w:rFonts w:ascii="Times New Roman" w:cs="Times New Roman" w:eastAsia="Times New Roman" w:hAnsi="Times New Roman"/>
          <w:sz w:val="16"/>
          <w:szCs w:val="16"/>
          <w:color w:val="auto"/>
        </w:rPr>
        <w:t>The following table presents the distribution of average assets, liabilities and equity, as well as interest income earned on average interest-earning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assets and interest expense paid on average interest-bearing liabilities. All average balances are daily average balances. Nonaccruing loans have been included in the table as loans carrying a zero yield.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3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Yield /</w:t>
            </w:r>
          </w:p>
        </w:tc>
        <w:tc>
          <w:tcPr>
            <w:tcW w:w="140" w:type="dxa"/>
            <w:vAlign w:val="bottom"/>
          </w:tcPr>
          <w:p>
            <w:pPr>
              <w:spacing w:after="0"/>
              <w:rPr>
                <w:sz w:val="13"/>
                <w:szCs w:val="13"/>
                <w:color w:val="auto"/>
              </w:rPr>
            </w:pPr>
          </w:p>
        </w:tc>
        <w:tc>
          <w:tcPr>
            <w:tcW w:w="108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220" w:type="dxa"/>
            <w:vAlign w:val="bottom"/>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Yield /</w:t>
            </w:r>
          </w:p>
        </w:tc>
        <w:tc>
          <w:tcPr>
            <w:tcW w:w="0" w:type="dxa"/>
            <w:vAlign w:val="bottom"/>
          </w:tcPr>
          <w:p>
            <w:pPr>
              <w:spacing w:after="0"/>
              <w:rPr>
                <w:sz w:val="1"/>
                <w:szCs w:val="1"/>
                <w:color w:val="auto"/>
              </w:rPr>
            </w:pPr>
          </w:p>
        </w:tc>
      </w:tr>
      <w:tr>
        <w:trPr>
          <w:trHeight w:val="162"/>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4"/>
                <w:szCs w:val="14"/>
                <w:color w:val="auto"/>
              </w:rPr>
            </w:pPr>
          </w:p>
        </w:tc>
        <w:tc>
          <w:tcPr>
            <w:tcW w:w="10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Earned /</w:t>
            </w: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Earned /</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80"/>
              <w:spacing w:after="0" w:line="216" w:lineRule="exact"/>
              <w:rPr>
                <w:sz w:val="20"/>
                <w:szCs w:val="20"/>
                <w:color w:val="auto"/>
              </w:rPr>
            </w:pPr>
            <w:r>
              <w:rPr>
                <w:rFonts w:ascii="Times New Roman" w:cs="Times New Roman" w:eastAsia="Times New Roman" w:hAnsi="Times New Roman"/>
                <w:sz w:val="16"/>
                <w:szCs w:val="16"/>
                <w:b w:val="1"/>
                <w:bCs w:val="1"/>
                <w:color w:val="auto"/>
                <w:w w:val="88"/>
              </w:rPr>
              <w:t>Paid</w:t>
            </w:r>
            <w:r>
              <w:rPr>
                <w:rFonts w:ascii="Times New Roman" w:cs="Times New Roman" w:eastAsia="Times New Roman" w:hAnsi="Times New Roman"/>
                <w:sz w:val="21"/>
                <w:szCs w:val="21"/>
                <w:b w:val="1"/>
                <w:bCs w:val="1"/>
                <w:color w:val="auto"/>
                <w:w w:val="88"/>
                <w:vertAlign w:val="superscript"/>
              </w:rPr>
              <w:t>(2)</w:t>
            </w:r>
          </w:p>
        </w:tc>
        <w:tc>
          <w:tcPr>
            <w:tcW w:w="1320" w:type="dxa"/>
            <w:vAlign w:val="bottom"/>
            <w:gridSpan w:val="2"/>
          </w:tcPr>
          <w:p>
            <w:pPr>
              <w:ind w:left="380"/>
              <w:spacing w:after="0" w:line="216" w:lineRule="exact"/>
              <w:rPr>
                <w:sz w:val="20"/>
                <w:szCs w:val="20"/>
                <w:color w:val="auto"/>
              </w:rPr>
            </w:pPr>
            <w:r>
              <w:rPr>
                <w:rFonts w:ascii="Times New Roman" w:cs="Times New Roman" w:eastAsia="Times New Roman" w:hAnsi="Times New Roman"/>
                <w:sz w:val="16"/>
                <w:szCs w:val="16"/>
                <w:b w:val="1"/>
                <w:bCs w:val="1"/>
                <w:color w:val="auto"/>
              </w:rPr>
              <w:t>Rate</w:t>
            </w:r>
            <w:r>
              <w:rPr>
                <w:rFonts w:ascii="Times New Roman" w:cs="Times New Roman" w:eastAsia="Times New Roman" w:hAnsi="Times New Roman"/>
                <w:sz w:val="21"/>
                <w:szCs w:val="21"/>
                <w:b w:val="1"/>
                <w:bCs w:val="1"/>
                <w:color w:val="auto"/>
                <w:vertAlign w:val="superscript"/>
              </w:rPr>
              <w:t>(2)</w:t>
            </w:r>
          </w:p>
        </w:tc>
        <w:tc>
          <w:tcPr>
            <w:tcW w:w="140" w:type="dxa"/>
            <w:vAlign w:val="bottom"/>
          </w:tcPr>
          <w:p>
            <w:pPr>
              <w:spacing w:after="0"/>
              <w:rPr>
                <w:sz w:val="18"/>
                <w:szCs w:val="18"/>
                <w:color w:val="auto"/>
              </w:rPr>
            </w:pPr>
          </w:p>
        </w:tc>
        <w:tc>
          <w:tcPr>
            <w:tcW w:w="10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80"/>
              <w:spacing w:after="0" w:line="216" w:lineRule="exact"/>
              <w:rPr>
                <w:sz w:val="20"/>
                <w:szCs w:val="20"/>
                <w:color w:val="auto"/>
              </w:rPr>
            </w:pPr>
            <w:r>
              <w:rPr>
                <w:rFonts w:ascii="Times New Roman" w:cs="Times New Roman" w:eastAsia="Times New Roman" w:hAnsi="Times New Roman"/>
                <w:sz w:val="16"/>
                <w:szCs w:val="16"/>
                <w:b w:val="1"/>
                <w:bCs w:val="1"/>
                <w:color w:val="auto"/>
                <w:w w:val="88"/>
              </w:rPr>
              <w:t>Paid</w:t>
            </w:r>
            <w:r>
              <w:rPr>
                <w:rFonts w:ascii="Times New Roman" w:cs="Times New Roman" w:eastAsia="Times New Roman" w:hAnsi="Times New Roman"/>
                <w:sz w:val="21"/>
                <w:szCs w:val="21"/>
                <w:b w:val="1"/>
                <w:bCs w:val="1"/>
                <w:color w:val="auto"/>
                <w:w w:val="88"/>
                <w:vertAlign w:val="superscript"/>
              </w:rPr>
              <w:t>(2)</w:t>
            </w:r>
          </w:p>
        </w:tc>
        <w:tc>
          <w:tcPr>
            <w:tcW w:w="1220" w:type="dxa"/>
            <w:vAlign w:val="bottom"/>
          </w:tcPr>
          <w:p>
            <w:pPr>
              <w:ind w:left="380"/>
              <w:spacing w:after="0" w:line="216" w:lineRule="exact"/>
              <w:rPr>
                <w:sz w:val="20"/>
                <w:szCs w:val="20"/>
                <w:color w:val="auto"/>
              </w:rPr>
            </w:pPr>
            <w:r>
              <w:rPr>
                <w:rFonts w:ascii="Times New Roman" w:cs="Times New Roman" w:eastAsia="Times New Roman" w:hAnsi="Times New Roman"/>
                <w:sz w:val="16"/>
                <w:szCs w:val="16"/>
                <w:b w:val="1"/>
                <w:bCs w:val="1"/>
                <w:color w:val="auto"/>
              </w:rPr>
              <w:t>Rate</w:t>
            </w:r>
            <w:r>
              <w:rPr>
                <w:rFonts w:ascii="Times New Roman" w:cs="Times New Roman" w:eastAsia="Times New Roman" w:hAnsi="Times New Roman"/>
                <w:sz w:val="21"/>
                <w:szCs w:val="21"/>
                <w:b w:val="1"/>
                <w:bCs w:val="1"/>
                <w:color w:val="auto"/>
                <w:vertAlign w:val="superscript"/>
              </w:rPr>
              <w:t>(2)</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Loans receivable</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2,939,677</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72,814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4.91 %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2,819,482</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55,441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3.90 %</w:t>
            </w:r>
          </w:p>
        </w:tc>
        <w:tc>
          <w:tcPr>
            <w:tcW w:w="0" w:type="dxa"/>
            <w:vAlign w:val="bottom"/>
          </w:tcPr>
          <w:p>
            <w:pPr>
              <w:spacing w:after="0"/>
              <w:rPr>
                <w:sz w:val="1"/>
                <w:szCs w:val="1"/>
                <w:color w:val="auto"/>
              </w:rPr>
            </w:pPr>
          </w:p>
        </w:tc>
      </w:tr>
      <w:tr>
        <w:trPr>
          <w:trHeight w:val="213"/>
        </w:trPr>
        <w:tc>
          <w:tcPr>
            <w:tcW w:w="3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tcPr>
          <w:p>
            <w:pPr>
              <w:spacing w:after="0"/>
              <w:rPr>
                <w:sz w:val="18"/>
                <w:szCs w:val="18"/>
                <w:color w:val="auto"/>
              </w:rPr>
            </w:pPr>
          </w:p>
        </w:tc>
        <w:tc>
          <w:tcPr>
            <w:tcW w:w="12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191,712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Pr>
          <w:p>
            <w:pPr>
              <w:spacing w:after="0"/>
              <w:rPr>
                <w:sz w:val="18"/>
                <w:szCs w:val="18"/>
                <w:color w:val="auto"/>
              </w:rPr>
            </w:pPr>
          </w:p>
        </w:tc>
        <w:tc>
          <w:tcPr>
            <w:tcW w:w="1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0.47</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151,417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130,143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6"/>
        </w:trPr>
        <w:tc>
          <w:tcPr>
            <w:tcW w:w="360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interest-earning assets</w:t>
            </w:r>
            <w:r>
              <w:rPr>
                <w:rFonts w:ascii="Times New Roman" w:cs="Times New Roman" w:eastAsia="Times New Roman" w:hAnsi="Times New Roman"/>
                <w:sz w:val="21"/>
                <w:szCs w:val="21"/>
                <w:color w:val="auto"/>
                <w:vertAlign w:val="superscript"/>
              </w:rPr>
              <w:t>(3)</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100,125</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126,054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09"/>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3,315,570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77,903</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3,267,391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58,410</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19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239,636</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260,288</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3,555,206</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3,527,679</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Interest-bearing checking accounts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640,851</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tcPr>
          <w:p>
            <w:pPr>
              <w:spacing w:after="0"/>
              <w:rPr>
                <w:sz w:val="18"/>
                <w:szCs w:val="18"/>
                <w:color w:val="auto"/>
              </w:rPr>
            </w:pPr>
          </w:p>
        </w:tc>
        <w:tc>
          <w:tcPr>
            <w:tcW w:w="12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0.26 %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635,362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Pr>
          <w:p>
            <w:pPr>
              <w:spacing w:after="0"/>
              <w:rPr>
                <w:sz w:val="18"/>
                <w:szCs w:val="18"/>
                <w:color w:val="auto"/>
              </w:rPr>
            </w:pPr>
          </w:p>
        </w:tc>
        <w:tc>
          <w:tcPr>
            <w:tcW w:w="1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0.23 %</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accounts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961,045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0.51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993,643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13"/>
        </w:trPr>
        <w:tc>
          <w:tcPr>
            <w:tcW w:w="3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Savings accounts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12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0.07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223,061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1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Certificate accounts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460,803</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0.70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450,706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0.60</w:t>
            </w:r>
          </w:p>
        </w:tc>
        <w:tc>
          <w:tcPr>
            <w:tcW w:w="0" w:type="dxa"/>
            <w:vAlign w:val="bottom"/>
          </w:tcPr>
          <w:p>
            <w:pPr>
              <w:spacing w:after="0"/>
              <w:rPr>
                <w:sz w:val="1"/>
                <w:szCs w:val="1"/>
                <w:color w:val="auto"/>
              </w:rPr>
            </w:pPr>
          </w:p>
        </w:tc>
      </w:tr>
      <w:tr>
        <w:trPr>
          <w:trHeight w:val="207"/>
        </w:trPr>
        <w:tc>
          <w:tcPr>
            <w:tcW w:w="3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2,300,208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4,998</w:t>
            </w:r>
          </w:p>
        </w:tc>
        <w:tc>
          <w:tcPr>
            <w:tcW w:w="100" w:type="dxa"/>
            <w:vAlign w:val="bottom"/>
          </w:tcPr>
          <w:p>
            <w:pPr>
              <w:spacing w:after="0"/>
              <w:rPr>
                <w:sz w:val="17"/>
                <w:szCs w:val="17"/>
                <w:color w:val="auto"/>
              </w:rPr>
            </w:pPr>
          </w:p>
        </w:tc>
        <w:tc>
          <w:tcPr>
            <w:tcW w:w="12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0.43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2,302,772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100" w:type="dxa"/>
            <w:vAlign w:val="bottom"/>
          </w:tcPr>
          <w:p>
            <w:pPr>
              <w:spacing w:after="0"/>
              <w:rPr>
                <w:sz w:val="17"/>
                <w:szCs w:val="17"/>
                <w:color w:val="auto"/>
              </w:rPr>
            </w:pPr>
          </w:p>
        </w:tc>
        <w:tc>
          <w:tcPr>
            <w:tcW w:w="12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Borrowings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13,795</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56,356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07"/>
        </w:trPr>
        <w:tc>
          <w:tcPr>
            <w:tcW w:w="3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2,314,003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5,264</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0.45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16"/>
                <w:szCs w:val="16"/>
                <w:color w:val="auto"/>
              </w:rPr>
              <w:t>2,359,128</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2,918</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19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793,349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722,432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46,501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48,393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3,153,853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3,129,953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401,353</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397,726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3,555,206</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3,527,679</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1,001,567</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908,263</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00" w:type="dxa"/>
            <w:vAlign w:val="bottom"/>
            <w:shd w:val="clear" w:color="auto" w:fill="CCEEFF"/>
          </w:tcPr>
          <w:p>
            <w:pPr>
              <w:ind w:left="180"/>
              <w:spacing w:after="0" w:line="129" w:lineRule="exact"/>
              <w:rPr>
                <w:sz w:val="20"/>
                <w:szCs w:val="20"/>
                <w:color w:val="auto"/>
              </w:rPr>
            </w:pPr>
            <w:r>
              <w:rPr>
                <w:rFonts w:ascii="Times New Roman" w:cs="Times New Roman" w:eastAsia="Times New Roman" w:hAnsi="Times New Roman"/>
                <w:sz w:val="14"/>
                <w:szCs w:val="14"/>
                <w:color w:val="auto"/>
              </w:rPr>
              <w:t>Average interest-earning assets to average interest-</w:t>
            </w:r>
          </w:p>
        </w:tc>
        <w:tc>
          <w:tcPr>
            <w:tcW w:w="1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143.28 %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138.50 %</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bearing liabilities</w:t>
            </w: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Tax-equivalent</w:t>
            </w: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interest income</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72,639</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55,492</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Interest rate spread</w:t>
            </w: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ind w:left="720"/>
              <w:spacing w:after="0"/>
              <w:rPr>
                <w:sz w:val="20"/>
                <w:szCs w:val="20"/>
                <w:color w:val="auto"/>
              </w:rPr>
            </w:pPr>
            <w:r>
              <w:rPr>
                <w:rFonts w:ascii="Times New Roman" w:cs="Times New Roman" w:eastAsia="Times New Roman" w:hAnsi="Times New Roman"/>
                <w:sz w:val="16"/>
                <w:szCs w:val="16"/>
                <w:color w:val="auto"/>
              </w:rPr>
              <w:t>4.21 %</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ind w:left="740"/>
              <w:spacing w:after="0"/>
              <w:rPr>
                <w:sz w:val="20"/>
                <w:szCs w:val="20"/>
                <w:color w:val="auto"/>
              </w:rPr>
            </w:pPr>
            <w:r>
              <w:rPr>
                <w:rFonts w:ascii="Times New Roman" w:cs="Times New Roman" w:eastAsia="Times New Roman" w:hAnsi="Times New Roman"/>
                <w:sz w:val="16"/>
                <w:szCs w:val="16"/>
                <w:color w:val="auto"/>
              </w:rPr>
              <w:t>3.30 %</w:t>
            </w:r>
          </w:p>
        </w:tc>
        <w:tc>
          <w:tcPr>
            <w:tcW w:w="0" w:type="dxa"/>
            <w:vAlign w:val="bottom"/>
          </w:tcPr>
          <w:p>
            <w:pPr>
              <w:spacing w:after="0" w:line="20" w:lineRule="exact"/>
              <w:rPr>
                <w:sz w:val="1"/>
                <w:szCs w:val="1"/>
                <w:color w:val="auto"/>
              </w:rPr>
            </w:pPr>
          </w:p>
        </w:tc>
      </w:tr>
      <w:tr>
        <w:trPr>
          <w:trHeight w:val="160"/>
        </w:trPr>
        <w:tc>
          <w:tcPr>
            <w:tcW w:w="3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Net interest margin</w:t>
            </w:r>
            <w:r>
              <w:rPr>
                <w:rFonts w:ascii="Times New Roman" w:cs="Times New Roman" w:eastAsia="Times New Roman" w:hAnsi="Times New Roman"/>
                <w:sz w:val="21"/>
                <w:szCs w:val="21"/>
                <w:color w:val="auto"/>
                <w:vertAlign w:val="superscript"/>
              </w:rPr>
              <w:t>(4)</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4.35 %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3.37 %</w:t>
            </w: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Non-tax-equivalent</w:t>
            </w: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interest income</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72,065</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54,875</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Interest rate spread</w:t>
            </w: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ind w:left="720"/>
              <w:spacing w:after="0"/>
              <w:rPr>
                <w:sz w:val="20"/>
                <w:szCs w:val="20"/>
                <w:color w:val="auto"/>
              </w:rPr>
            </w:pPr>
            <w:r>
              <w:rPr>
                <w:rFonts w:ascii="Times New Roman" w:cs="Times New Roman" w:eastAsia="Times New Roman" w:hAnsi="Times New Roman"/>
                <w:sz w:val="16"/>
                <w:szCs w:val="16"/>
                <w:color w:val="auto"/>
              </w:rPr>
              <w:t>4.18 %</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ind w:left="740"/>
              <w:spacing w:after="0"/>
              <w:rPr>
                <w:sz w:val="20"/>
                <w:szCs w:val="20"/>
                <w:color w:val="auto"/>
              </w:rPr>
            </w:pPr>
            <w:r>
              <w:rPr>
                <w:rFonts w:ascii="Times New Roman" w:cs="Times New Roman" w:eastAsia="Times New Roman" w:hAnsi="Times New Roman"/>
                <w:sz w:val="16"/>
                <w:szCs w:val="16"/>
                <w:color w:val="auto"/>
              </w:rPr>
              <w:t>3.26 %</w:t>
            </w:r>
          </w:p>
        </w:tc>
        <w:tc>
          <w:tcPr>
            <w:tcW w:w="0" w:type="dxa"/>
            <w:vAlign w:val="bottom"/>
          </w:tcPr>
          <w:p>
            <w:pPr>
              <w:spacing w:after="0" w:line="20" w:lineRule="exact"/>
              <w:rPr>
                <w:sz w:val="1"/>
                <w:szCs w:val="1"/>
                <w:color w:val="auto"/>
              </w:rPr>
            </w:pPr>
          </w:p>
        </w:tc>
      </w:tr>
      <w:tr>
        <w:trPr>
          <w:trHeight w:val="160"/>
        </w:trPr>
        <w:tc>
          <w:tcPr>
            <w:tcW w:w="3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Net interest margin</w:t>
            </w:r>
            <w:r>
              <w:rPr>
                <w:rFonts w:ascii="Times New Roman" w:cs="Times New Roman" w:eastAsia="Times New Roman" w:hAnsi="Times New Roman"/>
                <w:sz w:val="21"/>
                <w:szCs w:val="21"/>
                <w:color w:val="auto"/>
                <w:vertAlign w:val="superscript"/>
              </w:rPr>
              <w:t>(4)</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4.31 %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3.33 %</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20" w:hanging="412"/>
        <w:spacing w:after="0"/>
        <w:tabs>
          <w:tab w:leader="none" w:pos="4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average loans receivable balances include loans held for sale and nonaccruing loans.</w:t>
      </w:r>
    </w:p>
    <w:p>
      <w:pPr>
        <w:ind w:left="420" w:right="100" w:hanging="412"/>
        <w:spacing w:after="0" w:line="239" w:lineRule="auto"/>
        <w:tabs>
          <w:tab w:leader="none" w:pos="418"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income used in the average interest earned and yield calculation includes the tax equivalent adjustment of $574 and $617 for the six months ended December 31, 2022 and December 31, 2021, respectively, calculated based on a combined federal and state tax rate of 24%.</w:t>
      </w:r>
    </w:p>
    <w:p>
      <w:pPr>
        <w:ind w:left="420" w:hanging="412"/>
        <w:spacing w:after="0"/>
        <w:tabs>
          <w:tab w:leader="none" w:pos="4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average other interest-earning assets consist of FRB stock, FHLB stock, SBIC investments, and deposits in other banks.</w:t>
      </w:r>
    </w:p>
    <w:p>
      <w:pPr>
        <w:spacing w:after="0" w:line="10" w:lineRule="exact"/>
        <w:rPr>
          <w:rFonts w:ascii="Times New Roman" w:cs="Times New Roman" w:eastAsia="Times New Roman" w:hAnsi="Times New Roman"/>
          <w:sz w:val="13"/>
          <w:szCs w:val="13"/>
          <w:color w:val="auto"/>
        </w:rPr>
      </w:pPr>
    </w:p>
    <w:p>
      <w:pPr>
        <w:ind w:left="420" w:hanging="412"/>
        <w:spacing w:after="0"/>
        <w:tabs>
          <w:tab w:leader="none" w:pos="4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interest income divided by average interest-earning assets.</w:t>
      </w:r>
    </w:p>
    <w:p>
      <w:pPr>
        <w:spacing w:after="0" w:line="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Total interest and dividend income for the six months ended December 31, 2022 increased $19.5 million, or 33.8%, compared to the six months ended December 31, 2021, which was driven by a $17.4 million, or 31.8%, increase in interest income on loans, and a combined increase of $1.7 million, or 124.6%, in interest income on commercial paper and debt securities available for sale. The overall increase in average yield on interest-earning assets and rate paid on liabilities was the result of rising interest rates. Specific to debt securities available for sale, the Company has intentionally maintained a relatively short-term duration portfolio which has allowed, and will continue to allow, the Company to take advantage of rising rates when reinvesting the proceeds of maturing instruments.</w:t>
      </w:r>
    </w:p>
    <w:p>
      <w:pPr>
        <w:sectPr>
          <w:pgSz w:w="11900" w:h="16838" w:orient="portrait"/>
          <w:cols w:equalWidth="0" w:num="1">
            <w:col w:w="11240"/>
          </w:cols>
          <w:pgMar w:left="320" w:top="893"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41" w:name="page42"/>
    <w:bookmarkEnd w:id="41"/>
    <w:p>
      <w:pPr>
        <w:spacing w:after="0" w:line="280" w:lineRule="auto"/>
        <w:rPr>
          <w:sz w:val="20"/>
          <w:szCs w:val="20"/>
          <w:color w:val="auto"/>
        </w:rPr>
      </w:pPr>
      <w:r>
        <w:rPr>
          <w:rFonts w:ascii="Times New Roman" w:cs="Times New Roman" w:eastAsia="Times New Roman" w:hAnsi="Times New Roman"/>
          <w:sz w:val="16"/>
          <w:szCs w:val="16"/>
          <w:color w:val="auto"/>
        </w:rPr>
        <w:t>Total interest expense for the six months ended December 31, 2022 increased $2.3 million, or 80.4%, compared to the six months ended December 31, 2021. The increase was driven by a $2.1 million, or 73.7%, increase in interest expense on deposits as a result of an 18 basis point increase in the associated average cost of funds.</w:t>
      </w:r>
    </w:p>
    <w:p>
      <w:pPr>
        <w:spacing w:after="0" w:line="7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following table shows the effects that changes in average balances (volume), including differences in the number of days in the periods compared, and average interest rates (rate) had on the interest earned on interest-earning assets and interest paid on interest-bearing liabilities: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Increase / (Decrease)</w:t>
            </w:r>
          </w:p>
        </w:tc>
        <w:tc>
          <w:tcPr>
            <w:tcW w:w="180" w:type="dxa"/>
            <w:vAlign w:val="bottom"/>
          </w:tcPr>
          <w:p>
            <w:pPr>
              <w:spacing w:after="0"/>
              <w:rPr>
                <w:sz w:val="16"/>
                <w:szCs w:val="16"/>
                <w:color w:val="auto"/>
              </w:rPr>
            </w:pPr>
          </w:p>
        </w:tc>
        <w:tc>
          <w:tcPr>
            <w:tcW w:w="106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68"/>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20" w:type="dxa"/>
            <w:vAlign w:val="bottom"/>
          </w:tcPr>
          <w:p>
            <w:pPr>
              <w:spacing w:after="0"/>
              <w:rPr>
                <w:sz w:val="5"/>
                <w:szCs w:val="5"/>
                <w:color w:val="auto"/>
              </w:rPr>
            </w:pPr>
          </w:p>
        </w:tc>
        <w:tc>
          <w:tcPr>
            <w:tcW w:w="1440" w:type="dxa"/>
            <w:vAlign w:val="bottom"/>
            <w:gridSpan w:val="3"/>
            <w:vMerge w:val="restart"/>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Due to</w:t>
            </w: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730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vMerge w:val="continue"/>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99"/>
              <w:spacing w:after="0" w:line="142" w:lineRule="exact"/>
              <w:rPr>
                <w:sz w:val="20"/>
                <w:szCs w:val="20"/>
                <w:color w:val="auto"/>
              </w:rPr>
            </w:pPr>
            <w:r>
              <w:rPr>
                <w:rFonts w:ascii="Times New Roman" w:cs="Times New Roman" w:eastAsia="Times New Roman" w:hAnsi="Times New Roman"/>
                <w:sz w:val="16"/>
                <w:szCs w:val="16"/>
                <w:b w:val="1"/>
                <w:bCs w:val="1"/>
                <w:color w:val="auto"/>
              </w:rPr>
              <w:t>Increase /</w:t>
            </w:r>
          </w:p>
        </w:tc>
        <w:tc>
          <w:tcPr>
            <w:tcW w:w="0" w:type="dxa"/>
            <w:vAlign w:val="bottom"/>
          </w:tcPr>
          <w:p>
            <w:pPr>
              <w:spacing w:after="0"/>
              <w:rPr>
                <w:sz w:val="1"/>
                <w:szCs w:val="1"/>
                <w:color w:val="auto"/>
              </w:rPr>
            </w:pPr>
          </w:p>
        </w:tc>
      </w:tr>
      <w:tr>
        <w:trPr>
          <w:trHeight w:val="208"/>
        </w:trPr>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32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80" w:type="dxa"/>
            <w:vAlign w:val="bottom"/>
          </w:tcPr>
          <w:p>
            <w:pPr>
              <w:spacing w:after="0"/>
              <w:rPr>
                <w:sz w:val="18"/>
                <w:szCs w:val="18"/>
                <w:color w:val="auto"/>
              </w:rPr>
            </w:pPr>
          </w:p>
        </w:tc>
        <w:tc>
          <w:tcPr>
            <w:tcW w:w="10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0" w:type="dxa"/>
            <w:vAlign w:val="bottom"/>
          </w:tcPr>
          <w:p>
            <w:pPr>
              <w:spacing w:after="0"/>
              <w:rPr>
                <w:sz w:val="1"/>
                <w:szCs w:val="1"/>
                <w:color w:val="auto"/>
              </w:rPr>
            </w:pPr>
          </w:p>
        </w:tc>
      </w:tr>
      <w:tr>
        <w:trPr>
          <w:trHeight w:val="198"/>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receivable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17,374</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interest-earning assets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07"/>
        </w:trPr>
        <w:tc>
          <w:tcPr>
            <w:tcW w:w="7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interest-earning assets</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17,462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19,493</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Interest-bearing checking accounts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accounts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Savings accounts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Certificate accounts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Borrowings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0" w:type="dxa"/>
            <w:vAlign w:val="bottom"/>
          </w:tcPr>
          <w:p>
            <w:pPr>
              <w:spacing w:after="0"/>
              <w:rPr>
                <w:sz w:val="1"/>
                <w:szCs w:val="1"/>
                <w:color w:val="auto"/>
              </w:rPr>
            </w:pPr>
          </w:p>
        </w:tc>
      </w:tr>
      <w:tr>
        <w:trPr>
          <w:trHeight w:val="212"/>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in tax equivalent interest income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17,147</w:t>
            </w:r>
          </w:p>
        </w:tc>
        <w:tc>
          <w:tcPr>
            <w:tcW w:w="0" w:type="dxa"/>
            <w:vAlign w:val="bottom"/>
          </w:tcPr>
          <w:p>
            <w:pPr>
              <w:spacing w:after="0"/>
              <w:rPr>
                <w:sz w:val="1"/>
                <w:szCs w:val="1"/>
                <w:color w:val="auto"/>
              </w:rPr>
            </w:pPr>
          </w:p>
        </w:tc>
      </w:tr>
      <w:tr>
        <w:trPr>
          <w:trHeight w:val="21"/>
        </w:trPr>
        <w:tc>
          <w:tcPr>
            <w:tcW w:w="7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Provision (Benefit) for Credit Losses. </w:t>
      </w:r>
      <w:r>
        <w:rPr>
          <w:rFonts w:ascii="Times New Roman" w:cs="Times New Roman" w:eastAsia="Times New Roman" w:hAnsi="Times New Roman"/>
          <w:sz w:val="16"/>
          <w:szCs w:val="16"/>
          <w:color w:val="auto"/>
        </w:rPr>
        <w:t>The following table presents a breakdown of the components of the provision (benefit) for credit losses: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(benefit) for credit losses</w:t>
            </w: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9,894</w:t>
            </w:r>
          </w:p>
        </w:tc>
        <w:tc>
          <w:tcPr>
            <w:tcW w:w="120" w:type="dxa"/>
            <w:vAlign w:val="bottom"/>
          </w:tcPr>
          <w:p>
            <w:pPr>
              <w:spacing w:after="0"/>
              <w:rPr>
                <w:sz w:val="18"/>
                <w:szCs w:val="18"/>
                <w:color w:val="auto"/>
              </w:rPr>
            </w:pPr>
          </w:p>
        </w:tc>
        <w:tc>
          <w:tcPr>
            <w:tcW w:w="13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262 %</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Off-balance-sheet credit exposure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235"/>
        </w:trPr>
        <w:tc>
          <w:tcPr>
            <w:tcW w:w="5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provision (benefit) for credit losses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10,187</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257 %</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For the six months ended December 31, 2022, the "loans" portion of the provision (benefit) for credit losses was the result of the following, offset by net charge-offs of $1.9 million during the period:</w:t>
      </w:r>
    </w:p>
    <w:p>
      <w:pPr>
        <w:spacing w:after="0" w:line="1" w:lineRule="exact"/>
        <w:rPr>
          <w:sz w:val="20"/>
          <w:szCs w:val="20"/>
          <w:color w:val="auto"/>
        </w:rPr>
      </w:pPr>
    </w:p>
    <w:p>
      <w:pPr>
        <w:ind w:left="500" w:hanging="330"/>
        <w:spacing w:after="0" w:line="280" w:lineRule="auto"/>
        <w:tabs>
          <w:tab w:leader="none" w:pos="48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 million provision specific to fintech portfolios which have a riskier credit profile than loans originated in-house. The elevated credit risk is offset by the higher yields earned on the portfolios.</w:t>
      </w:r>
    </w:p>
    <w:p>
      <w:pPr>
        <w:spacing w:after="0" w:line="16"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$2.9 million provision driven by loan growth and changes in the loan mix.</w:t>
      </w:r>
    </w:p>
    <w:p>
      <w:pPr>
        <w:spacing w:after="0" w:line="59"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 million provision due to changes in the projected economic forecast, specifically the national unemployment rate, and changes in qualitative adjustments.</w:t>
      </w:r>
    </w:p>
    <w:p>
      <w:pPr>
        <w:spacing w:after="0" w:line="72"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 million reduction of specific reserves on individually evaluated credits, which was tied to two relationships which were fully charged-off during the period.</w:t>
      </w:r>
    </w:p>
    <w:p>
      <w:pPr>
        <w:spacing w:after="0" w:line="11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For the six months ended December 31, 2021, the "loans" portion of the benefit for credit losses was driven by an improvement in the economic forecast, as more clarity was gained regarding the impact of COVID-19 upon the loan portfolio.</w:t>
      </w:r>
    </w:p>
    <w:p>
      <w:pPr>
        <w:spacing w:after="0" w:line="7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For both periods presented, the change in the provision for credit losses for off-balance-sheet credit exposure was the result of changes in the balance of loan commitments as well as changes in the loan mix and the projected economic forecast outlined above.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Noninterest Income.  </w:t>
      </w:r>
      <w:r>
        <w:rPr>
          <w:rFonts w:ascii="Times New Roman" w:cs="Times New Roman" w:eastAsia="Times New Roman" w:hAnsi="Times New Roman"/>
          <w:sz w:val="16"/>
          <w:szCs w:val="16"/>
          <w:color w:val="auto"/>
        </w:rPr>
        <w:t>Noninterest income for the six months ended December 31, 2022 decreased $4.6 million, or 22.5%, when compared to the same period last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selected components of noninterest income are discussed below: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 charges and fees on deposit accounts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 income and fees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3"/>
        </w:trPr>
        <w:tc>
          <w:tcPr>
            <w:tcW w:w="5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of loans held for sale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(5,270)</w:t>
            </w:r>
          </w:p>
        </w:tc>
        <w:tc>
          <w:tcPr>
            <w:tcW w:w="12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BOLI income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5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income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2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(loss) on sale of premises and equipment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1,382</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(4,593)</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500" w:hanging="330"/>
        <w:spacing w:after="0" w:line="290" w:lineRule="auto"/>
        <w:tabs>
          <w:tab w:leader="none" w:pos="489" w:val="left"/>
        </w:tabs>
        <w:numPr>
          <w:ilvl w:val="0"/>
          <w:numId w:val="2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Loan income and fees: </w:t>
      </w:r>
      <w:r>
        <w:rPr>
          <w:rFonts w:ascii="Times New Roman" w:cs="Times New Roman" w:eastAsia="Times New Roman" w:hAnsi="Times New Roman"/>
          <w:sz w:val="16"/>
          <w:szCs w:val="16"/>
          <w:color w:val="auto"/>
        </w:rPr>
        <w:t>The decrease in loan income and fees was driven by lower underwriting fees, interest rate swap fees, and prepayment penalties in the current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 compared to the same period last year, all of which were impacted by rising interest rates.</w:t>
      </w:r>
    </w:p>
    <w:p>
      <w:pPr>
        <w:jc w:val="both"/>
        <w:ind w:left="500" w:hanging="330"/>
        <w:spacing w:after="0" w:line="259" w:lineRule="auto"/>
        <w:tabs>
          <w:tab w:leader="none" w:pos="489" w:val="left"/>
        </w:tabs>
        <w:numPr>
          <w:ilvl w:val="0"/>
          <w:numId w:val="2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Gain on sale of loans held for sale: </w:t>
      </w:r>
      <w:r>
        <w:rPr>
          <w:rFonts w:ascii="Times New Roman" w:cs="Times New Roman" w:eastAsia="Times New Roman" w:hAnsi="Times New Roman"/>
          <w:sz w:val="16"/>
          <w:szCs w:val="16"/>
          <w:color w:val="auto"/>
        </w:rPr>
        <w:t>The decrease in the gain on sale of loans held for sale was primarily driven by a decrease in volume of residential mortgage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SBA loans sold during the period as a result of rising interest rates. During the six months ended December 31, 2022, $28.2 million of residential mortgage loans originated for sale were sold with gains of $676,000 compared to $150.7 million sold with gains of $4.3 million for the corresponding period in the prior year. There were $20.3 million of sales of the guaranteed portion of SBA commercial loans with gains of $1.5 million in the current period compared to $27.0 million sold and gains of $3.1 million for the corresponding period in the prior year. There were $64.2 million of HELOCs sold during the current period for a gain of $542,000 compared to $72.2 million sold and gains of $426,000 for the corresponding period in the prior year. Lastly, $11.5 million of indirect auto finance loans were sold out of the held for investment portfolio during the six months ended December 31, 2021 for a gain of $205,000. No such sales occurred in the same period in the current year.</w:t>
      </w:r>
    </w:p>
    <w:p>
      <w:pPr>
        <w:spacing w:after="0" w:line="18" w:lineRule="exact"/>
        <w:rPr>
          <w:rFonts w:ascii="Times New Roman" w:cs="Times New Roman" w:eastAsia="Times New Roman" w:hAnsi="Times New Roman"/>
          <w:sz w:val="16"/>
          <w:szCs w:val="16"/>
          <w:i w:val="1"/>
          <w:iCs w:val="1"/>
          <w:color w:val="auto"/>
        </w:rPr>
      </w:pPr>
    </w:p>
    <w:p>
      <w:pPr>
        <w:ind w:left="500" w:hanging="330"/>
        <w:spacing w:after="0" w:line="289" w:lineRule="auto"/>
        <w:tabs>
          <w:tab w:leader="none" w:pos="489" w:val="left"/>
        </w:tabs>
        <w:numPr>
          <w:ilvl w:val="0"/>
          <w:numId w:val="2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Operating lease income: </w:t>
      </w:r>
      <w:r>
        <w:rPr>
          <w:rFonts w:ascii="Times New Roman" w:cs="Times New Roman" w:eastAsia="Times New Roman" w:hAnsi="Times New Roman"/>
          <w:sz w:val="16"/>
          <w:szCs w:val="16"/>
          <w:color w:val="auto"/>
        </w:rPr>
        <w:t>The decrease in operating lease income can be traced to lower contractual earnings as well as gains or losses incurred at the end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operating leases, where we recognized a net loss of $189,000 for the six months ended December 31, 2022 versus a net loss of $92,000 in the same period last year.</w:t>
      </w:r>
    </w:p>
    <w:p>
      <w:pPr>
        <w:spacing w:after="0" w:line="2" w:lineRule="exact"/>
        <w:rPr>
          <w:rFonts w:ascii="Times New Roman" w:cs="Times New Roman" w:eastAsia="Times New Roman" w:hAnsi="Times New Roman"/>
          <w:sz w:val="16"/>
          <w:szCs w:val="16"/>
          <w:b w:val="1"/>
          <w:bCs w:val="1"/>
          <w:i w:val="1"/>
          <w:iCs w:val="1"/>
          <w:color w:val="auto"/>
        </w:rPr>
      </w:pPr>
    </w:p>
    <w:p>
      <w:pPr>
        <w:jc w:val="both"/>
        <w:ind w:left="500" w:hanging="330"/>
        <w:spacing w:after="0" w:line="273" w:lineRule="auto"/>
        <w:tabs>
          <w:tab w:leader="none" w:pos="489" w:val="left"/>
        </w:tabs>
        <w:numPr>
          <w:ilvl w:val="0"/>
          <w:numId w:val="2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Gain (loss) on sale of premises and equipment: </w:t>
      </w:r>
      <w:r>
        <w:rPr>
          <w:rFonts w:ascii="Times New Roman" w:cs="Times New Roman" w:eastAsia="Times New Roman" w:hAnsi="Times New Roman"/>
          <w:sz w:val="16"/>
          <w:szCs w:val="16"/>
          <w:color w:val="auto"/>
        </w:rPr>
        <w:t>During the six months ended December 31, 2022 two properties were sold for a combined gain of $1.6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partially offset by additional impairment of $420,000 on premises and equipment associated with prior branch closures. No such sales occurred in the same period in the prior year.</w:t>
      </w:r>
    </w:p>
    <w:p>
      <w:pPr>
        <w:spacing w:after="0" w:line="6" w:lineRule="exact"/>
        <w:rPr>
          <w:rFonts w:ascii="Times New Roman" w:cs="Times New Roman" w:eastAsia="Times New Roman" w:hAnsi="Times New Roman"/>
          <w:sz w:val="16"/>
          <w:szCs w:val="16"/>
          <w:b w:val="1"/>
          <w:bCs w:val="1"/>
          <w:i w:val="1"/>
          <w:iCs w:val="1"/>
          <w:color w:val="auto"/>
        </w:rPr>
      </w:pPr>
    </w:p>
    <w:p>
      <w:pPr>
        <w:ind w:left="500" w:hanging="330"/>
        <w:spacing w:after="0" w:line="301" w:lineRule="auto"/>
        <w:tabs>
          <w:tab w:leader="none" w:pos="489" w:val="left"/>
        </w:tabs>
        <w:numPr>
          <w:ilvl w:val="0"/>
          <w:numId w:val="2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Other: </w:t>
      </w:r>
      <w:r>
        <w:rPr>
          <w:rFonts w:ascii="Times New Roman" w:cs="Times New Roman" w:eastAsia="Times New Roman" w:hAnsi="Times New Roman"/>
          <w:sz w:val="16"/>
          <w:szCs w:val="16"/>
          <w:color w:val="auto"/>
        </w:rPr>
        <w:t>The increase in other income was driven by a $721,000 gain recognized on the sale of closely held equity securities which the Company obtained through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prior bank acquisition. No such sales occurred in the same period in the prior year.</w:t>
      </w:r>
    </w:p>
    <w:p>
      <w:pPr>
        <w:spacing w:after="0" w:line="36"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6"/>
          <w:szCs w:val="16"/>
          <w:b w:val="1"/>
          <w:bCs w:val="1"/>
          <w:i w:val="1"/>
          <w:iCs w:val="1"/>
          <w:color w:val="auto"/>
        </w:rPr>
        <w:t>Noninterest Expense.</w:t>
      </w:r>
      <w:r>
        <w:rPr>
          <w:sz w:val="20"/>
          <w:szCs w:val="20"/>
          <w:color w:val="auto"/>
        </w:rPr>
        <w:tab/>
      </w:r>
      <w:r>
        <w:rPr>
          <w:rFonts w:ascii="Times New Roman" w:cs="Times New Roman" w:eastAsia="Times New Roman" w:hAnsi="Times New Roman"/>
          <w:sz w:val="16"/>
          <w:szCs w:val="16"/>
          <w:color w:val="auto"/>
        </w:rPr>
        <w:t>Noninterest expense for the six months ended December 31, 2022 increased $265,000, or 0.5%, when compared to the same period last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selected components of noninterest expense are discussed below: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29,299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Occupancy expense, net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5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Computer services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2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Telephone, postage and supplies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5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Marketing and advertising</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 insurance premiums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5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Core deposit intangible amortization</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Merger-related expenses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500" w:right="20" w:hanging="330"/>
        <w:spacing w:after="0" w:line="280" w:lineRule="auto"/>
        <w:tabs>
          <w:tab w:leader="none" w:pos="489" w:val="left"/>
        </w:tabs>
        <w:numPr>
          <w:ilvl w:val="0"/>
          <w:numId w:val="2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Salaries and employee benefits</w:t>
      </w:r>
      <w:r>
        <w:rPr>
          <w:rFonts w:ascii="Times New Roman" w:cs="Times New Roman" w:eastAsia="Times New Roman" w:hAnsi="Times New Roman"/>
          <w:sz w:val="16"/>
          <w:szCs w:val="16"/>
          <w:color w:val="auto"/>
        </w:rPr>
        <w:t>: The decrease in salaries and employee benefits expense in the current period compared to the same period last year is primarily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result of branch closures and lower mortgage banking incentive pay as a result of the reduction in the volume of originations due to rising interest rates.</w:t>
      </w:r>
    </w:p>
    <w:p>
      <w:pPr>
        <w:spacing w:after="0" w:line="2" w:lineRule="exact"/>
        <w:rPr>
          <w:rFonts w:ascii="Times New Roman" w:cs="Times New Roman" w:eastAsia="Times New Roman" w:hAnsi="Times New Roman"/>
          <w:sz w:val="16"/>
          <w:szCs w:val="16"/>
          <w:b w:val="1"/>
          <w:bCs w:val="1"/>
          <w:i w:val="1"/>
          <w:iCs w:val="1"/>
          <w:color w:val="auto"/>
        </w:rPr>
      </w:pPr>
    </w:p>
    <w:p>
      <w:pPr>
        <w:ind w:left="500" w:hanging="330"/>
        <w:spacing w:after="0" w:line="289" w:lineRule="auto"/>
        <w:tabs>
          <w:tab w:leader="none" w:pos="489" w:val="left"/>
        </w:tabs>
        <w:numPr>
          <w:ilvl w:val="0"/>
          <w:numId w:val="2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Computer services</w:t>
      </w:r>
      <w:r>
        <w:rPr>
          <w:rFonts w:ascii="Times New Roman" w:cs="Times New Roman" w:eastAsia="Times New Roman" w:hAnsi="Times New Roman"/>
          <w:sz w:val="16"/>
          <w:szCs w:val="16"/>
          <w:color w:val="auto"/>
        </w:rPr>
        <w:t>: The increase in expense between periods is due to continued investments in technology as well as increases in the cost of services provided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third parties.</w:t>
      </w:r>
    </w:p>
    <w:p>
      <w:pPr>
        <w:spacing w:after="0" w:line="2" w:lineRule="exact"/>
        <w:rPr>
          <w:rFonts w:ascii="Times New Roman" w:cs="Times New Roman" w:eastAsia="Times New Roman" w:hAnsi="Times New Roman"/>
          <w:sz w:val="16"/>
          <w:szCs w:val="16"/>
          <w:b w:val="1"/>
          <w:bCs w:val="1"/>
          <w:i w:val="1"/>
          <w:iCs w:val="1"/>
          <w:color w:val="auto"/>
        </w:rPr>
      </w:pPr>
    </w:p>
    <w:p>
      <w:pPr>
        <w:ind w:left="480" w:hanging="310"/>
        <w:spacing w:after="0"/>
        <w:tabs>
          <w:tab w:leader="none" w:pos="480" w:val="left"/>
        </w:tabs>
        <w:numPr>
          <w:ilvl w:val="0"/>
          <w:numId w:val="2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Marketing and advertising</w:t>
      </w:r>
      <w:r>
        <w:rPr>
          <w:rFonts w:ascii="Times New Roman" w:cs="Times New Roman" w:eastAsia="Times New Roman" w:hAnsi="Times New Roman"/>
          <w:sz w:val="16"/>
          <w:szCs w:val="16"/>
          <w:color w:val="auto"/>
        </w:rPr>
        <w:t>: The decrease in expense between periods is due to lower projected marketing expenses for the current fiscal year versus the prior period.</w:t>
      </w:r>
    </w:p>
    <w:p>
      <w:pPr>
        <w:spacing w:after="0" w:line="59" w:lineRule="exact"/>
        <w:rPr>
          <w:rFonts w:ascii="Times New Roman" w:cs="Times New Roman" w:eastAsia="Times New Roman" w:hAnsi="Times New Roman"/>
          <w:sz w:val="16"/>
          <w:szCs w:val="16"/>
          <w:b w:val="1"/>
          <w:bCs w:val="1"/>
          <w:i w:val="1"/>
          <w:iCs w:val="1"/>
          <w:color w:val="auto"/>
        </w:rPr>
      </w:pPr>
    </w:p>
    <w:p>
      <w:pPr>
        <w:ind w:left="480" w:hanging="310"/>
        <w:spacing w:after="0"/>
        <w:tabs>
          <w:tab w:leader="none" w:pos="4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Deposit insurance premiums: </w:t>
      </w:r>
      <w:r>
        <w:rPr>
          <w:rFonts w:ascii="Times New Roman" w:cs="Times New Roman" w:eastAsia="Times New Roman" w:hAnsi="Times New Roman"/>
          <w:sz w:val="16"/>
          <w:szCs w:val="16"/>
          <w:color w:val="auto"/>
        </w:rPr>
        <w:t>The rates the Company is charged for deposit insurance have increased year-over-year.</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jc w:val="both"/>
        <w:ind w:left="500" w:hanging="330"/>
        <w:spacing w:after="0" w:line="273" w:lineRule="auto"/>
        <w:tabs>
          <w:tab w:leader="none" w:pos="48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Merger-related expenses: </w:t>
      </w:r>
      <w:r>
        <w:rPr>
          <w:rFonts w:ascii="Times New Roman" w:cs="Times New Roman" w:eastAsia="Times New Roman" w:hAnsi="Times New Roman"/>
          <w:sz w:val="16"/>
          <w:szCs w:val="16"/>
          <w:color w:val="auto"/>
        </w:rPr>
        <w:t>On July 24, 2022, the Company entered into an Agreement and Plan of Merger with Quantum Capital Corp. The expense for the six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months ended December 31, 2022 are costs incurred related to due diligence and legal work performed associated with the transaction, in addition to ongoing costs incurred in preparation for the transaction. No such expense was incurred in the prior period.</w:t>
      </w:r>
    </w:p>
    <w:p>
      <w:pPr>
        <w:spacing w:after="0" w:line="6" w:lineRule="exact"/>
        <w:rPr>
          <w:rFonts w:ascii="Times New Roman" w:cs="Times New Roman" w:eastAsia="Times New Roman" w:hAnsi="Times New Roman"/>
          <w:sz w:val="16"/>
          <w:szCs w:val="16"/>
          <w:color w:val="auto"/>
        </w:rPr>
      </w:pPr>
    </w:p>
    <w:p>
      <w:pPr>
        <w:ind w:left="500" w:hanging="330"/>
        <w:spacing w:after="0" w:line="301" w:lineRule="auto"/>
        <w:tabs>
          <w:tab w:leader="none" w:pos="489" w:val="left"/>
        </w:tabs>
        <w:numPr>
          <w:ilvl w:val="0"/>
          <w:numId w:val="2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 xml:space="preserve">Other: </w:t>
      </w:r>
      <w:r>
        <w:rPr>
          <w:rFonts w:ascii="Times New Roman" w:cs="Times New Roman" w:eastAsia="Times New Roman" w:hAnsi="Times New Roman"/>
          <w:sz w:val="16"/>
          <w:szCs w:val="16"/>
          <w:color w:val="auto"/>
        </w:rPr>
        <w:t>During the six months ended December 31, 2022 the Company wrote off $350,000 in previously capitalized costs associated with a technology project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Company is no longer pursuing. No such expense was incurred in the prior period.</w:t>
      </w:r>
    </w:p>
    <w:p>
      <w:pPr>
        <w:spacing w:after="0" w:line="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The amount of income tax expense is influenced by the amount of pre-tax income, the amount of tax-exempt income, changes in the statutory rate, and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effect of changes in valuation allowances maintained against deferred tax benefits. Income tax expense for the six months ended December 31, 2022 increased $831,000 as a result of higher taxable income in the current quarter compared to the corresponding period in the prior year, and an increase in the effective tax rate from 21.3% to 22.6% between periods.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Financial Condition at December 31, 2022 and June 30, 2022</w:t>
      </w:r>
    </w:p>
    <w:p>
      <w:pPr>
        <w:spacing w:after="0" w:line="5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w:t>
      </w:r>
      <w:r>
        <w:rPr>
          <w:rFonts w:ascii="Times New Roman" w:cs="Times New Roman" w:eastAsia="Times New Roman" w:hAnsi="Times New Roman"/>
          <w:sz w:val="16"/>
          <w:szCs w:val="16"/>
          <w:color w:val="auto"/>
        </w:rPr>
        <w:t>Total assets increased by $97.8 million to $3.6 billion and total liabilities increased by $76.5 million to $3.2 billion at December 31, 2022 as compared to June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2022. The combined decrease in commercial paper of $194.4 million and net increase in funding sources of $78.3 million was used to fund loan growth of $216.3 million during the period.</w:t>
      </w:r>
    </w:p>
    <w:p>
      <w:pPr>
        <w:spacing w:after="0" w:line="5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Cash and cash equivalents and commercial paper. </w:t>
      </w:r>
      <w:r>
        <w:rPr>
          <w:rFonts w:ascii="Times New Roman" w:cs="Times New Roman" w:eastAsia="Times New Roman" w:hAnsi="Times New Roman"/>
          <w:sz w:val="16"/>
          <w:szCs w:val="16"/>
          <w:color w:val="auto"/>
        </w:rPr>
        <w:t>Total cash and cash equivalents increased $59.9 million, or 57.0%, to $165.0 million at December 31, 2022 from $105.1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at June 30, 2022. Commercial paper decreased from $194.4 million to none at December 31, 2022.</w:t>
      </w:r>
    </w:p>
    <w:p>
      <w:pPr>
        <w:spacing w:after="0" w:line="6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Debt securities available for sale and other investments. </w:t>
      </w:r>
      <w:r>
        <w:rPr>
          <w:rFonts w:ascii="Times New Roman" w:cs="Times New Roman" w:eastAsia="Times New Roman" w:hAnsi="Times New Roman"/>
          <w:sz w:val="16"/>
          <w:szCs w:val="16"/>
          <w:color w:val="auto"/>
        </w:rPr>
        <w:t>Debt securities available for sale increased $21.0 million, or 16.5%, to $147.9 million at December 31, 2022 from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$127.0 million at June 30, 2022, with the majority of the increase being additional investment in residential MBS.</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Loans held for sale. </w:t>
      </w:r>
      <w:r>
        <w:rPr>
          <w:rFonts w:ascii="Times New Roman" w:cs="Times New Roman" w:eastAsia="Times New Roman" w:hAnsi="Times New Roman"/>
          <w:sz w:val="16"/>
          <w:szCs w:val="16"/>
          <w:color w:val="auto"/>
        </w:rPr>
        <w:t>Loans held for sale decreased $6.0 million, or 7.6%, to $73.3 million at December 31, 2022 from $79.3 million at June 30, 2022. This was driven by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combined decrease of $28.6 million, or 44.3%, in mortgage loans held for sale and HELOCs originated for sale, partially offset by a $22.6 million, or 153.0%, increase in SBA loans held for sale.</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Loans, net of deferred loan fees and costs. </w:t>
      </w:r>
      <w:r>
        <w:rPr>
          <w:rFonts w:ascii="Times New Roman" w:cs="Times New Roman" w:eastAsia="Times New Roman" w:hAnsi="Times New Roman"/>
          <w:sz w:val="16"/>
          <w:szCs w:val="16"/>
          <w:color w:val="auto"/>
        </w:rPr>
        <w:t>Total loans increased $216.3 million, or 7.8%, to $3.0 billion at December 31, 2022 from $2.8 billion at June 30, 2022.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following table illustrates the changes within the portfolio:</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Borders>
              <w:bottom w:val="single" w:sz="8" w:color="auto"/>
            </w:tcBorders>
            <w:gridSpan w:val="3"/>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Percent of Total</w:t>
            </w:r>
          </w:p>
        </w:tc>
      </w:tr>
      <w:tr>
        <w:trPr>
          <w:trHeight w:val="212"/>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1"/>
        </w:trPr>
        <w:tc>
          <w:tcPr>
            <w:tcW w:w="3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 loans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3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328,253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291,202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real estate - owner occupied</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3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real estate - non-owner occupied</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690,241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662,159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Multifamily</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81,086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r>
      <w:tr>
        <w:trPr>
          <w:trHeight w:val="207"/>
        </w:trPr>
        <w:tc>
          <w:tcPr>
            <w:tcW w:w="3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commercial real estate loans</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1,428,474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1,370,105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58,369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7"/>
                <w:szCs w:val="17"/>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loans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3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finance</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426,507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3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Municipal leases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PPP loans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commercial loans</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757,108</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717,620</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39,488</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14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14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 loans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3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Construction and land development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One-to-four family</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354,203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3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HELOCs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194,296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160,137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34,159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residential real estate loans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694,893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r>
      <w:tr>
        <w:trPr>
          <w:trHeight w:val="214"/>
        </w:trPr>
        <w:tc>
          <w:tcPr>
            <w:tcW w:w="3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Consumer loans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105,148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85,383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r>
      <w:tr>
        <w:trPr>
          <w:trHeight w:val="236"/>
        </w:trPr>
        <w:tc>
          <w:tcPr>
            <w:tcW w:w="3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Loans, net of deferred loan fees and costs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2,985,623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2,769,295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Asset quality. </w:t>
      </w:r>
      <w:r>
        <w:rPr>
          <w:rFonts w:ascii="Times New Roman" w:cs="Times New Roman" w:eastAsia="Times New Roman" w:hAnsi="Times New Roman"/>
          <w:sz w:val="16"/>
          <w:szCs w:val="16"/>
          <w:color w:val="auto"/>
        </w:rPr>
        <w:t>Nonperforming assets increased by $54,000, or 0.9%, to $6.4 million, or 0.17% of total assets, at December 31, 2022 compared to $6.3 million, or 0.18%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total assets, at June 30, 2022. Nonperforming assets included $6.2 million in nonaccruing loans and $200,000 of REO at December 31, 2022, compared to $6.1 million and $200,000 in nonaccruing loans and REO, respectively, at June 30, 2022. Nonperforming loans to total loans was 0.21% at December 31, 2022 and 0.22% at June 30, 2022.</w:t>
      </w:r>
    </w:p>
    <w:p>
      <w:pPr>
        <w:spacing w:after="0" w:line="6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ratio of classified assets to total assets decreased to 0.50% at December 31, 2022 from 0.61% at June 30, 2022. Classified assets decreased $3.2 million, or 15.1%, to $18.3 million at December 31, 2022 compared to $21.5 million at June 30, 2022, due to loan paydowns.</w:t>
      </w:r>
    </w:p>
    <w:p>
      <w:pPr>
        <w:spacing w:after="0" w:line="43"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Our individually evaluated loans include loans on nonaccrual status and all TDRs, whether performing or on nonaccrual status under their restructured terms. Individually evaluated loans may be evaluated for reserve purposes using either the discounted cash flow or the collateral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4" w:name="page45"/>
    <w:bookmarkEnd w:id="44"/>
    <w:p>
      <w:pPr>
        <w:jc w:val="both"/>
        <w:ind w:right="20"/>
        <w:spacing w:after="0" w:line="288" w:lineRule="auto"/>
        <w:rPr>
          <w:sz w:val="20"/>
          <w:szCs w:val="20"/>
          <w:color w:val="auto"/>
        </w:rPr>
      </w:pPr>
      <w:r>
        <w:rPr>
          <w:rFonts w:ascii="Times New Roman" w:cs="Times New Roman" w:eastAsia="Times New Roman" w:hAnsi="Times New Roman"/>
          <w:sz w:val="16"/>
          <w:szCs w:val="16"/>
          <w:color w:val="auto"/>
        </w:rPr>
        <w:t xml:space="preserve">valuation method. As of December 31, 2022, there was $3.4 million in loans individually evaluated compared to $5.3 million at June 30, 2022. For more information on these individually evaluated loans, see "Note 5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Loans and Allowance for Credit Losses on Loans" in this Quarterly Report on Form 10-Q.</w:t>
      </w:r>
    </w:p>
    <w:p>
      <w:pPr>
        <w:spacing w:after="0" w:line="5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Allowance for credit losses. </w:t>
      </w:r>
      <w:r>
        <w:rPr>
          <w:rFonts w:ascii="Times New Roman" w:cs="Times New Roman" w:eastAsia="Times New Roman" w:hAnsi="Times New Roman"/>
          <w:sz w:val="16"/>
          <w:szCs w:val="16"/>
          <w:color w:val="auto"/>
        </w:rPr>
        <w:t>The ACL on loans was $38.9 million, or 1.30% of total loans, at December 31, 2022 compared to $34.7 million, or 1.25% of total loans, as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June 30, 2022. Net charge-offs as a percentage of average loans was 0.13% for the six months ended December 31, 2022 compared to 0.05% for the six months ended December 31, 2021. The drivers of these quarter-over-quarter changes are discussed in the "Six Months Ended December 31, 2022 and December 31, 2021" section above.</w:t>
      </w:r>
    </w:p>
    <w:p>
      <w:pPr>
        <w:spacing w:after="0" w:line="7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assets. </w:t>
      </w:r>
      <w:r>
        <w:rPr>
          <w:rFonts w:ascii="Times New Roman" w:cs="Times New Roman" w:eastAsia="Times New Roman" w:hAnsi="Times New Roman"/>
          <w:sz w:val="16"/>
          <w:szCs w:val="16"/>
          <w:color w:val="auto"/>
        </w:rPr>
        <w:t>Other assets decreased $4.1 million, or 7.6%, to $48.9 million at December 31, 2022 from $53.0 million at June 30, 2022. The decrease was primarily driven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by lower current taxes receivable and the sale of properties held for sale.</w:t>
      </w:r>
    </w:p>
    <w:p>
      <w:pPr>
        <w:spacing w:after="0" w:line="4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liabilities. </w:t>
      </w:r>
      <w:r>
        <w:rPr>
          <w:rFonts w:ascii="Times New Roman" w:cs="Times New Roman" w:eastAsia="Times New Roman" w:hAnsi="Times New Roman"/>
          <w:sz w:val="16"/>
          <w:szCs w:val="16"/>
          <w:color w:val="auto"/>
        </w:rPr>
        <w:t>Other liabilities decreased $1.8 million, or 2.9%, during the six months ended December 31, 2022 to $58.8 million, as a result of the payout of annual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short-term incentives for the prior fiscal year.</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Deposits. </w:t>
      </w:r>
      <w:r>
        <w:rPr>
          <w:rFonts w:ascii="Times New Roman" w:cs="Times New Roman" w:eastAsia="Times New Roman" w:hAnsi="Times New Roman"/>
          <w:sz w:val="16"/>
          <w:szCs w:val="16"/>
          <w:color w:val="auto"/>
        </w:rPr>
        <w:t>The following table summarizes the composition of our deposit portfolio as of the dates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8"/>
                <w:szCs w:val="18"/>
                <w:color w:val="auto"/>
              </w:rPr>
            </w:pPr>
          </w:p>
        </w:tc>
        <w:tc>
          <w:tcPr>
            <w:tcW w:w="10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Borders>
              <w:bottom w:val="single" w:sz="8" w:color="auto"/>
            </w:tcBorders>
          </w:tcPr>
          <w:p>
            <w:pPr>
              <w:spacing w:after="0"/>
              <w:rPr>
                <w:sz w:val="18"/>
                <w:szCs w:val="18"/>
                <w:color w:val="auto"/>
              </w:rPr>
            </w:pPr>
          </w:p>
        </w:tc>
      </w:tr>
      <w:tr>
        <w:trPr>
          <w:trHeight w:val="211"/>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8"/>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 deposits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5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Noninterest-bearing accounts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726,416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745,746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NOW accounts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654,981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5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Money market accounts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992,083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969,661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Savings accounts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230,896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(3)</w:t>
            </w:r>
          </w:p>
        </w:tc>
      </w:tr>
      <w:tr>
        <w:trPr>
          <w:trHeight w:val="207"/>
        </w:trPr>
        <w:tc>
          <w:tcPr>
            <w:tcW w:w="5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Core deposits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2,588,291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2,608,585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Certificates of deposit</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459,729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491,176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59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3,048,020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3,099,761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(51,741)</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(2)%</w:t>
            </w:r>
          </w:p>
        </w:tc>
      </w:tr>
      <w:tr>
        <w:trPr>
          <w:trHeight w:val="21"/>
        </w:trPr>
        <w:tc>
          <w:tcPr>
            <w:tcW w:w="5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w:t>
      </w:r>
    </w:p>
    <w:p>
      <w:pPr>
        <w:spacing w:after="0" w:line="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Management maintains a liquidity position that it believes will adequately provide for funding of loan demand and deposit run-off that may occur in the normal course of business. We rely on a number of different sources in order to meet our potential liquidity demands. The primary sources are increases in deposit accounts, wholesale borrowings, and cash flows from loan payments and the securities portfolio.</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addition to these primary sources of funds, management has several secondary sources available to meet potential funding requirements. As of December 31, 2022, the Bank had an available borrowing capacity of $111.4 million and $92.0 million with the FHLB of Atlanta and FRB, respectively, and lines of credit with three unaffiliated banks totaling $120.0 million. Additionally, we classify our securities portfolio as available for sale, providing an additional source of liquidity. Management believes that our securities portfolio is of high quality and the securities would therefore be marketable. In addition, we have historically sold fixed-rate mortgage loans in the secondary market to reduce interest rate risk and to create still another source of liquidity. From time to time we also utilize brokered time deposits to supplement our other sources of funds. Brokered time deposits are obtained by utilizing an outside broker that is paid a fee. This funding requires advance notification to structure the type of deposit desired by us. Brokered deposits can vary in term from one month to several years and have the benefit of being a source of longer-term funding. We also utilize brokered deposits to help manage interest rate risk by extending the term to repricing of our liabilities, enhance our liquidity, and fund asset growth. Brokered deposits are typically from outside our primary market areas, and our brokered deposit levels may vary from time to time depending on competitive interest rate conditions and other factors. At December 31, 2022 brokered deposits totaled $50.4 million, or 1.7%, of total deposits.</w:t>
      </w:r>
    </w:p>
    <w:p>
      <w:pPr>
        <w:spacing w:after="0" w:line="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Liquidity management is both a daily and long-term function of business management. Excess liquidity is generally invested in short-term investments, such as overnight deposits and federal funds. On a longer term basis, we maintain a strategy of investing in various lending products and debt securities, including MBS. On a stand-alone basis we are a separate legal entity from the Bank and must provide for our own liquidity and pay our own operating expenses. Our primary source of funds consists of dividends or capital distributions from the Bank, although there are regulatory restrictions on the ability of the Bank to pay dividends. At December 31, 2022, we (on an unconsolidated basis) had liquid assets of $5.7 million.</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At the Bank level, we use our sources of funds primarily to meet our ongoing commitments, pay maturing deposits and fund withdrawals, and fund loan commitments. At December 31, 2022, the total approved loan commitments and unused lines of credit outstanding amounted to $362.5 million and $540.4 million, respectively, as compared to $417.6 million and $485.2 million as of June 30, 2022. Certificates of deposit scheduled to mature in one year or less at December 31, 2022, totaled $331.8 million. It is management's policy to manage deposit rates that are competitive with other local financial institutions. Based on this management strategy, we believe a majority of our maturing deposits will remain with us.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Activities</w:t>
      </w:r>
    </w:p>
    <w:p>
      <w:pPr>
        <w:spacing w:after="0" w:line="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the normal course of operations, we engage in a variety of financial transactions that are not recorded in our financial statements, mainly to manage customers' requests for funding. These transactions primarily take the form of loan commitments and lines of credit and involve varying degrees of off-balance sheet credit, interest rate,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liquidity risks. For further information, see "Note 9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Commitments and Contingencies" in this Quarterly Report on Form 10-Q.</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color w:val="auto"/>
        </w:rPr>
        <w:t>Capital Resources</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At December 31, 2022, stockholders' equity totaled $410.2 million compared to $388.8 million at June 30, 2022, an increase of $21.4 million which was the result of net income for the six months</w:t>
      </w:r>
      <w:r>
        <w:rPr>
          <w:rFonts w:ascii="Times New Roman" w:cs="Times New Roman" w:eastAsia="Times New Roman" w:hAnsi="Times New Roman"/>
          <w:sz w:val="16"/>
          <w:szCs w:val="16"/>
          <w:color w:val="EE2724"/>
        </w:rPr>
        <w:t>.</w:t>
      </w:r>
      <w:r>
        <w:rPr>
          <w:rFonts w:ascii="Times New Roman" w:cs="Times New Roman" w:eastAsia="Times New Roman" w:hAnsi="Times New Roman"/>
          <w:sz w:val="16"/>
          <w:szCs w:val="16"/>
          <w:color w:val="auto"/>
        </w:rPr>
        <w:t xml:space="preserve"> HomeTrust Bancshares, Inc. is a bank holding company subject to regulation by the Federal Reserve. As a bank holding company, we are subject to capital adequacy requirements of the Federal Reserve under the Bank Holding Company Act of 1956, as amended and the regulations of the Federal Reserve. Our subsidiary, the Bank, an FDIC-insured, North Carolina state-chartered bank and a member of the Federal Reserve System, is supervised and regulated by the FRB and NCCOB and is subject to minimum capital requirements applicable to state member banks established by the Federal Reserve that are calculated in a manner similar to those applicable to bank holding companies. Failure to meet minimum capital requirements can initiate certain mandatory and possibly discretionary actions by bank regulators that, if undertaken, could have a direct material effect on the Company's financial statements.</w:t>
      </w:r>
    </w:p>
    <w:p>
      <w:pPr>
        <w:spacing w:after="0" w:line="7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Under capital adequacy guidelines and the regulatory framework for prompt corrective action, the Bank must meet specific capital guidelines that involve quantitative measures of the Bank’s assets, liabilities, and certain off-balance-sheet items as calculated under regulatory accounting practices. The Bank’s capital amounts and classification are also subject to qualitative judgments by the regulators about components, risk weightings, and other factors.</w:t>
      </w:r>
    </w:p>
    <w:p>
      <w:pPr>
        <w:spacing w:after="0" w:line="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At December 31, 2022, HomeTrust Bancshares, Inc. and the Bank each exceeded all regulatory capital requirements. Consistent with our goals to operate a sound and profitable organization, our policy is for the Bank to maintain a “well-capitalized” status under the regulatory capital categories of the Federal Reserve. The Bank was categorized as "well-capitalized" under applicable regulatory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HomeTrust Bancshares, Inc.'s and the Bank's actual and required minimum capital amounts and ratios are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Regulatory Requirements</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vMerge w:val="restart"/>
          </w:tcPr>
          <w:p>
            <w:pPr>
              <w:ind w:left="7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gridSpan w:val="4"/>
          </w:tcPr>
          <w:p>
            <w:pPr>
              <w:jc w:val="right"/>
              <w:ind w:right="480"/>
              <w:spacing w:after="0" w:line="158" w:lineRule="exact"/>
              <w:rPr>
                <w:sz w:val="20"/>
                <w:szCs w:val="20"/>
                <w:color w:val="auto"/>
              </w:rPr>
            </w:pPr>
            <w:r>
              <w:rPr>
                <w:rFonts w:ascii="Times New Roman" w:cs="Times New Roman" w:eastAsia="Times New Roman" w:hAnsi="Times New Roman"/>
                <w:sz w:val="16"/>
                <w:szCs w:val="16"/>
                <w:b w:val="1"/>
                <w:bCs w:val="1"/>
                <w:color w:val="auto"/>
              </w:rPr>
              <w:t>Minimum for Capital</w:t>
            </w:r>
          </w:p>
        </w:tc>
        <w:tc>
          <w:tcPr>
            <w:tcW w:w="160" w:type="dxa"/>
            <w:vAlign w:val="bottom"/>
          </w:tcPr>
          <w:p>
            <w:pPr>
              <w:spacing w:after="0"/>
              <w:rPr>
                <w:sz w:val="13"/>
                <w:szCs w:val="13"/>
                <w:color w:val="auto"/>
              </w:rPr>
            </w:pPr>
          </w:p>
        </w:tc>
        <w:tc>
          <w:tcPr>
            <w:tcW w:w="2100" w:type="dxa"/>
            <w:vAlign w:val="bottom"/>
            <w:gridSpan w:val="3"/>
          </w:tcPr>
          <w:p>
            <w:pPr>
              <w:jc w:val="right"/>
              <w:ind w:right="499"/>
              <w:spacing w:after="0" w:line="158" w:lineRule="exact"/>
              <w:rPr>
                <w:sz w:val="20"/>
                <w:szCs w:val="20"/>
                <w:color w:val="auto"/>
              </w:rPr>
            </w:pPr>
            <w:r>
              <w:rPr>
                <w:rFonts w:ascii="Times New Roman" w:cs="Times New Roman" w:eastAsia="Times New Roman" w:hAnsi="Times New Roman"/>
                <w:sz w:val="16"/>
                <w:szCs w:val="16"/>
                <w:b w:val="1"/>
                <w:bCs w:val="1"/>
                <w:color w:val="auto"/>
              </w:rPr>
              <w:t>Minimum to Be</w:t>
            </w: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Adequacy Purposes</w:t>
            </w:r>
          </w:p>
        </w:tc>
        <w:tc>
          <w:tcPr>
            <w:tcW w:w="160" w:type="dxa"/>
            <w:vAlign w:val="bottom"/>
          </w:tcPr>
          <w:p>
            <w:pPr>
              <w:spacing w:after="0"/>
              <w:rPr>
                <w:sz w:val="18"/>
                <w:szCs w:val="18"/>
                <w:color w:val="auto"/>
              </w:rPr>
            </w:pPr>
          </w:p>
        </w:tc>
        <w:tc>
          <w:tcPr>
            <w:tcW w:w="210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Well Capitalized</w:t>
            </w:r>
          </w:p>
        </w:tc>
        <w:tc>
          <w:tcPr>
            <w:tcW w:w="0" w:type="dxa"/>
            <w:vAlign w:val="bottom"/>
          </w:tcPr>
          <w:p>
            <w:pPr>
              <w:spacing w:after="0"/>
              <w:rPr>
                <w:sz w:val="1"/>
                <w:szCs w:val="1"/>
                <w:color w:val="auto"/>
              </w:rPr>
            </w:pPr>
          </w:p>
        </w:tc>
      </w:tr>
      <w:tr>
        <w:trPr>
          <w:trHeight w:val="211"/>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4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Ratio</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4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Ratio</w:t>
            </w: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HomeTrust Bancshares, Inc.</w:t>
            </w: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CET1 Capital (to risk-weighted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11.36 %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155,612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224,773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I Capital (to total adjusted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140,111</w:t>
            </w:r>
          </w:p>
        </w:tc>
        <w:tc>
          <w:tcPr>
            <w:tcW w:w="100" w:type="dxa"/>
            <w:vAlign w:val="bottom"/>
          </w:tcPr>
          <w:p>
            <w:pPr>
              <w:spacing w:after="0"/>
              <w:rPr>
                <w:sz w:val="18"/>
                <w:szCs w:val="18"/>
                <w:color w:val="auto"/>
              </w:rPr>
            </w:pPr>
          </w:p>
        </w:tc>
        <w:tc>
          <w:tcPr>
            <w:tcW w:w="11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175,139</w:t>
            </w: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I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207,483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276,644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424,068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12.26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276,644</w:t>
            </w:r>
          </w:p>
        </w:tc>
        <w:tc>
          <w:tcPr>
            <w:tcW w:w="100" w:type="dxa"/>
            <w:vAlign w:val="bottom"/>
          </w:tcPr>
          <w:p>
            <w:pPr>
              <w:spacing w:after="0"/>
              <w:rPr>
                <w:sz w:val="18"/>
                <w:szCs w:val="18"/>
                <w:color w:val="auto"/>
              </w:rPr>
            </w:pPr>
          </w:p>
        </w:tc>
        <w:tc>
          <w:tcPr>
            <w:tcW w:w="11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345,805</w:t>
            </w: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97"/>
        </w:trPr>
        <w:tc>
          <w:tcPr>
            <w:tcW w:w="4260" w:type="dxa"/>
            <w:vAlign w:val="bottom"/>
            <w:tcBorders>
              <w:bottom w:val="single" w:sz="8" w:color="auto"/>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CET1 Capital (to risk-weighted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10.76 %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155,844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225,108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I Capital (to total adjusted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372,797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142,028</w:t>
            </w:r>
          </w:p>
        </w:tc>
        <w:tc>
          <w:tcPr>
            <w:tcW w:w="100" w:type="dxa"/>
            <w:vAlign w:val="bottom"/>
          </w:tcPr>
          <w:p>
            <w:pPr>
              <w:spacing w:after="0"/>
              <w:rPr>
                <w:sz w:val="18"/>
                <w:szCs w:val="18"/>
                <w:color w:val="auto"/>
              </w:rPr>
            </w:pPr>
          </w:p>
        </w:tc>
        <w:tc>
          <w:tcPr>
            <w:tcW w:w="11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177,535</w:t>
            </w: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I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10.76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207,792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277,057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395,962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277,057</w:t>
            </w:r>
          </w:p>
        </w:tc>
        <w:tc>
          <w:tcPr>
            <w:tcW w:w="100" w:type="dxa"/>
            <w:vAlign w:val="bottom"/>
          </w:tcPr>
          <w:p>
            <w:pPr>
              <w:spacing w:after="0"/>
              <w:rPr>
                <w:sz w:val="18"/>
                <w:szCs w:val="18"/>
                <w:color w:val="auto"/>
              </w:rPr>
            </w:pPr>
          </w:p>
        </w:tc>
        <w:tc>
          <w:tcPr>
            <w:tcW w:w="11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346,321</w:t>
            </w: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97"/>
        </w:trPr>
        <w:tc>
          <w:tcPr>
            <w:tcW w:w="4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HomeTrust Bank</w:t>
            </w:r>
          </w:p>
        </w:tc>
        <w:tc>
          <w:tcPr>
            <w:tcW w:w="16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CET1 Capital (to risk-weighted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379,838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10.98 %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155,612</w:t>
            </w:r>
          </w:p>
        </w:tc>
        <w:tc>
          <w:tcPr>
            <w:tcW w:w="100" w:type="dxa"/>
            <w:vAlign w:val="bottom"/>
          </w:tcPr>
          <w:p>
            <w:pPr>
              <w:spacing w:after="0"/>
              <w:rPr>
                <w:sz w:val="17"/>
                <w:szCs w:val="17"/>
                <w:color w:val="auto"/>
              </w:rPr>
            </w:pPr>
          </w:p>
        </w:tc>
        <w:tc>
          <w:tcPr>
            <w:tcW w:w="11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224,773</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I Capital (to total adjusted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379,838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10.84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140,102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175,127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I Capital (to risk-weighted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379,838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207,483</w:t>
            </w:r>
          </w:p>
        </w:tc>
        <w:tc>
          <w:tcPr>
            <w:tcW w:w="100" w:type="dxa"/>
            <w:vAlign w:val="bottom"/>
          </w:tcPr>
          <w:p>
            <w:pPr>
              <w:spacing w:after="0"/>
              <w:rPr>
                <w:sz w:val="18"/>
                <w:szCs w:val="18"/>
                <w:color w:val="auto"/>
              </w:rPr>
            </w:pPr>
          </w:p>
        </w:tc>
        <w:tc>
          <w:tcPr>
            <w:tcW w:w="11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276,644</w:t>
            </w: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411,169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11.89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276,644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345,805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95"/>
        </w:trPr>
        <w:tc>
          <w:tcPr>
            <w:tcW w:w="4260" w:type="dxa"/>
            <w:vAlign w:val="bottom"/>
            <w:tcBorders>
              <w:bottom w:val="single" w:sz="8" w:color="auto"/>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86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00" w:type="dxa"/>
            <w:vAlign w:val="bottom"/>
            <w:tcBorders>
              <w:bottom w:val="single" w:sz="8" w:color="CCEEFF"/>
            </w:tcBorders>
          </w:tcPr>
          <w:p>
            <w:pPr>
              <w:spacing w:after="0"/>
              <w:rPr>
                <w:sz w:val="8"/>
                <w:szCs w:val="8"/>
                <w:color w:val="auto"/>
              </w:rPr>
            </w:pPr>
          </w:p>
        </w:tc>
        <w:tc>
          <w:tcPr>
            <w:tcW w:w="84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86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14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86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1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CET1 Capital (to risk-weighted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358,600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10.35 %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155,844</w:t>
            </w:r>
          </w:p>
        </w:tc>
        <w:tc>
          <w:tcPr>
            <w:tcW w:w="100" w:type="dxa"/>
            <w:vAlign w:val="bottom"/>
          </w:tcPr>
          <w:p>
            <w:pPr>
              <w:spacing w:after="0"/>
              <w:rPr>
                <w:sz w:val="17"/>
                <w:szCs w:val="17"/>
                <w:color w:val="auto"/>
              </w:rPr>
            </w:pPr>
          </w:p>
        </w:tc>
        <w:tc>
          <w:tcPr>
            <w:tcW w:w="11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225,108</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I Capital (to total adjusted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141,814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177,267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I Capital (to risk-weighted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358,600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207,792</w:t>
            </w:r>
          </w:p>
        </w:tc>
        <w:tc>
          <w:tcPr>
            <w:tcW w:w="100" w:type="dxa"/>
            <w:vAlign w:val="bottom"/>
          </w:tcPr>
          <w:p>
            <w:pPr>
              <w:spacing w:after="0"/>
              <w:rPr>
                <w:sz w:val="18"/>
                <w:szCs w:val="18"/>
                <w:color w:val="auto"/>
              </w:rPr>
            </w:pPr>
          </w:p>
        </w:tc>
        <w:tc>
          <w:tcPr>
            <w:tcW w:w="11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277,057</w:t>
            </w: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381,765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11.02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277,057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346,321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permitted by the interim final rule issued on March 27, 2020 by the federal banking regulatory agencies, the Company elected the option to delay the estimated impact on regulatory capital of ASU 2016-13, which was adopted on July 1, 2020. The initial adoption of ASU 2016-13 as well as 25% of the quarterly increases in the ACL subsequent to adoption (collectively the “transition adjustments”) was delayed for two years. Starting July 1, 2022, the cumulative amount of the transition adjustments became fixed and will be phased out of the regulatory capital calculations evenly over a three-year period, with 75% recognized in year three, 50% recognized in year four, and 25% recognized in year five. After five years, the temporary regulatory capital benefits will be fully reversed.</w:t>
      </w:r>
    </w:p>
    <w:p>
      <w:pPr>
        <w:spacing w:after="0" w:line="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to the minimum CET1, Tier 1 and total risk-based capital ratios, both HomeTrust Bancshares, Inc. and the Bank have to maintain a capital conservation buffer consisting of additional CET1 capital of more than 2.50% above the required minimum levels in order to avoid limitations on paying dividends, engaging in share repurchases, and paying discretionary bonuses based on percentages of eligible retained income that could be utilized for such actions. As of December 31, 2022, the Company's and Bank's risk-based capital exceeded the required capital contribution buffer.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Dividends paid by HomeTrust Bank are limited, without regulatory approval, to current year earnings less dividends paid during the preceding two years.</w:t>
      </w:r>
    </w:p>
    <w:p>
      <w:pPr>
        <w:sectPr>
          <w:pgSz w:w="11900" w:h="16838" w:orient="portrait"/>
          <w:cols w:equalWidth="0" w:num="1">
            <w:col w:w="11240"/>
          </w:cols>
          <w:pgMar w:left="320" w:top="89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46" w:name="page47"/>
    <w:bookmarkEnd w:id="46"/>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3.</w:t>
        <w:tab/>
        <w:t>Quantitative and Qualitative Disclosures About Market Risk</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has not been any material change in the market risk disclosures contained in our 2022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An evaluation of our disclosure controls and procedures (as defined in Rule 13a-15(e) of the Securities Exchange Act of 1934 (the "Act")) as of December 31, 2022, was carried out under the supervision and with the participation of the Company's Chief Executive Officer, Chief Financial Officer and several other members of the Company's senior management. The Company's Chief Executive Officer and Chief Financial Officer concluded that the Company's disclosure controls and procedures in effect as of December 31, 2022, were effective in ensuring that the information required to be disclosed by the Company in the reports it files or submits under the Act is: (i) accumulated and communicated to the Company's management (including the Chief Executive Officer and Chief Financial Officer) in a timely manner and (ii) recorded, processed, summarized and reported within the time periods specified in the SEC's rules and forms.</w:t>
      </w:r>
    </w:p>
    <w:p>
      <w:pPr>
        <w:spacing w:after="0" w:line="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Company does not expect that its disclosure controls and procedures and internal control over financial reporting will prevent all errors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may be circumvented by the individual acts of some persons, by collusion of two or more people, or by override of the control. The design of any control procedure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procedure, misstatements due to error or fraud may occur and not be detected.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11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1.</w:t>
        <w:tab/>
        <w:t>Legal Proceedings</w:t>
      </w:r>
    </w:p>
    <w:p>
      <w:pPr>
        <w:spacing w:after="0" w:line="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The "Litigation" section of "Note 9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Commitments and Contingencies" to the Consolidated Financial Statements included in Part I, Item 1 is incorporated herein by reference.</w:t>
      </w:r>
    </w:p>
    <w:p>
      <w:pPr>
        <w:spacing w:after="0" w:line="35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1A.</w:t>
        <w:tab/>
        <w:t>Risk Factors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have been no material changes in the Risk Factors previously disclosed in Item 1A of the 2022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61" w:lineRule="exact"/>
        <w:rPr>
          <w:sz w:val="20"/>
          <w:szCs w:val="20"/>
          <w:color w:val="auto"/>
        </w:rPr>
      </w:pPr>
    </w:p>
    <w:p>
      <w:pPr>
        <w:ind w:left="220" w:hanging="212"/>
        <w:spacing w:after="0"/>
        <w:tabs>
          <w:tab w:leader="none" w:pos="2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126"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113"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 Number</w:t>
            </w:r>
          </w:p>
        </w:tc>
        <w:tc>
          <w:tcPr>
            <w:tcW w:w="140" w:type="dxa"/>
            <w:vAlign w:val="bottom"/>
          </w:tcPr>
          <w:p>
            <w:pPr>
              <w:spacing w:after="0"/>
              <w:rPr>
                <w:sz w:val="14"/>
                <w:szCs w:val="14"/>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20" w:type="dxa"/>
            <w:vAlign w:val="bottom"/>
            <w:gridSpan w:val="2"/>
            <w:vMerge w:val="continue"/>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w:t>
            </w: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Yet Be Purchased</w:t>
            </w: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 Shares</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Price Paid per</w:t>
            </w: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as Part of Publicly</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Under Publicly</w:t>
            </w:r>
          </w:p>
        </w:tc>
        <w:tc>
          <w:tcPr>
            <w:tcW w:w="0" w:type="dxa"/>
            <w:vAlign w:val="bottom"/>
          </w:tcPr>
          <w:p>
            <w:pPr>
              <w:spacing w:after="0"/>
              <w:rPr>
                <w:sz w:val="1"/>
                <w:szCs w:val="1"/>
                <w:color w:val="auto"/>
              </w:rPr>
            </w:pPr>
          </w:p>
        </w:tc>
      </w:tr>
      <w:tr>
        <w:trPr>
          <w:trHeight w:val="214"/>
        </w:trPr>
        <w:tc>
          <w:tcPr>
            <w:tcW w:w="6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4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Announced Plans</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Plans</w:t>
            </w:r>
          </w:p>
        </w:tc>
        <w:tc>
          <w:tcPr>
            <w:tcW w:w="0" w:type="dxa"/>
            <w:vAlign w:val="bottom"/>
          </w:tcPr>
          <w:p>
            <w:pPr>
              <w:spacing w:after="0"/>
              <w:rPr>
                <w:sz w:val="1"/>
                <w:szCs w:val="1"/>
                <w:color w:val="auto"/>
              </w:rPr>
            </w:pPr>
          </w:p>
        </w:tc>
      </w:tr>
      <w:tr>
        <w:trPr>
          <w:trHeight w:val="211"/>
        </w:trPr>
        <w:tc>
          <w:tcPr>
            <w:tcW w:w="5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 October 31, 2022</w:t>
            </w:r>
          </w:p>
        </w:tc>
        <w:tc>
          <w:tcPr>
            <w:tcW w:w="13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266,639</w:t>
            </w:r>
          </w:p>
        </w:tc>
        <w:tc>
          <w:tcPr>
            <w:tcW w:w="0" w:type="dxa"/>
            <w:vAlign w:val="bottom"/>
          </w:tcPr>
          <w:p>
            <w:pPr>
              <w:spacing w:after="0"/>
              <w:rPr>
                <w:sz w:val="1"/>
                <w:szCs w:val="1"/>
                <w:color w:val="auto"/>
              </w:rPr>
            </w:pPr>
          </w:p>
        </w:tc>
      </w:tr>
      <w:tr>
        <w:trPr>
          <w:trHeight w:val="21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1 - November 30, 2022</w:t>
            </w: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266,639</w:t>
            </w:r>
          </w:p>
        </w:tc>
        <w:tc>
          <w:tcPr>
            <w:tcW w:w="0" w:type="dxa"/>
            <w:vAlign w:val="bottom"/>
          </w:tcPr>
          <w:p>
            <w:pPr>
              <w:spacing w:after="0"/>
              <w:rPr>
                <w:sz w:val="1"/>
                <w:szCs w:val="1"/>
                <w:color w:val="auto"/>
              </w:rPr>
            </w:pPr>
          </w:p>
        </w:tc>
      </w:tr>
      <w:tr>
        <w:trPr>
          <w:trHeight w:val="219"/>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 December 31, 2022</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266,639</w:t>
            </w:r>
          </w:p>
        </w:tc>
        <w:tc>
          <w:tcPr>
            <w:tcW w:w="0" w:type="dxa"/>
            <w:vAlign w:val="bottom"/>
          </w:tcPr>
          <w:p>
            <w:pPr>
              <w:spacing w:after="0"/>
              <w:rPr>
                <w:sz w:val="1"/>
                <w:szCs w:val="1"/>
                <w:color w:val="auto"/>
              </w:rPr>
            </w:pPr>
          </w:p>
        </w:tc>
      </w:tr>
      <w:tr>
        <w:trPr>
          <w:trHeight w:val="209"/>
        </w:trPr>
        <w:tc>
          <w:tcPr>
            <w:tcW w:w="6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840" w:type="dxa"/>
            <w:vAlign w:val="bottom"/>
          </w:tcPr>
          <w:p>
            <w:pPr>
              <w:spacing w:after="0"/>
              <w:rPr>
                <w:sz w:val="18"/>
                <w:szCs w:val="18"/>
                <w:color w:val="auto"/>
              </w:rPr>
            </w:pPr>
          </w:p>
        </w:tc>
        <w:tc>
          <w:tcPr>
            <w:tcW w:w="132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266,639</w:t>
            </w:r>
          </w:p>
        </w:tc>
        <w:tc>
          <w:tcPr>
            <w:tcW w:w="0" w:type="dxa"/>
            <w:vAlign w:val="bottom"/>
          </w:tcPr>
          <w:p>
            <w:pPr>
              <w:spacing w:after="0"/>
              <w:rPr>
                <w:sz w:val="1"/>
                <w:szCs w:val="1"/>
                <w:color w:val="auto"/>
              </w:rPr>
            </w:pPr>
          </w:p>
        </w:tc>
      </w:tr>
      <w:tr>
        <w:trPr>
          <w:trHeight w:val="21"/>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No stock was repurchased during the six months ended December 31, 2022.</w:t>
            </w: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544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3.</w:t>
            </w:r>
          </w:p>
        </w:tc>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Defaults Upon Senior Securities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Nothing to report.</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4.</w:t>
            </w:r>
          </w:p>
        </w:tc>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Mine Safety Disclosures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Not applicable.</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6"/>
          <w:szCs w:val="16"/>
          <w:b w:val="1"/>
          <w:bCs w:val="1"/>
          <w:color w:val="auto"/>
        </w:rPr>
        <w:t>Item 5.</w:t>
        <w:tab/>
        <w:t>Other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Nothing to report.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2"/>
        </w:trPr>
        <w:tc>
          <w:tcPr>
            <w:tcW w:w="1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6.  Exhibits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Regulation S-K Exhibit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Reference to Prior Filing</w:t>
            </w:r>
          </w:p>
        </w:tc>
        <w:tc>
          <w:tcPr>
            <w:tcW w:w="0" w:type="dxa"/>
            <w:vAlign w:val="bottom"/>
          </w:tcPr>
          <w:p>
            <w:pPr>
              <w:spacing w:after="0"/>
              <w:rPr>
                <w:sz w:val="1"/>
                <w:szCs w:val="1"/>
                <w:color w:val="auto"/>
              </w:rPr>
            </w:pPr>
          </w:p>
        </w:tc>
      </w:tr>
      <w:tr>
        <w:trPr>
          <w:trHeight w:val="162"/>
        </w:trPr>
        <w:tc>
          <w:tcPr>
            <w:tcW w:w="17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00" w:type="dxa"/>
            <w:vAlign w:val="bottom"/>
            <w:gridSpan w:val="29"/>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Document</w:t>
            </w:r>
          </w:p>
        </w:tc>
        <w:tc>
          <w:tcPr>
            <w:tcW w:w="18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or Exhibit Number</w:t>
            </w:r>
          </w:p>
        </w:tc>
        <w:tc>
          <w:tcPr>
            <w:tcW w:w="0" w:type="dxa"/>
            <w:vAlign w:val="bottom"/>
          </w:tcPr>
          <w:p>
            <w:pPr>
              <w:spacing w:after="0"/>
              <w:rPr>
                <w:sz w:val="1"/>
                <w:szCs w:val="1"/>
                <w:color w:val="auto"/>
              </w:rPr>
            </w:pPr>
          </w:p>
        </w:tc>
      </w:tr>
      <w:tr>
        <w:trPr>
          <w:trHeight w:val="214"/>
        </w:trPr>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29"/>
            <w:vMerge w:val="continue"/>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Attached Hereto</w:t>
            </w:r>
          </w:p>
        </w:tc>
        <w:tc>
          <w:tcPr>
            <w:tcW w:w="0" w:type="dxa"/>
            <w:vAlign w:val="bottom"/>
          </w:tcPr>
          <w:p>
            <w:pPr>
              <w:spacing w:after="0"/>
              <w:rPr>
                <w:sz w:val="1"/>
                <w:szCs w:val="1"/>
                <w:color w:val="auto"/>
              </w:rPr>
            </w:pPr>
          </w:p>
        </w:tc>
      </w:tr>
      <w:tr>
        <w:trPr>
          <w:trHeight w:val="400"/>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7700" w:type="dxa"/>
            <w:vAlign w:val="bottom"/>
            <w:gridSpan w:val="43"/>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Charter of HomeTrust Bancshares, Inc.</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410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Amended and Restated Bylaws of HomeTrust Bancshares, Inc.</w:t>
              </w:r>
            </w:hyperlink>
          </w:p>
        </w:tc>
        <w:tc>
          <w:tcPr>
            <w:tcW w:w="3600" w:type="dxa"/>
            <w:vAlign w:val="bottom"/>
            <w:gridSpan w:val="26"/>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7700" w:type="dxa"/>
            <w:vAlign w:val="bottom"/>
            <w:gridSpan w:val="43"/>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HomeTrust Bancshares, Inc. Senior Leadership Incentive Plan (formerly known as Operating Committee Incentive</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2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9"/>
              </w:rPr>
            </w:pPr>
            <w:hyperlink r:id="rId57">
              <w:r>
                <w:rPr>
                  <w:rFonts w:ascii="Times New Roman" w:cs="Times New Roman" w:eastAsia="Times New Roman" w:hAnsi="Times New Roman"/>
                  <w:sz w:val="16"/>
                  <w:szCs w:val="16"/>
                  <w:color w:val="0000FF"/>
                  <w:w w:val="99"/>
                </w:rPr>
                <w:t>Program)</w:t>
              </w:r>
            </w:hyperlink>
          </w:p>
        </w:tc>
        <w:tc>
          <w:tcPr>
            <w:tcW w:w="6840" w:type="dxa"/>
            <w:vAlign w:val="bottom"/>
            <w:tcBorders>
              <w:top w:val="single" w:sz="8" w:color="0000FF"/>
            </w:tcBorders>
            <w:gridSpan w:val="39"/>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7700" w:type="dxa"/>
            <w:vAlign w:val="bottom"/>
            <w:gridSpan w:val="43"/>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Amended and Restated Employment and Transition Agreement between HomeTrust Bancshares, Inc. and Dana L.</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7420" w:type="dxa"/>
            <w:vAlign w:val="bottom"/>
            <w:tcBorders>
              <w:top w:val="single" w:sz="8" w:color="0000FF"/>
            </w:tcBorders>
            <w:gridSpan w:val="39"/>
          </w:tcPr>
          <w:p>
            <w:pPr>
              <w:spacing w:after="0" w:line="142"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Stonestreet</w:t>
              </w:r>
            </w:hyperlink>
          </w:p>
        </w:tc>
        <w:tc>
          <w:tcPr>
            <w:tcW w:w="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7300" w:type="dxa"/>
            <w:vAlign w:val="bottom"/>
            <w:tcBorders>
              <w:bottom w:val="single" w:sz="8" w:color="0000FF"/>
            </w:tcBorders>
            <w:gridSpan w:val="38"/>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Amended and Restated Employment Agreement between HomeTrust Bancshares, Inc. and C. Hunter Westbrook</w:t>
              </w:r>
            </w:hyperlink>
          </w:p>
        </w:tc>
        <w:tc>
          <w:tcPr>
            <w:tcW w:w="400" w:type="dxa"/>
            <w:vAlign w:val="bottom"/>
            <w:gridSpan w:val="5"/>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(g)</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10.3A</w:t>
            </w:r>
          </w:p>
        </w:tc>
        <w:tc>
          <w:tcPr>
            <w:tcW w:w="7700" w:type="dxa"/>
            <w:vAlign w:val="bottom"/>
            <w:gridSpan w:val="43"/>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Amendment No. 1 to Amended and Restated Employment Agreement between HomeTrust Bancshares, Inc. and C.</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(b)</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120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59">
              <w:r>
                <w:rPr>
                  <w:rFonts w:ascii="Times New Roman" w:cs="Times New Roman" w:eastAsia="Times New Roman" w:hAnsi="Times New Roman"/>
                  <w:sz w:val="16"/>
                  <w:szCs w:val="16"/>
                  <w:color w:val="0000FF"/>
                  <w:w w:val="99"/>
                </w:rPr>
                <w:t>Hunter Westbrook</w:t>
              </w:r>
            </w:hyperlink>
          </w:p>
        </w:tc>
        <w:tc>
          <w:tcPr>
            <w:tcW w:w="6280" w:type="dxa"/>
            <w:vAlign w:val="bottom"/>
            <w:tcBorders>
              <w:top w:val="single" w:sz="8" w:color="0000FF"/>
            </w:tcBorders>
            <w:gridSpan w:val="37"/>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10.3B</w:t>
            </w:r>
          </w:p>
        </w:tc>
        <w:tc>
          <w:tcPr>
            <w:tcW w:w="7700" w:type="dxa"/>
            <w:vAlign w:val="bottom"/>
            <w:gridSpan w:val="43"/>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Amendment No. 2 to Amended and Restated Employment Agreement between HomeTrust Bancshares, Inc. and C.</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(h)</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120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60">
              <w:r>
                <w:rPr>
                  <w:rFonts w:ascii="Times New Roman" w:cs="Times New Roman" w:eastAsia="Times New Roman" w:hAnsi="Times New Roman"/>
                  <w:sz w:val="16"/>
                  <w:szCs w:val="16"/>
                  <w:color w:val="0000FF"/>
                  <w:w w:val="99"/>
                </w:rPr>
                <w:t>Hunter Westbrook</w:t>
              </w:r>
            </w:hyperlink>
          </w:p>
        </w:tc>
        <w:tc>
          <w:tcPr>
            <w:tcW w:w="6280" w:type="dxa"/>
            <w:vAlign w:val="bottom"/>
            <w:tcBorders>
              <w:top w:val="single" w:sz="8" w:color="0000FF"/>
            </w:tcBorders>
            <w:gridSpan w:val="37"/>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10.3C</w:t>
            </w:r>
          </w:p>
        </w:tc>
        <w:tc>
          <w:tcPr>
            <w:tcW w:w="7700" w:type="dxa"/>
            <w:vAlign w:val="bottom"/>
            <w:gridSpan w:val="43"/>
          </w:tcPr>
          <w:p>
            <w:pPr>
              <w:spacing w:after="0"/>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Amendment No. 3 to Amended and Restated Employment Agreement between HomeTrust Bancshares, Inc. and C.</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(o)</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120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61">
              <w:r>
                <w:rPr>
                  <w:rFonts w:ascii="Times New Roman" w:cs="Times New Roman" w:eastAsia="Times New Roman" w:hAnsi="Times New Roman"/>
                  <w:sz w:val="16"/>
                  <w:szCs w:val="16"/>
                  <w:color w:val="0000FF"/>
                  <w:w w:val="99"/>
                </w:rPr>
                <w:t>Hunter Westbrook</w:t>
              </w:r>
            </w:hyperlink>
          </w:p>
        </w:tc>
        <w:tc>
          <w:tcPr>
            <w:tcW w:w="6280" w:type="dxa"/>
            <w:vAlign w:val="bottom"/>
            <w:tcBorders>
              <w:top w:val="single" w:sz="8" w:color="0000FF"/>
            </w:tcBorders>
            <w:gridSpan w:val="37"/>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10.3D</w:t>
            </w:r>
          </w:p>
        </w:tc>
        <w:tc>
          <w:tcPr>
            <w:tcW w:w="7700" w:type="dxa"/>
            <w:vAlign w:val="bottom"/>
            <w:gridSpan w:val="43"/>
          </w:tcPr>
          <w:p>
            <w:pPr>
              <w:spacing w:after="0"/>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Amendment No. 4 to Amended and Restated Employment Agreement between HomeTrust Bancshares, Inc. and C.</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120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62">
              <w:r>
                <w:rPr>
                  <w:rFonts w:ascii="Times New Roman" w:cs="Times New Roman" w:eastAsia="Times New Roman" w:hAnsi="Times New Roman"/>
                  <w:sz w:val="16"/>
                  <w:szCs w:val="16"/>
                  <w:color w:val="0000FF"/>
                  <w:w w:val="99"/>
                </w:rPr>
                <w:t>Hunter Westbrook</w:t>
              </w:r>
            </w:hyperlink>
          </w:p>
        </w:tc>
        <w:tc>
          <w:tcPr>
            <w:tcW w:w="6280" w:type="dxa"/>
            <w:vAlign w:val="bottom"/>
            <w:tcBorders>
              <w:top w:val="single" w:sz="8" w:color="0000FF"/>
            </w:tcBorders>
            <w:gridSpan w:val="37"/>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7700" w:type="dxa"/>
            <w:vAlign w:val="bottom"/>
            <w:gridSpan w:val="43"/>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Amended and Restated Employment Agreement between HomeTrust Bancshares, Inc. and Tony J. VunCannon</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(g)</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10.4A</w:t>
            </w:r>
          </w:p>
        </w:tc>
        <w:tc>
          <w:tcPr>
            <w:tcW w:w="7700" w:type="dxa"/>
            <w:vAlign w:val="bottom"/>
            <w:gridSpan w:val="43"/>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Amendment No. 1 to Amended and Restated Employment Agreement between HomeTrust Bancshares, Inc. and Tony</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7660" w:type="dxa"/>
            <w:vAlign w:val="bottom"/>
            <w:tcBorders>
              <w:top w:val="single" w:sz="8" w:color="0000FF"/>
            </w:tcBorders>
            <w:gridSpan w:val="42"/>
          </w:tcPr>
          <w:p>
            <w:pPr>
              <w:spacing w:after="0" w:line="142"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VunCannon</w:t>
              </w:r>
            </w:hyperlink>
          </w:p>
        </w:tc>
        <w:tc>
          <w:tcPr>
            <w:tcW w:w="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5960" w:type="dxa"/>
            <w:vAlign w:val="bottom"/>
            <w:tcBorders>
              <w:bottom w:val="single" w:sz="8" w:color="0000FF"/>
            </w:tcBorders>
            <w:gridSpan w:val="35"/>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HomeTrust Bank Executive Supplemental Retirement Income Master Agreement (“SERP”)</w:t>
              </w:r>
            </w:hyperlink>
          </w:p>
        </w:tc>
        <w:tc>
          <w:tcPr>
            <w:tcW w:w="1740" w:type="dxa"/>
            <w:vAlign w:val="bottom"/>
            <w:gridSpan w:val="8"/>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7700" w:type="dxa"/>
            <w:vAlign w:val="bottom"/>
            <w:gridSpan w:val="43"/>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Amendment No. 1 to SERP</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(m)</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7700" w:type="dxa"/>
            <w:vAlign w:val="bottom"/>
            <w:gridSpan w:val="43"/>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Amendment No. 2 to SERP</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(l)</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10.7A</w:t>
            </w:r>
          </w:p>
        </w:tc>
        <w:tc>
          <w:tcPr>
            <w:tcW w:w="7700" w:type="dxa"/>
            <w:vAlign w:val="bottom"/>
            <w:gridSpan w:val="43"/>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SERP Joinder Agreement for F. Edward Broadwell, Jr.</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10.7B</w:t>
            </w:r>
          </w:p>
        </w:tc>
        <w:tc>
          <w:tcPr>
            <w:tcW w:w="3540" w:type="dxa"/>
            <w:vAlign w:val="bottom"/>
            <w:tcBorders>
              <w:top w:val="single" w:sz="8" w:color="0000FF"/>
            </w:tcBorders>
            <w:gridSpan w:val="15"/>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SERP Joinder Agreement for Dana L. Stonestreet</w:t>
              </w:r>
            </w:hyperlink>
          </w:p>
        </w:tc>
        <w:tc>
          <w:tcPr>
            <w:tcW w:w="4160" w:type="dxa"/>
            <w:vAlign w:val="bottom"/>
            <w:gridSpan w:val="28"/>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20" w:type="dxa"/>
            <w:vAlign w:val="bottom"/>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10.7C</w:t>
            </w:r>
          </w:p>
        </w:tc>
        <w:tc>
          <w:tcPr>
            <w:tcW w:w="324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SERP Joinder Agreement for Tony J. VunCannon</w:t>
              </w:r>
            </w:hyperlink>
          </w:p>
        </w:tc>
        <w:tc>
          <w:tcPr>
            <w:tcW w:w="4460" w:type="dxa"/>
            <w:vAlign w:val="bottom"/>
            <w:gridSpan w:val="31"/>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10.7D</w:t>
            </w:r>
          </w:p>
        </w:tc>
        <w:tc>
          <w:tcPr>
            <w:tcW w:w="7700" w:type="dxa"/>
            <w:vAlign w:val="bottom"/>
            <w:gridSpan w:val="43"/>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SERP Joinder Agreement for Howard L. Sellinger</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10.7E</w:t>
            </w:r>
          </w:p>
        </w:tc>
        <w:tc>
          <w:tcPr>
            <w:tcW w:w="3260" w:type="dxa"/>
            <w:vAlign w:val="bottom"/>
            <w:tcBorders>
              <w:top w:val="single" w:sz="8" w:color="0000FF"/>
            </w:tcBorders>
            <w:gridSpan w:val="13"/>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SERP Joinder Agreement for Stan Allen</w:t>
              </w:r>
            </w:hyperlink>
          </w:p>
        </w:tc>
        <w:tc>
          <w:tcPr>
            <w:tcW w:w="4440" w:type="dxa"/>
            <w:vAlign w:val="bottom"/>
            <w:gridSpan w:val="30"/>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20" w:type="dxa"/>
            <w:vAlign w:val="bottom"/>
            <w:gridSpan w:val="7"/>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10.7F</w:t>
            </w:r>
          </w:p>
        </w:tc>
        <w:tc>
          <w:tcPr>
            <w:tcW w:w="7700" w:type="dxa"/>
            <w:vAlign w:val="bottom"/>
            <w:gridSpan w:val="43"/>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SERP Joinder Agreement for Sidney A. Biesecker</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10.7G</w:t>
            </w:r>
          </w:p>
        </w:tc>
        <w:tc>
          <w:tcPr>
            <w:tcW w:w="3260" w:type="dxa"/>
            <w:vAlign w:val="bottom"/>
            <w:tcBorders>
              <w:top w:val="single" w:sz="8" w:color="0000FF"/>
            </w:tcBorders>
            <w:gridSpan w:val="13"/>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SERP Joinder Agreement for Peggy C. Melville</w:t>
              </w:r>
            </w:hyperlink>
          </w:p>
        </w:tc>
        <w:tc>
          <w:tcPr>
            <w:tcW w:w="4440" w:type="dxa"/>
            <w:vAlign w:val="bottom"/>
            <w:gridSpan w:val="30"/>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10.7H</w:t>
            </w:r>
          </w:p>
        </w:tc>
        <w:tc>
          <w:tcPr>
            <w:tcW w:w="302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SERP Joinder Agreement for William T. Flynt</w:t>
              </w:r>
            </w:hyperlink>
          </w:p>
        </w:tc>
        <w:tc>
          <w:tcPr>
            <w:tcW w:w="100" w:type="dxa"/>
            <w:vAlign w:val="bottom"/>
            <w:tcBorders>
              <w:top w:val="single" w:sz="8" w:color="0000FF"/>
            </w:tcBorders>
          </w:tcPr>
          <w:p>
            <w:pPr>
              <w:spacing w:after="0"/>
              <w:rPr>
                <w:sz w:val="17"/>
                <w:szCs w:val="17"/>
                <w:color w:val="auto"/>
              </w:rPr>
            </w:pPr>
          </w:p>
        </w:tc>
        <w:tc>
          <w:tcPr>
            <w:tcW w:w="4580" w:type="dxa"/>
            <w:vAlign w:val="bottom"/>
            <w:gridSpan w:val="33"/>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10.7I</w:t>
            </w:r>
          </w:p>
        </w:tc>
        <w:tc>
          <w:tcPr>
            <w:tcW w:w="7700" w:type="dxa"/>
            <w:vAlign w:val="bottom"/>
            <w:gridSpan w:val="43"/>
          </w:tcPr>
          <w:p>
            <w:pPr>
              <w:spacing w:after="0"/>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Amended and Restated Supplemental Income Agreement between HomeTrust Bank, as successor to Industrial</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(i)</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92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Federal Savings Bank, and Sidney Biesecker</w:t>
              </w:r>
            </w:hyperlink>
          </w:p>
        </w:tc>
        <w:tc>
          <w:tcPr>
            <w:tcW w:w="4280" w:type="dxa"/>
            <w:vAlign w:val="bottom"/>
            <w:tcBorders>
              <w:top w:val="single" w:sz="8" w:color="0000FF"/>
            </w:tcBorders>
            <w:gridSpan w:val="29"/>
          </w:tcPr>
          <w:p>
            <w:pPr>
              <w:spacing w:after="0"/>
              <w:rPr>
                <w:sz w:val="12"/>
                <w:szCs w:val="12"/>
                <w:color w:val="auto"/>
              </w:rPr>
            </w:pPr>
          </w:p>
        </w:tc>
        <w:tc>
          <w:tcPr>
            <w:tcW w:w="500" w:type="dxa"/>
            <w:vAlign w:val="bottom"/>
            <w:gridSpan w:val="6"/>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7700" w:type="dxa"/>
            <w:vAlign w:val="bottom"/>
            <w:gridSpan w:val="43"/>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HomeTrust Bank Director Emeritus Plan (“Director Emeritus Plan”)</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10.8A</w:t>
            </w:r>
          </w:p>
        </w:tc>
        <w:tc>
          <w:tcPr>
            <w:tcW w:w="4140" w:type="dxa"/>
            <w:vAlign w:val="bottom"/>
            <w:tcBorders>
              <w:top w:val="single" w:sz="8" w:color="0000FF"/>
              <w:bottom w:val="single" w:sz="8" w:color="0000FF"/>
            </w:tcBorders>
            <w:gridSpan w:val="19"/>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Director Emeritus Plan Joinder Agreement for William T. Flynt</w:t>
              </w:r>
            </w:hyperlink>
          </w:p>
        </w:tc>
        <w:tc>
          <w:tcPr>
            <w:tcW w:w="300" w:type="dxa"/>
            <w:vAlign w:val="bottom"/>
            <w:tcBorders>
              <w:top w:val="single" w:sz="8" w:color="0000FF"/>
            </w:tcBorders>
            <w:gridSpan w:val="5"/>
          </w:tcPr>
          <w:p>
            <w:pPr>
              <w:spacing w:after="0"/>
              <w:rPr>
                <w:sz w:val="17"/>
                <w:szCs w:val="17"/>
                <w:color w:val="auto"/>
              </w:rPr>
            </w:pPr>
          </w:p>
        </w:tc>
        <w:tc>
          <w:tcPr>
            <w:tcW w:w="3260" w:type="dxa"/>
            <w:vAlign w:val="bottom"/>
            <w:gridSpan w:val="19"/>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10.8B</w:t>
            </w:r>
          </w:p>
        </w:tc>
        <w:tc>
          <w:tcPr>
            <w:tcW w:w="7700" w:type="dxa"/>
            <w:vAlign w:val="bottom"/>
            <w:gridSpan w:val="43"/>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Director Emeritus Plan Joinder Agreement for J. Steven Goforth</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10.8C</w:t>
            </w:r>
          </w:p>
        </w:tc>
        <w:tc>
          <w:tcPr>
            <w:tcW w:w="4120" w:type="dxa"/>
            <w:vAlign w:val="bottom"/>
            <w:tcBorders>
              <w:top w:val="single" w:sz="8" w:color="0000FF"/>
              <w:bottom w:val="single" w:sz="8" w:color="0000FF"/>
            </w:tcBorders>
            <w:gridSpan w:val="18"/>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Director Emeritus Plan Joinder Agreement for Craig C. Koontz</w:t>
              </w:r>
            </w:hyperlink>
          </w:p>
        </w:tc>
        <w:tc>
          <w:tcPr>
            <w:tcW w:w="60" w:type="dxa"/>
            <w:vAlign w:val="bottom"/>
            <w:tcBorders>
              <w:top w:val="single" w:sz="8" w:color="0000FF"/>
            </w:tcBorders>
            <w:gridSpan w:val="2"/>
          </w:tcPr>
          <w:p>
            <w:pPr>
              <w:spacing w:after="0"/>
              <w:rPr>
                <w:sz w:val="17"/>
                <w:szCs w:val="17"/>
                <w:color w:val="auto"/>
              </w:rPr>
            </w:pPr>
          </w:p>
        </w:tc>
        <w:tc>
          <w:tcPr>
            <w:tcW w:w="3520" w:type="dxa"/>
            <w:vAlign w:val="bottom"/>
            <w:gridSpan w:val="23"/>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10.8D</w:t>
            </w:r>
          </w:p>
        </w:tc>
        <w:tc>
          <w:tcPr>
            <w:tcW w:w="426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Director Emeritus Plan Joinder Agreement for Larry S. McDevitt</w:t>
              </w:r>
            </w:hyperlink>
          </w:p>
        </w:tc>
        <w:tc>
          <w:tcPr>
            <w:tcW w:w="3440" w:type="dxa"/>
            <w:vAlign w:val="bottom"/>
            <w:gridSpan w:val="21"/>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10.8E</w:t>
            </w:r>
          </w:p>
        </w:tc>
        <w:tc>
          <w:tcPr>
            <w:tcW w:w="432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Director Emeritus Plan Joinder Agreement for F.K. McFarland, III</w:t>
              </w:r>
            </w:hyperlink>
          </w:p>
        </w:tc>
        <w:tc>
          <w:tcPr>
            <w:tcW w:w="3380" w:type="dxa"/>
            <w:vAlign w:val="bottom"/>
            <w:gridSpan w:val="20"/>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10.8F</w:t>
            </w:r>
          </w:p>
        </w:tc>
        <w:tc>
          <w:tcPr>
            <w:tcW w:w="424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Director Emeritus Plan Joinder Agreement for Peggy C. Melville</w:t>
              </w:r>
            </w:hyperlink>
          </w:p>
        </w:tc>
        <w:tc>
          <w:tcPr>
            <w:tcW w:w="3460" w:type="dxa"/>
            <w:vAlign w:val="bottom"/>
            <w:gridSpan w:val="22"/>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10.8G</w:t>
            </w:r>
          </w:p>
        </w:tc>
        <w:tc>
          <w:tcPr>
            <w:tcW w:w="4580" w:type="dxa"/>
            <w:vAlign w:val="bottom"/>
            <w:tcBorders>
              <w:bottom w:val="single" w:sz="8" w:color="0000FF"/>
            </w:tcBorders>
            <w:gridSpan w:val="26"/>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Director Emeritus Plan Joinder Agreement for Robert E. Shepherd, Sr.</w:t>
              </w:r>
            </w:hyperlink>
          </w:p>
        </w:tc>
        <w:tc>
          <w:tcPr>
            <w:tcW w:w="3120" w:type="dxa"/>
            <w:vAlign w:val="bottom"/>
            <w:gridSpan w:val="17"/>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c>
          <w:tcPr>
            <w:tcW w:w="7700" w:type="dxa"/>
            <w:vAlign w:val="bottom"/>
            <w:gridSpan w:val="43"/>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HomeTrust Bank Defined Contribution Executive Medical Care Plan</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00" w:type="dxa"/>
            <w:vAlign w:val="bottom"/>
            <w:gridSpan w:val="1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0" w:type="dxa"/>
            <w:vAlign w:val="bottom"/>
            <w:gridSpan w:val="9"/>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10.9A</w:t>
            </w:r>
          </w:p>
        </w:tc>
        <w:tc>
          <w:tcPr>
            <w:tcW w:w="5920" w:type="dxa"/>
            <w:vAlign w:val="bottom"/>
            <w:tcBorders>
              <w:bottom w:val="single" w:sz="8" w:color="0000FF"/>
            </w:tcBorders>
            <w:gridSpan w:val="34"/>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Amendment No. 1 to HomeTrust Bank Defined Contribution Executive Medical Care Plan</w:t>
              </w:r>
            </w:hyperlink>
          </w:p>
        </w:tc>
        <w:tc>
          <w:tcPr>
            <w:tcW w:w="1780" w:type="dxa"/>
            <w:vAlign w:val="bottom"/>
            <w:gridSpan w:val="9"/>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(m)</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10.9B</w:t>
            </w:r>
          </w:p>
        </w:tc>
        <w:tc>
          <w:tcPr>
            <w:tcW w:w="7020" w:type="dxa"/>
            <w:vAlign w:val="bottom"/>
            <w:tcBorders>
              <w:bottom w:val="single" w:sz="8" w:color="0000FF"/>
            </w:tcBorders>
            <w:gridSpan w:val="36"/>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Form of Joinder Agreement Under the HomeTrust Bank Defined Contribution Executive Medical Care Plan</w:t>
              </w:r>
            </w:hyperlink>
          </w:p>
        </w:tc>
        <w:tc>
          <w:tcPr>
            <w:tcW w:w="680" w:type="dxa"/>
            <w:vAlign w:val="bottom"/>
            <w:gridSpan w:val="7"/>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(m)</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10.9C</w:t>
            </w:r>
          </w:p>
        </w:tc>
        <w:tc>
          <w:tcPr>
            <w:tcW w:w="5900" w:type="dxa"/>
            <w:vAlign w:val="bottom"/>
            <w:tcBorders>
              <w:bottom w:val="single" w:sz="8" w:color="0000FF"/>
            </w:tcBorders>
            <w:gridSpan w:val="33"/>
          </w:tcPr>
          <w:p>
            <w:pPr>
              <w:spacing w:after="0"/>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Amendment No. 2 to HomeTrust Bank Defined Contribution Executive Medical Care Plan</w:t>
              </w:r>
            </w:hyperlink>
          </w:p>
        </w:tc>
        <w:tc>
          <w:tcPr>
            <w:tcW w:w="1800" w:type="dxa"/>
            <w:vAlign w:val="bottom"/>
            <w:gridSpan w:val="10"/>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10.10</w:t>
            </w:r>
          </w:p>
        </w:tc>
        <w:tc>
          <w:tcPr>
            <w:tcW w:w="7700" w:type="dxa"/>
            <w:vAlign w:val="bottom"/>
            <w:gridSpan w:val="43"/>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HomeTrust Bank 2005 Deferred Compensation Plan</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00" w:type="dxa"/>
            <w:vAlign w:val="bottom"/>
            <w:gridSpan w:val="1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40" w:type="dxa"/>
            <w:vAlign w:val="bottom"/>
            <w:gridSpan w:val="1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11"/>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10.10A</w:t>
            </w:r>
          </w:p>
        </w:tc>
        <w:tc>
          <w:tcPr>
            <w:tcW w:w="4820" w:type="dxa"/>
            <w:vAlign w:val="bottom"/>
            <w:tcBorders>
              <w:bottom w:val="single" w:sz="8" w:color="0000FF"/>
            </w:tcBorders>
            <w:gridSpan w:val="27"/>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Amendment No. 1 to HomeTrust Bank 2005 Deferred Compensation Plan</w:t>
              </w:r>
            </w:hyperlink>
          </w:p>
        </w:tc>
        <w:tc>
          <w:tcPr>
            <w:tcW w:w="2880" w:type="dxa"/>
            <w:vAlign w:val="bottom"/>
            <w:gridSpan w:val="16"/>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(m)</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w:t>
            </w:r>
          </w:p>
        </w:tc>
        <w:tc>
          <w:tcPr>
            <w:tcW w:w="368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HomeTrust Bank Pre-2005 Deferred Compensation Plan</w:t>
              </w:r>
            </w:hyperlink>
          </w:p>
        </w:tc>
        <w:tc>
          <w:tcPr>
            <w:tcW w:w="4020" w:type="dxa"/>
            <w:vAlign w:val="bottom"/>
            <w:gridSpan w:val="27"/>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10.11A</w:t>
            </w:r>
          </w:p>
        </w:tc>
        <w:tc>
          <w:tcPr>
            <w:tcW w:w="7700" w:type="dxa"/>
            <w:vAlign w:val="bottom"/>
            <w:gridSpan w:val="43"/>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Amendment No. 1 to HomeTrust Bank Pre-2005 Deferred Compensation Plan</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(m)</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080" w:type="dxa"/>
            <w:vAlign w:val="bottom"/>
            <w:gridSpan w:val="28"/>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11"/>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10.12</w:t>
            </w:r>
          </w:p>
        </w:tc>
        <w:tc>
          <w:tcPr>
            <w:tcW w:w="5700" w:type="dxa"/>
            <w:vAlign w:val="bottom"/>
            <w:tcBorders>
              <w:bottom w:val="single" w:sz="8" w:color="0000FF"/>
            </w:tcBorders>
            <w:gridSpan w:val="32"/>
          </w:tcPr>
          <w:p>
            <w:pPr>
              <w:spacing w:after="0"/>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HomeTrust Bancshares, Inc. 2013 Omnibus Incentive Plan (“Omnibus Incentive Plan”)</w:t>
              </w:r>
            </w:hyperlink>
          </w:p>
        </w:tc>
        <w:tc>
          <w:tcPr>
            <w:tcW w:w="2000" w:type="dxa"/>
            <w:vAlign w:val="bottom"/>
            <w:gridSpan w:val="11"/>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(j)</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10.13</w:t>
            </w:r>
          </w:p>
        </w:tc>
        <w:tc>
          <w:tcPr>
            <w:tcW w:w="5680" w:type="dxa"/>
            <w:vAlign w:val="bottom"/>
            <w:tcBorders>
              <w:bottom w:val="single" w:sz="8" w:color="0000FF"/>
            </w:tcBorders>
            <w:gridSpan w:val="31"/>
          </w:tcPr>
          <w:p>
            <w:pPr>
              <w:spacing w:after="0"/>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color w:val="0000FF"/>
                </w:rPr>
                <w:t>HomeTrust Bancshares, Inc. 2022 Omnibus Incentive Plan (“Omnibus Incentive Plan”)</w:t>
              </w:r>
            </w:hyperlink>
          </w:p>
        </w:tc>
        <w:tc>
          <w:tcPr>
            <w:tcW w:w="2020" w:type="dxa"/>
            <w:vAlign w:val="bottom"/>
            <w:gridSpan w:val="12"/>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(q)</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10.14</w:t>
            </w:r>
          </w:p>
        </w:tc>
        <w:tc>
          <w:tcPr>
            <w:tcW w:w="5320" w:type="dxa"/>
            <w:vAlign w:val="bottom"/>
            <w:tcBorders>
              <w:bottom w:val="single" w:sz="8" w:color="0000FF"/>
            </w:tcBorders>
            <w:gridSpan w:val="29"/>
          </w:tcPr>
          <w:p>
            <w:pPr>
              <w:spacing w:after="0"/>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Form of Incentive Stock Option Award Agreement under Omnibus Incentive Plan</w:t>
              </w:r>
            </w:hyperlink>
          </w:p>
        </w:tc>
        <w:tc>
          <w:tcPr>
            <w:tcW w:w="2380" w:type="dxa"/>
            <w:vAlign w:val="bottom"/>
            <w:gridSpan w:val="14"/>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(k)</w:t>
            </w:r>
          </w:p>
        </w:tc>
        <w:tc>
          <w:tcPr>
            <w:tcW w:w="0" w:type="dxa"/>
            <w:vAlign w:val="bottom"/>
          </w:tcPr>
          <w:p>
            <w:pPr>
              <w:spacing w:after="0"/>
              <w:rPr>
                <w:sz w:val="1"/>
                <w:szCs w:val="1"/>
                <w:color w:val="auto"/>
              </w:rPr>
            </w:pPr>
          </w:p>
        </w:tc>
      </w:tr>
      <w:tr>
        <w:trPr>
          <w:trHeight w:val="19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10.15</w:t>
            </w:r>
          </w:p>
        </w:tc>
        <w:tc>
          <w:tcPr>
            <w:tcW w:w="7700" w:type="dxa"/>
            <w:vAlign w:val="bottom"/>
            <w:gridSpan w:val="43"/>
          </w:tcPr>
          <w:p>
            <w:pPr>
              <w:spacing w:after="0"/>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Form of Non-Qualified Stock Option Award Agreement under Omnibus Incentive Plan</w:t>
              </w:r>
            </w:hyperlink>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(k)</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8" w:name="page49"/>
    <w:bookmarkEnd w:id="48"/>
    <w:tbl>
      <w:tblPr>
        <w:tblLayout w:type="fixed"/>
        <w:tblInd w:w="612" w:type="dxa"/>
        <w:tblCellMar>
          <w:top w:w="0" w:type="dxa"/>
          <w:left w:w="0" w:type="dxa"/>
          <w:bottom w:w="0" w:type="dxa"/>
          <w:right w:w="0" w:type="dxa"/>
        </w:tblCellMar>
      </w:tblPr>
      <w:tr>
        <w:trPr>
          <w:trHeight w:val="184"/>
        </w:trPr>
        <w:tc>
          <w:tcPr>
            <w:tcW w:w="1100" w:type="dxa"/>
            <w:vAlign w:val="bottom"/>
          </w:tcPr>
          <w:p>
            <w:pPr>
              <w:jc w:val="center"/>
              <w:ind w:right="539"/>
              <w:spacing w:after="0"/>
              <w:rPr>
                <w:sz w:val="20"/>
                <w:szCs w:val="20"/>
                <w:color w:val="auto"/>
              </w:rPr>
            </w:pPr>
            <w:r>
              <w:rPr>
                <w:rFonts w:ascii="Times New Roman" w:cs="Times New Roman" w:eastAsia="Times New Roman" w:hAnsi="Times New Roman"/>
                <w:sz w:val="16"/>
                <w:szCs w:val="16"/>
                <w:color w:val="auto"/>
                <w:w w:val="99"/>
              </w:rPr>
              <w:t>10.16</w:t>
            </w:r>
          </w:p>
        </w:tc>
        <w:tc>
          <w:tcPr>
            <w:tcW w:w="548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Form of Stock Appreciation Right Award Agreement under Omnibus Incentive Plan</w:t>
              </w:r>
            </w:hyperlink>
          </w:p>
        </w:tc>
        <w:tc>
          <w:tcPr>
            <w:tcW w:w="2580" w:type="dxa"/>
            <w:vAlign w:val="bottom"/>
            <w:gridSpan w:val="14"/>
          </w:tcPr>
          <w:p>
            <w:pPr>
              <w:spacing w:after="0"/>
              <w:rPr>
                <w:sz w:val="16"/>
                <w:szCs w:val="16"/>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(k)</w:t>
            </w:r>
          </w:p>
        </w:tc>
      </w:tr>
      <w:tr>
        <w:trPr>
          <w:trHeight w:val="196"/>
        </w:trPr>
        <w:tc>
          <w:tcPr>
            <w:tcW w:w="1100" w:type="dxa"/>
            <w:vAlign w:val="bottom"/>
          </w:tcPr>
          <w:p>
            <w:pPr>
              <w:jc w:val="center"/>
              <w:ind w:right="539"/>
              <w:spacing w:after="0"/>
              <w:rPr>
                <w:sz w:val="20"/>
                <w:szCs w:val="20"/>
                <w:color w:val="auto"/>
              </w:rPr>
            </w:pPr>
            <w:r>
              <w:rPr>
                <w:rFonts w:ascii="Times New Roman" w:cs="Times New Roman" w:eastAsia="Times New Roman" w:hAnsi="Times New Roman"/>
                <w:sz w:val="16"/>
                <w:szCs w:val="16"/>
                <w:color w:val="auto"/>
                <w:w w:val="99"/>
              </w:rPr>
              <w:t>10.17</w:t>
            </w:r>
          </w:p>
        </w:tc>
        <w:tc>
          <w:tcPr>
            <w:tcW w:w="8060" w:type="dxa"/>
            <w:vAlign w:val="bottom"/>
            <w:gridSpan w:val="27"/>
          </w:tcPr>
          <w:p>
            <w:pPr>
              <w:spacing w:after="0"/>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Form of Restricted Stock Award Agreement under Omnibus Incentive Plan</w:t>
              </w:r>
            </w:hyperlink>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(k)</w:t>
            </w:r>
          </w:p>
        </w:tc>
      </w:tr>
      <w:tr>
        <w:trPr>
          <w:trHeight w:val="20"/>
        </w:trPr>
        <w:tc>
          <w:tcPr>
            <w:tcW w:w="1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jc w:val="center"/>
              <w:ind w:right="539"/>
              <w:spacing w:after="0"/>
              <w:rPr>
                <w:sz w:val="20"/>
                <w:szCs w:val="20"/>
                <w:color w:val="auto"/>
              </w:rPr>
            </w:pPr>
            <w:r>
              <w:rPr>
                <w:rFonts w:ascii="Times New Roman" w:cs="Times New Roman" w:eastAsia="Times New Roman" w:hAnsi="Times New Roman"/>
                <w:sz w:val="16"/>
                <w:szCs w:val="16"/>
                <w:color w:val="auto"/>
                <w:w w:val="99"/>
              </w:rPr>
              <w:t>10.18</w:t>
            </w:r>
          </w:p>
        </w:tc>
        <w:tc>
          <w:tcPr>
            <w:tcW w:w="522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Form of Restricted Stock Unit Award Agreement under Omnibus Incentive Plan</w:t>
              </w:r>
            </w:hyperlink>
          </w:p>
        </w:tc>
        <w:tc>
          <w:tcPr>
            <w:tcW w:w="2840" w:type="dxa"/>
            <w:vAlign w:val="bottom"/>
            <w:gridSpan w:val="15"/>
          </w:tcPr>
          <w:p>
            <w:pPr>
              <w:spacing w:after="0"/>
              <w:rPr>
                <w:sz w:val="17"/>
                <w:szCs w:val="17"/>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(k)</w:t>
            </w:r>
          </w:p>
        </w:tc>
      </w:tr>
      <w:tr>
        <w:trPr>
          <w:trHeight w:val="196"/>
        </w:trPr>
        <w:tc>
          <w:tcPr>
            <w:tcW w:w="1100" w:type="dxa"/>
            <w:vAlign w:val="bottom"/>
          </w:tcPr>
          <w:p>
            <w:pPr>
              <w:jc w:val="center"/>
              <w:ind w:right="539"/>
              <w:spacing w:after="0"/>
              <w:rPr>
                <w:sz w:val="20"/>
                <w:szCs w:val="20"/>
                <w:color w:val="auto"/>
              </w:rPr>
            </w:pPr>
            <w:r>
              <w:rPr>
                <w:rFonts w:ascii="Times New Roman" w:cs="Times New Roman" w:eastAsia="Times New Roman" w:hAnsi="Times New Roman"/>
                <w:sz w:val="16"/>
                <w:szCs w:val="16"/>
                <w:color w:val="auto"/>
                <w:w w:val="99"/>
              </w:rPr>
              <w:t>10.19</w:t>
            </w:r>
          </w:p>
        </w:tc>
        <w:tc>
          <w:tcPr>
            <w:tcW w:w="8060" w:type="dxa"/>
            <w:vAlign w:val="bottom"/>
            <w:gridSpan w:val="27"/>
          </w:tcPr>
          <w:p>
            <w:pPr>
              <w:spacing w:after="0"/>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Retirement Payment Agreement, dated as of September 1, 1987, between HomeTrust Bank and Larry S. McDevitt, as</w:t>
              </w:r>
            </w:hyperlink>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w:t>
            </w:r>
          </w:p>
        </w:tc>
      </w:tr>
      <w:tr>
        <w:trPr>
          <w:trHeight w:val="142"/>
        </w:trPr>
        <w:tc>
          <w:tcPr>
            <w:tcW w:w="1100" w:type="dxa"/>
            <w:vAlign w:val="bottom"/>
          </w:tcPr>
          <w:p>
            <w:pPr>
              <w:spacing w:after="0"/>
              <w:rPr>
                <w:sz w:val="12"/>
                <w:szCs w:val="12"/>
                <w:color w:val="auto"/>
              </w:rPr>
            </w:pPr>
          </w:p>
        </w:tc>
        <w:tc>
          <w:tcPr>
            <w:tcW w:w="60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amended</w:t>
              </w:r>
            </w:hyperlink>
          </w:p>
        </w:tc>
        <w:tc>
          <w:tcPr>
            <w:tcW w:w="7060" w:type="dxa"/>
            <w:vAlign w:val="bottom"/>
            <w:tcBorders>
              <w:top w:val="single" w:sz="8" w:color="0000FF"/>
            </w:tcBorders>
            <w:gridSpan w:val="22"/>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96"/>
        </w:trPr>
        <w:tc>
          <w:tcPr>
            <w:tcW w:w="1100" w:type="dxa"/>
            <w:vAlign w:val="bottom"/>
          </w:tcPr>
          <w:p>
            <w:pPr>
              <w:jc w:val="center"/>
              <w:ind w:right="539"/>
              <w:spacing w:after="0"/>
              <w:rPr>
                <w:sz w:val="20"/>
                <w:szCs w:val="20"/>
                <w:color w:val="auto"/>
              </w:rPr>
            </w:pPr>
            <w:r>
              <w:rPr>
                <w:rFonts w:ascii="Times New Roman" w:cs="Times New Roman" w:eastAsia="Times New Roman" w:hAnsi="Times New Roman"/>
                <w:sz w:val="16"/>
                <w:szCs w:val="16"/>
                <w:color w:val="auto"/>
                <w:w w:val="99"/>
              </w:rPr>
              <w:t>10.20</w:t>
            </w:r>
          </w:p>
        </w:tc>
        <w:tc>
          <w:tcPr>
            <w:tcW w:w="8060" w:type="dxa"/>
            <w:vAlign w:val="bottom"/>
            <w:gridSpan w:val="27"/>
          </w:tcPr>
          <w:p>
            <w:pPr>
              <w:spacing w:after="0"/>
              <w:rPr>
                <w:rFonts w:ascii="Times New Roman" w:cs="Times New Roman" w:eastAsia="Times New Roman" w:hAnsi="Times New Roman"/>
                <w:sz w:val="16"/>
                <w:szCs w:val="16"/>
                <w:color w:val="0000FF"/>
              </w:rPr>
            </w:pPr>
            <w:hyperlink r:id="rId72">
              <w:r>
                <w:rPr>
                  <w:rFonts w:ascii="Times New Roman" w:cs="Times New Roman" w:eastAsia="Times New Roman" w:hAnsi="Times New Roman"/>
                  <w:sz w:val="16"/>
                  <w:szCs w:val="16"/>
                  <w:color w:val="0000FF"/>
                </w:rPr>
                <w:t>Change in Control Severance Agreement between HomeTrust Bancshares, Inc. and Marty Caywood</w:t>
              </w:r>
            </w:hyperlink>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w:t>
            </w:r>
          </w:p>
        </w:tc>
      </w:tr>
      <w:tr>
        <w:trPr>
          <w:trHeight w:val="20"/>
        </w:trPr>
        <w:tc>
          <w:tcPr>
            <w:tcW w:w="1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jc w:val="center"/>
              <w:ind w:right="539"/>
              <w:spacing w:after="0"/>
              <w:rPr>
                <w:sz w:val="20"/>
                <w:szCs w:val="20"/>
                <w:color w:val="auto"/>
              </w:rPr>
            </w:pPr>
            <w:r>
              <w:rPr>
                <w:rFonts w:ascii="Times New Roman" w:cs="Times New Roman" w:eastAsia="Times New Roman" w:hAnsi="Times New Roman"/>
                <w:sz w:val="16"/>
                <w:szCs w:val="16"/>
                <w:color w:val="auto"/>
              </w:rPr>
              <w:t>10.20A</w:t>
            </w:r>
          </w:p>
        </w:tc>
        <w:tc>
          <w:tcPr>
            <w:tcW w:w="8060" w:type="dxa"/>
            <w:vAlign w:val="bottom"/>
            <w:gridSpan w:val="27"/>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Amendment No. 1 to Change in Control Severance Agreement between HomeTrust Bancshares, Inc. and Marty</w:t>
              </w:r>
            </w:hyperlink>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w:t>
            </w:r>
          </w:p>
        </w:tc>
      </w:tr>
      <w:tr>
        <w:trPr>
          <w:trHeight w:val="142"/>
        </w:trPr>
        <w:tc>
          <w:tcPr>
            <w:tcW w:w="1100" w:type="dxa"/>
            <w:vAlign w:val="bottom"/>
          </w:tcPr>
          <w:p>
            <w:pPr>
              <w:spacing w:after="0"/>
              <w:rPr>
                <w:sz w:val="12"/>
                <w:szCs w:val="12"/>
                <w:color w:val="auto"/>
              </w:rPr>
            </w:pPr>
          </w:p>
        </w:tc>
        <w:tc>
          <w:tcPr>
            <w:tcW w:w="724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Caywood</w:t>
              </w:r>
            </w:hyperlink>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jc w:val="center"/>
              <w:ind w:right="539"/>
              <w:spacing w:after="0"/>
              <w:rPr>
                <w:sz w:val="20"/>
                <w:szCs w:val="20"/>
                <w:color w:val="auto"/>
              </w:rPr>
            </w:pPr>
            <w:r>
              <w:rPr>
                <w:rFonts w:ascii="Times New Roman" w:cs="Times New Roman" w:eastAsia="Times New Roman" w:hAnsi="Times New Roman"/>
                <w:sz w:val="16"/>
                <w:szCs w:val="16"/>
                <w:color w:val="auto"/>
                <w:w w:val="99"/>
              </w:rPr>
              <w:t>10.21</w:t>
            </w:r>
          </w:p>
        </w:tc>
        <w:tc>
          <w:tcPr>
            <w:tcW w:w="8060" w:type="dxa"/>
            <w:vAlign w:val="bottom"/>
            <w:gridSpan w:val="27"/>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Amended and Restated Change in Control Severance Agreement between HomeTrust Bancshares, Inc. and Keith J.</w:t>
              </w:r>
            </w:hyperlink>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w:t>
            </w:r>
          </w:p>
        </w:tc>
      </w:tr>
      <w:tr>
        <w:trPr>
          <w:trHeight w:val="142"/>
        </w:trPr>
        <w:tc>
          <w:tcPr>
            <w:tcW w:w="1100" w:type="dxa"/>
            <w:vAlign w:val="bottom"/>
          </w:tcPr>
          <w:p>
            <w:pPr>
              <w:spacing w:after="0"/>
              <w:rPr>
                <w:sz w:val="12"/>
                <w:szCs w:val="12"/>
                <w:color w:val="auto"/>
              </w:rPr>
            </w:pPr>
          </w:p>
        </w:tc>
        <w:tc>
          <w:tcPr>
            <w:tcW w:w="66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w w:val="99"/>
              </w:rPr>
            </w:pPr>
            <w:hyperlink r:id="rId58">
              <w:r>
                <w:rPr>
                  <w:rFonts w:ascii="Times New Roman" w:cs="Times New Roman" w:eastAsia="Times New Roman" w:hAnsi="Times New Roman"/>
                  <w:sz w:val="16"/>
                  <w:szCs w:val="16"/>
                  <w:color w:val="0000FF"/>
                  <w:w w:val="99"/>
                </w:rPr>
                <w:t>Houghton</w:t>
              </w:r>
            </w:hyperlink>
          </w:p>
        </w:tc>
        <w:tc>
          <w:tcPr>
            <w:tcW w:w="6840" w:type="dxa"/>
            <w:vAlign w:val="bottom"/>
            <w:tcBorders>
              <w:top w:val="single" w:sz="8" w:color="0000FF"/>
            </w:tcBorders>
            <w:gridSpan w:val="17"/>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r>
      <w:tr>
        <w:trPr>
          <w:trHeight w:val="196"/>
        </w:trPr>
        <w:tc>
          <w:tcPr>
            <w:tcW w:w="1100" w:type="dxa"/>
            <w:vAlign w:val="bottom"/>
          </w:tcPr>
          <w:p>
            <w:pPr>
              <w:jc w:val="center"/>
              <w:ind w:right="539"/>
              <w:spacing w:after="0"/>
              <w:rPr>
                <w:sz w:val="20"/>
                <w:szCs w:val="20"/>
                <w:color w:val="auto"/>
              </w:rPr>
            </w:pPr>
            <w:r>
              <w:rPr>
                <w:rFonts w:ascii="Times New Roman" w:cs="Times New Roman" w:eastAsia="Times New Roman" w:hAnsi="Times New Roman"/>
                <w:sz w:val="16"/>
                <w:szCs w:val="16"/>
                <w:color w:val="auto"/>
              </w:rPr>
              <w:t>10.21A</w:t>
            </w:r>
          </w:p>
        </w:tc>
        <w:tc>
          <w:tcPr>
            <w:tcW w:w="8060" w:type="dxa"/>
            <w:vAlign w:val="bottom"/>
            <w:gridSpan w:val="27"/>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Amendment No. 1 to Amended and Restated Change in Control Severance Agreement between HomeTrust</w:t>
              </w:r>
            </w:hyperlink>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w:t>
            </w:r>
          </w:p>
        </w:tc>
      </w:tr>
      <w:tr>
        <w:trPr>
          <w:trHeight w:val="142"/>
        </w:trPr>
        <w:tc>
          <w:tcPr>
            <w:tcW w:w="1100" w:type="dxa"/>
            <w:vAlign w:val="bottom"/>
          </w:tcPr>
          <w:p>
            <w:pPr>
              <w:spacing w:after="0"/>
              <w:rPr>
                <w:sz w:val="12"/>
                <w:szCs w:val="12"/>
                <w:color w:val="auto"/>
              </w:rPr>
            </w:pPr>
          </w:p>
        </w:tc>
        <w:tc>
          <w:tcPr>
            <w:tcW w:w="698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Bancshares, Inc. and Keith J. Houghton</w:t>
              </w:r>
            </w:hyperlink>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3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jc w:val="center"/>
              <w:ind w:right="539"/>
              <w:spacing w:after="0"/>
              <w:rPr>
                <w:sz w:val="20"/>
                <w:szCs w:val="20"/>
                <w:color w:val="auto"/>
              </w:rPr>
            </w:pPr>
            <w:r>
              <w:rPr>
                <w:rFonts w:ascii="Times New Roman" w:cs="Times New Roman" w:eastAsia="Times New Roman" w:hAnsi="Times New Roman"/>
                <w:sz w:val="16"/>
                <w:szCs w:val="16"/>
                <w:color w:val="auto"/>
                <w:w w:val="99"/>
              </w:rPr>
              <w:t>10.22</w:t>
            </w:r>
          </w:p>
        </w:tc>
        <w:tc>
          <w:tcPr>
            <w:tcW w:w="8060" w:type="dxa"/>
            <w:vAlign w:val="bottom"/>
            <w:gridSpan w:val="27"/>
          </w:tcPr>
          <w:p>
            <w:pPr>
              <w:spacing w:after="0"/>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Amended and Restated Change in Control Severance Agreement between HomeTrust Bancshares, Inc. and R. Parrish</w:t>
              </w:r>
            </w:hyperlink>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w:t>
            </w:r>
          </w:p>
        </w:tc>
      </w:tr>
      <w:tr>
        <w:trPr>
          <w:trHeight w:val="142"/>
        </w:trPr>
        <w:tc>
          <w:tcPr>
            <w:tcW w:w="1100" w:type="dxa"/>
            <w:vAlign w:val="bottom"/>
          </w:tcPr>
          <w:p>
            <w:pPr>
              <w:spacing w:after="0"/>
              <w:rPr>
                <w:sz w:val="12"/>
                <w:szCs w:val="12"/>
                <w:color w:val="auto"/>
              </w:rPr>
            </w:pPr>
          </w:p>
        </w:tc>
        <w:tc>
          <w:tcPr>
            <w:tcW w:w="36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7"/>
              </w:rPr>
            </w:pPr>
            <w:hyperlink r:id="rId73">
              <w:r>
                <w:rPr>
                  <w:rFonts w:ascii="Times New Roman" w:cs="Times New Roman" w:eastAsia="Times New Roman" w:hAnsi="Times New Roman"/>
                  <w:sz w:val="16"/>
                  <w:szCs w:val="16"/>
                  <w:color w:val="0000FF"/>
                  <w:w w:val="97"/>
                </w:rPr>
                <w:t>Little</w:t>
              </w:r>
            </w:hyperlink>
          </w:p>
        </w:tc>
        <w:tc>
          <w:tcPr>
            <w:tcW w:w="7280" w:type="dxa"/>
            <w:vAlign w:val="bottom"/>
            <w:tcBorders>
              <w:top w:val="single" w:sz="8" w:color="0000FF"/>
            </w:tcBorders>
            <w:gridSpan w:val="24"/>
          </w:tcPr>
          <w:p>
            <w:pPr>
              <w:spacing w:after="0"/>
              <w:rPr>
                <w:sz w:val="12"/>
                <w:szCs w:val="12"/>
                <w:color w:val="auto"/>
              </w:rPr>
            </w:pPr>
          </w:p>
        </w:tc>
        <w:tc>
          <w:tcPr>
            <w:tcW w:w="42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r>
      <w:tr>
        <w:trPr>
          <w:trHeight w:val="196"/>
        </w:trPr>
        <w:tc>
          <w:tcPr>
            <w:tcW w:w="1100" w:type="dxa"/>
            <w:vAlign w:val="bottom"/>
          </w:tcPr>
          <w:p>
            <w:pPr>
              <w:jc w:val="center"/>
              <w:ind w:right="539"/>
              <w:spacing w:after="0"/>
              <w:rPr>
                <w:sz w:val="20"/>
                <w:szCs w:val="20"/>
                <w:color w:val="auto"/>
              </w:rPr>
            </w:pPr>
            <w:r>
              <w:rPr>
                <w:rFonts w:ascii="Times New Roman" w:cs="Times New Roman" w:eastAsia="Times New Roman" w:hAnsi="Times New Roman"/>
                <w:sz w:val="16"/>
                <w:szCs w:val="16"/>
                <w:color w:val="auto"/>
              </w:rPr>
              <w:t>10.22A</w:t>
            </w:r>
          </w:p>
        </w:tc>
        <w:tc>
          <w:tcPr>
            <w:tcW w:w="8060" w:type="dxa"/>
            <w:vAlign w:val="bottom"/>
            <w:gridSpan w:val="27"/>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Amendment No. 1 to Amended and Restated Change in Control Severance Agreement between HomeTrust</w:t>
              </w:r>
            </w:hyperlink>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w:t>
            </w:r>
          </w:p>
        </w:tc>
      </w:tr>
      <w:tr>
        <w:trPr>
          <w:trHeight w:val="142"/>
        </w:trPr>
        <w:tc>
          <w:tcPr>
            <w:tcW w:w="1100" w:type="dxa"/>
            <w:vAlign w:val="bottom"/>
          </w:tcPr>
          <w:p>
            <w:pPr>
              <w:spacing w:after="0"/>
              <w:rPr>
                <w:sz w:val="12"/>
                <w:szCs w:val="12"/>
                <w:color w:val="auto"/>
              </w:rPr>
            </w:pPr>
          </w:p>
        </w:tc>
        <w:tc>
          <w:tcPr>
            <w:tcW w:w="698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Bancshares, Inc. and R. Parrish Little</w:t>
              </w:r>
            </w:hyperlink>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320" w:type="dxa"/>
            <w:vAlign w:val="bottom"/>
            <w:gridSpan w:val="2"/>
          </w:tcPr>
          <w:p>
            <w:pPr>
              <w:spacing w:after="0"/>
              <w:rPr>
                <w:sz w:val="12"/>
                <w:szCs w:val="12"/>
                <w:color w:val="auto"/>
              </w:rPr>
            </w:pPr>
          </w:p>
        </w:tc>
        <w:tc>
          <w:tcPr>
            <w:tcW w:w="4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jc w:val="center"/>
              <w:ind w:right="539"/>
              <w:spacing w:after="0"/>
              <w:rPr>
                <w:sz w:val="20"/>
                <w:szCs w:val="20"/>
                <w:color w:val="auto"/>
              </w:rPr>
            </w:pPr>
            <w:r>
              <w:rPr>
                <w:rFonts w:ascii="Times New Roman" w:cs="Times New Roman" w:eastAsia="Times New Roman" w:hAnsi="Times New Roman"/>
                <w:sz w:val="16"/>
                <w:szCs w:val="16"/>
                <w:color w:val="auto"/>
                <w:w w:val="99"/>
              </w:rPr>
              <w:t>10.23</w:t>
            </w:r>
          </w:p>
        </w:tc>
        <w:tc>
          <w:tcPr>
            <w:tcW w:w="652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Change in Control Severance Agreement between HomeTrust Bancshares, Inc. and Mark DeMarcus</w:t>
              </w:r>
            </w:hyperlink>
          </w:p>
        </w:tc>
        <w:tc>
          <w:tcPr>
            <w:tcW w:w="1540" w:type="dxa"/>
            <w:vAlign w:val="bottom"/>
            <w:gridSpan w:val="11"/>
          </w:tcPr>
          <w:p>
            <w:pPr>
              <w:spacing w:after="0"/>
              <w:rPr>
                <w:sz w:val="17"/>
                <w:szCs w:val="17"/>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w:t>
            </w:r>
          </w:p>
        </w:tc>
      </w:tr>
      <w:tr>
        <w:trPr>
          <w:trHeight w:val="196"/>
        </w:trPr>
        <w:tc>
          <w:tcPr>
            <w:tcW w:w="1100" w:type="dxa"/>
            <w:vAlign w:val="bottom"/>
          </w:tcPr>
          <w:p>
            <w:pPr>
              <w:jc w:val="center"/>
              <w:ind w:right="539"/>
              <w:spacing w:after="0"/>
              <w:rPr>
                <w:sz w:val="20"/>
                <w:szCs w:val="20"/>
                <w:color w:val="auto"/>
              </w:rPr>
            </w:pPr>
            <w:r>
              <w:rPr>
                <w:rFonts w:ascii="Times New Roman" w:cs="Times New Roman" w:eastAsia="Times New Roman" w:hAnsi="Times New Roman"/>
                <w:sz w:val="16"/>
                <w:szCs w:val="16"/>
                <w:color w:val="auto"/>
              </w:rPr>
              <w:t>10.23A</w:t>
            </w:r>
          </w:p>
        </w:tc>
        <w:tc>
          <w:tcPr>
            <w:tcW w:w="8060" w:type="dxa"/>
            <w:vAlign w:val="bottom"/>
            <w:gridSpan w:val="27"/>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Amendment No. 1 to Change in Control Severance Agreement between HomeTrust Bancshares, Inc. and Mark</w:t>
              </w:r>
            </w:hyperlink>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w:t>
            </w:r>
          </w:p>
        </w:tc>
      </w:tr>
      <w:tr>
        <w:trPr>
          <w:trHeight w:val="142"/>
        </w:trPr>
        <w:tc>
          <w:tcPr>
            <w:tcW w:w="1100" w:type="dxa"/>
            <w:vAlign w:val="bottom"/>
          </w:tcPr>
          <w:p>
            <w:pPr>
              <w:spacing w:after="0"/>
              <w:rPr>
                <w:sz w:val="12"/>
                <w:szCs w:val="12"/>
                <w:color w:val="auto"/>
              </w:rPr>
            </w:pPr>
          </w:p>
        </w:tc>
        <w:tc>
          <w:tcPr>
            <w:tcW w:w="722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DeMarcus</w:t>
              </w:r>
            </w:hyperlink>
          </w:p>
        </w:tc>
        <w:tc>
          <w:tcPr>
            <w:tcW w:w="80" w:type="dxa"/>
            <w:vAlign w:val="bottom"/>
            <w:gridSpan w:val="2"/>
          </w:tcPr>
          <w:p>
            <w:pPr>
              <w:spacing w:after="0"/>
              <w:rPr>
                <w:sz w:val="12"/>
                <w:szCs w:val="12"/>
                <w:color w:val="auto"/>
              </w:rPr>
            </w:pPr>
          </w:p>
        </w:tc>
        <w:tc>
          <w:tcPr>
            <w:tcW w:w="320" w:type="dxa"/>
            <w:vAlign w:val="bottom"/>
            <w:gridSpan w:val="2"/>
          </w:tcPr>
          <w:p>
            <w:pPr>
              <w:spacing w:after="0"/>
              <w:rPr>
                <w:sz w:val="12"/>
                <w:szCs w:val="12"/>
                <w:color w:val="auto"/>
              </w:rPr>
            </w:pPr>
          </w:p>
        </w:tc>
        <w:tc>
          <w:tcPr>
            <w:tcW w:w="4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jc w:val="center"/>
              <w:ind w:right="539"/>
              <w:spacing w:after="0"/>
              <w:rPr>
                <w:sz w:val="20"/>
                <w:szCs w:val="20"/>
                <w:color w:val="auto"/>
              </w:rPr>
            </w:pPr>
            <w:r>
              <w:rPr>
                <w:rFonts w:ascii="Times New Roman" w:cs="Times New Roman" w:eastAsia="Times New Roman" w:hAnsi="Times New Roman"/>
                <w:sz w:val="16"/>
                <w:szCs w:val="16"/>
                <w:color w:val="auto"/>
                <w:w w:val="99"/>
              </w:rPr>
              <w:t>10.24</w:t>
            </w:r>
          </w:p>
        </w:tc>
        <w:tc>
          <w:tcPr>
            <w:tcW w:w="8060" w:type="dxa"/>
            <w:vAlign w:val="bottom"/>
            <w:gridSpan w:val="27"/>
          </w:tcPr>
          <w:p>
            <w:pPr>
              <w:spacing w:after="0"/>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Change in Control Severance Agreement between HomeTrust Bancshares, Inc. and Kristin Powell</w:t>
              </w:r>
            </w:hyperlink>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w:t>
            </w:r>
          </w:p>
        </w:tc>
      </w:tr>
      <w:tr>
        <w:trPr>
          <w:trHeight w:val="20"/>
        </w:trPr>
        <w:tc>
          <w:tcPr>
            <w:tcW w:w="110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900" w:type="dxa"/>
            <w:vAlign w:val="bottom"/>
            <w:gridSpan w:val="7"/>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100" w:type="dxa"/>
            <w:vAlign w:val="bottom"/>
          </w:tcPr>
          <w:p>
            <w:pPr>
              <w:jc w:val="center"/>
              <w:ind w:right="539"/>
              <w:spacing w:after="0"/>
              <w:rPr>
                <w:sz w:val="20"/>
                <w:szCs w:val="20"/>
                <w:color w:val="auto"/>
              </w:rPr>
            </w:pPr>
            <w:r>
              <w:rPr>
                <w:rFonts w:ascii="Times New Roman" w:cs="Times New Roman" w:eastAsia="Times New Roman" w:hAnsi="Times New Roman"/>
                <w:sz w:val="16"/>
                <w:szCs w:val="16"/>
                <w:color w:val="auto"/>
              </w:rPr>
              <w:t>10.24A</w:t>
            </w:r>
          </w:p>
        </w:tc>
        <w:tc>
          <w:tcPr>
            <w:tcW w:w="8060" w:type="dxa"/>
            <w:vAlign w:val="bottom"/>
            <w:gridSpan w:val="27"/>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Amendment No. 1 to Change in Control Severance Agreement between HomeTrust Bancshares, Inc. and Kristin</w:t>
              </w:r>
            </w:hyperlink>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w:t>
            </w:r>
          </w:p>
        </w:tc>
      </w:tr>
      <w:tr>
        <w:trPr>
          <w:trHeight w:val="142"/>
        </w:trPr>
        <w:tc>
          <w:tcPr>
            <w:tcW w:w="1100" w:type="dxa"/>
            <w:vAlign w:val="bottom"/>
          </w:tcPr>
          <w:p>
            <w:pPr>
              <w:spacing w:after="0"/>
              <w:rPr>
                <w:sz w:val="12"/>
                <w:szCs w:val="12"/>
                <w:color w:val="auto"/>
              </w:rPr>
            </w:pPr>
          </w:p>
        </w:tc>
        <w:tc>
          <w:tcPr>
            <w:tcW w:w="46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8"/>
              </w:rPr>
            </w:pPr>
            <w:hyperlink r:id="rId57">
              <w:r>
                <w:rPr>
                  <w:rFonts w:ascii="Times New Roman" w:cs="Times New Roman" w:eastAsia="Times New Roman" w:hAnsi="Times New Roman"/>
                  <w:sz w:val="16"/>
                  <w:szCs w:val="16"/>
                  <w:color w:val="0000FF"/>
                  <w:w w:val="98"/>
                </w:rPr>
                <w:t>Powell</w:t>
              </w:r>
            </w:hyperlink>
          </w:p>
        </w:tc>
        <w:tc>
          <w:tcPr>
            <w:tcW w:w="6840" w:type="dxa"/>
            <w:vAlign w:val="bottom"/>
            <w:tcBorders>
              <w:top w:val="single" w:sz="8" w:color="0000FF"/>
            </w:tcBorders>
            <w:gridSpan w:val="20"/>
          </w:tcPr>
          <w:p>
            <w:pPr>
              <w:spacing w:after="0"/>
              <w:rPr>
                <w:sz w:val="12"/>
                <w:szCs w:val="12"/>
                <w:color w:val="auto"/>
              </w:rPr>
            </w:pPr>
          </w:p>
        </w:tc>
        <w:tc>
          <w:tcPr>
            <w:tcW w:w="320" w:type="dxa"/>
            <w:vAlign w:val="bottom"/>
            <w:gridSpan w:val="2"/>
          </w:tcPr>
          <w:p>
            <w:pPr>
              <w:spacing w:after="0"/>
              <w:rPr>
                <w:sz w:val="12"/>
                <w:szCs w:val="12"/>
                <w:color w:val="auto"/>
              </w:rPr>
            </w:pPr>
          </w:p>
        </w:tc>
        <w:tc>
          <w:tcPr>
            <w:tcW w:w="4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r>
      <w:tr>
        <w:trPr>
          <w:trHeight w:val="196"/>
        </w:trPr>
        <w:tc>
          <w:tcPr>
            <w:tcW w:w="1100" w:type="dxa"/>
            <w:vAlign w:val="bottom"/>
          </w:tcPr>
          <w:p>
            <w:pPr>
              <w:jc w:val="center"/>
              <w:ind w:right="539"/>
              <w:spacing w:after="0"/>
              <w:rPr>
                <w:sz w:val="20"/>
                <w:szCs w:val="20"/>
                <w:color w:val="auto"/>
              </w:rPr>
            </w:pPr>
            <w:r>
              <w:rPr>
                <w:rFonts w:ascii="Times New Roman" w:cs="Times New Roman" w:eastAsia="Times New Roman" w:hAnsi="Times New Roman"/>
                <w:sz w:val="16"/>
                <w:szCs w:val="16"/>
                <w:color w:val="auto"/>
                <w:w w:val="99"/>
              </w:rPr>
              <w:t>10.25</w:t>
            </w:r>
          </w:p>
        </w:tc>
        <w:tc>
          <w:tcPr>
            <w:tcW w:w="650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Change in Control Severance Agreement between HomeTrust Bancshares, Inc. and Megan Pelletier</w:t>
              </w:r>
            </w:hyperlink>
          </w:p>
        </w:tc>
        <w:tc>
          <w:tcPr>
            <w:tcW w:w="1560" w:type="dxa"/>
            <w:vAlign w:val="bottom"/>
            <w:gridSpan w:val="12"/>
          </w:tcPr>
          <w:p>
            <w:pPr>
              <w:spacing w:after="0"/>
              <w:rPr>
                <w:sz w:val="17"/>
                <w:szCs w:val="17"/>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w:t>
            </w:r>
          </w:p>
        </w:tc>
      </w:tr>
      <w:tr>
        <w:trPr>
          <w:trHeight w:val="196"/>
        </w:trPr>
        <w:tc>
          <w:tcPr>
            <w:tcW w:w="1100" w:type="dxa"/>
            <w:vAlign w:val="bottom"/>
          </w:tcPr>
          <w:p>
            <w:pPr>
              <w:jc w:val="center"/>
              <w:ind w:right="539"/>
              <w:spacing w:after="0"/>
              <w:rPr>
                <w:sz w:val="20"/>
                <w:szCs w:val="20"/>
                <w:color w:val="auto"/>
              </w:rPr>
            </w:pPr>
            <w:r>
              <w:rPr>
                <w:rFonts w:ascii="Times New Roman" w:cs="Times New Roman" w:eastAsia="Times New Roman" w:hAnsi="Times New Roman"/>
                <w:sz w:val="16"/>
                <w:szCs w:val="16"/>
                <w:color w:val="auto"/>
                <w:w w:val="99"/>
              </w:rPr>
              <w:t>31.1</w:t>
            </w:r>
          </w:p>
        </w:tc>
        <w:tc>
          <w:tcPr>
            <w:tcW w:w="806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Securities Exchange Act Rules 13a-14(a) and 15d-14(a) as</w:t>
            </w:r>
          </w:p>
        </w:tc>
        <w:tc>
          <w:tcPr>
            <w:tcW w:w="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31.1</w:t>
            </w:r>
          </w:p>
        </w:tc>
      </w:tr>
      <w:tr>
        <w:trPr>
          <w:trHeight w:val="142"/>
        </w:trPr>
        <w:tc>
          <w:tcPr>
            <w:tcW w:w="1100" w:type="dxa"/>
            <w:vAlign w:val="bottom"/>
          </w:tcPr>
          <w:p>
            <w:pPr>
              <w:spacing w:after="0"/>
              <w:rPr>
                <w:sz w:val="12"/>
                <w:szCs w:val="12"/>
                <w:color w:val="auto"/>
              </w:rPr>
            </w:pPr>
          </w:p>
        </w:tc>
        <w:tc>
          <w:tcPr>
            <w:tcW w:w="4400" w:type="dxa"/>
            <w:vAlign w:val="bottom"/>
            <w:tcBorders>
              <w:top w:val="single" w:sz="8" w:color="0000FF"/>
              <w:bottom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adopted pursuant to Section 302 of the Sarbanes-Oxley Act of 2002</w:t>
            </w:r>
          </w:p>
        </w:tc>
        <w:tc>
          <w:tcPr>
            <w:tcW w:w="2800" w:type="dxa"/>
            <w:vAlign w:val="bottom"/>
            <w:tcBorders>
              <w:top w:val="single" w:sz="8" w:color="0000FF"/>
            </w:tcBorders>
            <w:gridSpan w:val="9"/>
          </w:tcPr>
          <w:p>
            <w:pPr>
              <w:spacing w:after="0"/>
              <w:rPr>
                <w:sz w:val="12"/>
                <w:szCs w:val="12"/>
                <w:color w:val="auto"/>
              </w:rPr>
            </w:pPr>
          </w:p>
        </w:tc>
        <w:tc>
          <w:tcPr>
            <w:tcW w:w="420" w:type="dxa"/>
            <w:vAlign w:val="bottom"/>
            <w:gridSpan w:val="5"/>
          </w:tcPr>
          <w:p>
            <w:pPr>
              <w:spacing w:after="0"/>
              <w:rPr>
                <w:sz w:val="12"/>
                <w:szCs w:val="12"/>
                <w:color w:val="auto"/>
              </w:rPr>
            </w:pPr>
          </w:p>
        </w:tc>
        <w:tc>
          <w:tcPr>
            <w:tcW w:w="4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r>
      <w:tr>
        <w:trPr>
          <w:trHeight w:val="196"/>
        </w:trPr>
        <w:tc>
          <w:tcPr>
            <w:tcW w:w="1100" w:type="dxa"/>
            <w:vAlign w:val="bottom"/>
          </w:tcPr>
          <w:p>
            <w:pPr>
              <w:jc w:val="center"/>
              <w:ind w:right="539"/>
              <w:spacing w:after="0"/>
              <w:rPr>
                <w:sz w:val="20"/>
                <w:szCs w:val="20"/>
                <w:color w:val="auto"/>
              </w:rPr>
            </w:pPr>
            <w:r>
              <w:rPr>
                <w:rFonts w:ascii="Times New Roman" w:cs="Times New Roman" w:eastAsia="Times New Roman" w:hAnsi="Times New Roman"/>
                <w:sz w:val="16"/>
                <w:szCs w:val="16"/>
                <w:color w:val="auto"/>
                <w:w w:val="99"/>
              </w:rPr>
              <w:t>31.2</w:t>
            </w:r>
          </w:p>
        </w:tc>
        <w:tc>
          <w:tcPr>
            <w:tcW w:w="806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Securities Exchange Act Rules 13a-14(a) and 15d-14(a) as</w:t>
            </w:r>
          </w:p>
        </w:tc>
        <w:tc>
          <w:tcPr>
            <w:tcW w:w="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31.2</w:t>
            </w:r>
          </w:p>
        </w:tc>
      </w:tr>
      <w:tr>
        <w:trPr>
          <w:trHeight w:val="142"/>
        </w:trPr>
        <w:tc>
          <w:tcPr>
            <w:tcW w:w="1100" w:type="dxa"/>
            <w:vAlign w:val="bottom"/>
          </w:tcPr>
          <w:p>
            <w:pPr>
              <w:spacing w:after="0"/>
              <w:rPr>
                <w:sz w:val="12"/>
                <w:szCs w:val="12"/>
                <w:color w:val="auto"/>
              </w:rPr>
            </w:pPr>
          </w:p>
        </w:tc>
        <w:tc>
          <w:tcPr>
            <w:tcW w:w="4400" w:type="dxa"/>
            <w:vAlign w:val="bottom"/>
            <w:tcBorders>
              <w:top w:val="single" w:sz="8" w:color="0000FF"/>
              <w:bottom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adopted pursuant to Section 302 of the Sarbanes-Oxley Act of 2002</w:t>
            </w:r>
          </w:p>
        </w:tc>
        <w:tc>
          <w:tcPr>
            <w:tcW w:w="2760" w:type="dxa"/>
            <w:vAlign w:val="bottom"/>
            <w:tcBorders>
              <w:top w:val="single" w:sz="8" w:color="0000FF"/>
            </w:tcBorders>
            <w:gridSpan w:val="8"/>
          </w:tcPr>
          <w:p>
            <w:pPr>
              <w:spacing w:after="0"/>
              <w:rPr>
                <w:sz w:val="12"/>
                <w:szCs w:val="12"/>
                <w:color w:val="auto"/>
              </w:rPr>
            </w:pPr>
          </w:p>
        </w:tc>
        <w:tc>
          <w:tcPr>
            <w:tcW w:w="460" w:type="dxa"/>
            <w:vAlign w:val="bottom"/>
            <w:gridSpan w:val="6"/>
          </w:tcPr>
          <w:p>
            <w:pPr>
              <w:spacing w:after="0"/>
              <w:rPr>
                <w:sz w:val="12"/>
                <w:szCs w:val="12"/>
                <w:color w:val="auto"/>
              </w:rPr>
            </w:pPr>
          </w:p>
        </w:tc>
        <w:tc>
          <w:tcPr>
            <w:tcW w:w="4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r>
      <w:tr>
        <w:trPr>
          <w:trHeight w:val="196"/>
        </w:trPr>
        <w:tc>
          <w:tcPr>
            <w:tcW w:w="1100" w:type="dxa"/>
            <w:vAlign w:val="bottom"/>
          </w:tcPr>
          <w:p>
            <w:pPr>
              <w:jc w:val="center"/>
              <w:ind w:right="539"/>
              <w:spacing w:after="0"/>
              <w:rPr>
                <w:sz w:val="20"/>
                <w:szCs w:val="20"/>
                <w:color w:val="auto"/>
              </w:rPr>
            </w:pPr>
            <w:r>
              <w:rPr>
                <w:rFonts w:ascii="Times New Roman" w:cs="Times New Roman" w:eastAsia="Times New Roman" w:hAnsi="Times New Roman"/>
                <w:sz w:val="16"/>
                <w:szCs w:val="16"/>
                <w:color w:val="auto"/>
                <w:w w:val="99"/>
              </w:rPr>
              <w:t>32.0</w:t>
            </w:r>
          </w:p>
        </w:tc>
        <w:tc>
          <w:tcPr>
            <w:tcW w:w="806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Certificate of Chief Executive Officer and Chief Financial Officer pursuant to Section 906 of the Sarbanes-Oxley Act</w:t>
            </w:r>
          </w:p>
        </w:tc>
        <w:tc>
          <w:tcPr>
            <w:tcW w:w="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32.0</w:t>
            </w:r>
          </w:p>
        </w:tc>
      </w:tr>
      <w:tr>
        <w:trPr>
          <w:trHeight w:val="142"/>
        </w:trPr>
        <w:tc>
          <w:tcPr>
            <w:tcW w:w="1100" w:type="dxa"/>
            <w:vAlign w:val="bottom"/>
          </w:tcPr>
          <w:p>
            <w:pPr>
              <w:spacing w:after="0"/>
              <w:rPr>
                <w:sz w:val="12"/>
                <w:szCs w:val="12"/>
                <w:color w:val="auto"/>
              </w:rPr>
            </w:pPr>
          </w:p>
        </w:tc>
        <w:tc>
          <w:tcPr>
            <w:tcW w:w="7620" w:type="dxa"/>
            <w:vAlign w:val="bottom"/>
            <w:tcBorders>
              <w:top w:val="single" w:sz="8" w:color="0000FF"/>
            </w:tcBorders>
            <w:gridSpan w:val="24"/>
          </w:tcPr>
          <w:p>
            <w:pPr>
              <w:spacing w:after="0" w:line="142" w:lineRule="exact"/>
              <w:rPr>
                <w:sz w:val="20"/>
                <w:szCs w:val="20"/>
                <w:color w:val="auto"/>
              </w:rPr>
            </w:pPr>
            <w:r>
              <w:rPr>
                <w:rFonts w:ascii="Times New Roman" w:cs="Times New Roman" w:eastAsia="Times New Roman" w:hAnsi="Times New Roman"/>
                <w:sz w:val="16"/>
                <w:szCs w:val="16"/>
                <w:color w:val="0000FF"/>
              </w:rPr>
              <w:t>of 2002</w:t>
            </w:r>
          </w:p>
        </w:tc>
        <w:tc>
          <w:tcPr>
            <w:tcW w:w="44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560" w:type="dxa"/>
            <w:vAlign w:val="bottom"/>
            <w:gridSpan w:val="2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1100" w:type="dxa"/>
            <w:vAlign w:val="bottom"/>
          </w:tcPr>
          <w:p>
            <w:pPr>
              <w:jc w:val="center"/>
              <w:ind w:right="539"/>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8060" w:type="dxa"/>
            <w:vAlign w:val="bottom"/>
            <w:gridSpan w:val="27"/>
          </w:tcPr>
          <w:p>
            <w:pPr>
              <w:spacing w:after="0" w:line="183" w:lineRule="exact"/>
              <w:rPr>
                <w:sz w:val="20"/>
                <w:szCs w:val="20"/>
                <w:color w:val="auto"/>
              </w:rPr>
            </w:pPr>
            <w:r>
              <w:rPr>
                <w:rFonts w:ascii="Times New Roman" w:cs="Times New Roman" w:eastAsia="Times New Roman" w:hAnsi="Times New Roman"/>
                <w:sz w:val="16"/>
                <w:szCs w:val="16"/>
                <w:color w:val="auto"/>
              </w:rPr>
              <w:t>The following materials from HomeTrust Bancshares’ Annual Report on Form 10-K for the year ended June 30,</w:t>
            </w:r>
          </w:p>
        </w:tc>
        <w:tc>
          <w:tcPr>
            <w:tcW w:w="700" w:type="dxa"/>
            <w:vAlign w:val="bottom"/>
          </w:tcPr>
          <w:p>
            <w:pPr>
              <w:jc w:val="center"/>
              <w:ind w:left="319"/>
              <w:spacing w:after="0" w:line="183" w:lineRule="exact"/>
              <w:rPr>
                <w:sz w:val="20"/>
                <w:szCs w:val="20"/>
                <w:color w:val="auto"/>
              </w:rPr>
            </w:pPr>
            <w:r>
              <w:rPr>
                <w:rFonts w:ascii="Times New Roman" w:cs="Times New Roman" w:eastAsia="Times New Roman" w:hAnsi="Times New Roman"/>
                <w:sz w:val="16"/>
                <w:szCs w:val="16"/>
                <w:color w:val="auto"/>
              </w:rPr>
              <w:t>101</w:t>
            </w:r>
          </w:p>
        </w:tc>
      </w:tr>
      <w:tr>
        <w:trPr>
          <w:trHeight w:val="162"/>
        </w:trPr>
        <w:tc>
          <w:tcPr>
            <w:tcW w:w="1100" w:type="dxa"/>
            <w:vAlign w:val="bottom"/>
          </w:tcPr>
          <w:p>
            <w:pPr>
              <w:spacing w:after="0"/>
              <w:rPr>
                <w:sz w:val="14"/>
                <w:szCs w:val="14"/>
                <w:color w:val="auto"/>
              </w:rPr>
            </w:pPr>
          </w:p>
        </w:tc>
        <w:tc>
          <w:tcPr>
            <w:tcW w:w="8060" w:type="dxa"/>
            <w:vAlign w:val="bottom"/>
            <w:gridSpan w:val="27"/>
          </w:tcPr>
          <w:p>
            <w:pPr>
              <w:spacing w:after="0" w:line="162" w:lineRule="exact"/>
              <w:rPr>
                <w:sz w:val="20"/>
                <w:szCs w:val="20"/>
                <w:color w:val="auto"/>
              </w:rPr>
            </w:pPr>
            <w:r>
              <w:rPr>
                <w:rFonts w:ascii="Times New Roman" w:cs="Times New Roman" w:eastAsia="Times New Roman" w:hAnsi="Times New Roman"/>
                <w:sz w:val="16"/>
                <w:szCs w:val="16"/>
                <w:color w:val="auto"/>
              </w:rPr>
              <w:t>2022, formatted in Extensible Business Reporting Language (XBRL): (a) Consolidated Balance Sheets; (b)</w:t>
            </w:r>
          </w:p>
        </w:tc>
        <w:tc>
          <w:tcPr>
            <w:tcW w:w="700" w:type="dxa"/>
            <w:vAlign w:val="bottom"/>
          </w:tcPr>
          <w:p>
            <w:pPr>
              <w:spacing w:after="0"/>
              <w:rPr>
                <w:sz w:val="14"/>
                <w:szCs w:val="14"/>
                <w:color w:val="auto"/>
              </w:rPr>
            </w:pPr>
          </w:p>
        </w:tc>
      </w:tr>
      <w:tr>
        <w:trPr>
          <w:trHeight w:val="162"/>
        </w:trPr>
        <w:tc>
          <w:tcPr>
            <w:tcW w:w="1100" w:type="dxa"/>
            <w:vAlign w:val="bottom"/>
          </w:tcPr>
          <w:p>
            <w:pPr>
              <w:spacing w:after="0"/>
              <w:rPr>
                <w:sz w:val="14"/>
                <w:szCs w:val="14"/>
                <w:color w:val="auto"/>
              </w:rPr>
            </w:pPr>
          </w:p>
        </w:tc>
        <w:tc>
          <w:tcPr>
            <w:tcW w:w="8060" w:type="dxa"/>
            <w:vAlign w:val="bottom"/>
            <w:gridSpan w:val="27"/>
          </w:tcPr>
          <w:p>
            <w:pPr>
              <w:spacing w:after="0" w:line="162" w:lineRule="exact"/>
              <w:rPr>
                <w:sz w:val="20"/>
                <w:szCs w:val="20"/>
                <w:color w:val="auto"/>
              </w:rPr>
            </w:pPr>
            <w:r>
              <w:rPr>
                <w:rFonts w:ascii="Times New Roman" w:cs="Times New Roman" w:eastAsia="Times New Roman" w:hAnsi="Times New Roman"/>
                <w:sz w:val="16"/>
                <w:szCs w:val="16"/>
                <w:color w:val="auto"/>
              </w:rPr>
              <w:t>Consolidated Statements of Income; (c) Consolidated Statements of Comprehensive Income; (d) Consolidated</w:t>
            </w:r>
          </w:p>
        </w:tc>
        <w:tc>
          <w:tcPr>
            <w:tcW w:w="700" w:type="dxa"/>
            <w:vAlign w:val="bottom"/>
          </w:tcPr>
          <w:p>
            <w:pPr>
              <w:spacing w:after="0"/>
              <w:rPr>
                <w:sz w:val="14"/>
                <w:szCs w:val="14"/>
                <w:color w:val="auto"/>
              </w:rPr>
            </w:pPr>
          </w:p>
        </w:tc>
      </w:tr>
      <w:tr>
        <w:trPr>
          <w:trHeight w:val="162"/>
        </w:trPr>
        <w:tc>
          <w:tcPr>
            <w:tcW w:w="1100" w:type="dxa"/>
            <w:vAlign w:val="bottom"/>
          </w:tcPr>
          <w:p>
            <w:pPr>
              <w:spacing w:after="0"/>
              <w:rPr>
                <w:sz w:val="14"/>
                <w:szCs w:val="14"/>
                <w:color w:val="auto"/>
              </w:rPr>
            </w:pPr>
          </w:p>
        </w:tc>
        <w:tc>
          <w:tcPr>
            <w:tcW w:w="8060" w:type="dxa"/>
            <w:vAlign w:val="bottom"/>
            <w:gridSpan w:val="27"/>
          </w:tcPr>
          <w:p>
            <w:pPr>
              <w:spacing w:after="0" w:line="162" w:lineRule="exact"/>
              <w:rPr>
                <w:sz w:val="20"/>
                <w:szCs w:val="20"/>
                <w:color w:val="auto"/>
              </w:rPr>
            </w:pPr>
            <w:r>
              <w:rPr>
                <w:rFonts w:ascii="Times New Roman" w:cs="Times New Roman" w:eastAsia="Times New Roman" w:hAnsi="Times New Roman"/>
                <w:sz w:val="16"/>
                <w:szCs w:val="16"/>
                <w:color w:val="auto"/>
              </w:rPr>
              <w:t>Statements of Changes in Stockholders' Equity; (e) Consolidated Statements of Cash Flows; and (f) Notes to</w:t>
            </w:r>
          </w:p>
        </w:tc>
        <w:tc>
          <w:tcPr>
            <w:tcW w:w="700" w:type="dxa"/>
            <w:vAlign w:val="bottom"/>
          </w:tcPr>
          <w:p>
            <w:pPr>
              <w:spacing w:after="0"/>
              <w:rPr>
                <w:sz w:val="14"/>
                <w:szCs w:val="14"/>
                <w:color w:val="auto"/>
              </w:rPr>
            </w:pPr>
          </w:p>
        </w:tc>
      </w:tr>
      <w:tr>
        <w:trPr>
          <w:trHeight w:val="210"/>
        </w:trPr>
        <w:tc>
          <w:tcPr>
            <w:tcW w:w="1100" w:type="dxa"/>
            <w:vAlign w:val="bottom"/>
          </w:tcPr>
          <w:p>
            <w:pPr>
              <w:spacing w:after="0"/>
              <w:rPr>
                <w:sz w:val="18"/>
                <w:szCs w:val="18"/>
                <w:color w:val="auto"/>
              </w:rPr>
            </w:pPr>
          </w:p>
        </w:tc>
        <w:tc>
          <w:tcPr>
            <w:tcW w:w="806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Consolidated Financial Statements.</w:t>
            </w:r>
          </w:p>
        </w:tc>
        <w:tc>
          <w:tcPr>
            <w:tcW w:w="700" w:type="dxa"/>
            <w:vAlign w:val="bottom"/>
          </w:tcPr>
          <w:p>
            <w:pPr>
              <w:spacing w:after="0"/>
              <w:rPr>
                <w:sz w:val="18"/>
                <w:szCs w:val="18"/>
                <w:color w:val="auto"/>
              </w:rPr>
            </w:pPr>
          </w:p>
        </w:tc>
      </w:tr>
    </w:tbl>
    <w:p>
      <w:pPr>
        <w:spacing w:after="0" w:line="131" w:lineRule="exact"/>
        <w:rPr>
          <w:sz w:val="20"/>
          <w:szCs w:val="20"/>
          <w:color w:val="auto"/>
        </w:rPr>
      </w:pPr>
    </w:p>
    <w:p>
      <w:pPr>
        <w:ind w:left="312" w:hanging="312"/>
        <w:spacing w:after="0"/>
        <w:tabs>
          <w:tab w:leader="none" w:pos="3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Annual Report on Form 10-K for the fiscal year ended June 30, 2022 (File No. 001-35593).</w:t>
      </w:r>
    </w:p>
    <w:p>
      <w:pPr>
        <w:spacing w:after="0" w:line="55"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September 25, 2018 (File No. 001-35593).</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March 31, 2019 (File No. 001-35593).</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Registration Statement on Form S-1 (File No. 333-178817) filed on December 29, 2011.</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May 24, 2022 (File No. 001-35593).</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March 31, 2021 (File No. 001-35593).</w:t>
      </w:r>
    </w:p>
    <w:p>
      <w:pPr>
        <w:spacing w:after="0" w:line="55"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September 11, 2018 (File No. 001-35593).</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October 28, 2020 (File No. 001-35593).</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Amendment No. 1 to HomeTrust Bancshares’s Registration Statement on Form S-1 (File No. 333-178817) filed on March 9, 2012.</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Attached as Appendix A to HomeTrust Bancshares’s definitive proxy statement filed on December 5, 2012 (File No. 001-35593).</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Registration Statement on Form S-8 (File No. 333-186666) filed on February 13, 2013.</w:t>
      </w:r>
    </w:p>
    <w:p>
      <w:pPr>
        <w:spacing w:after="0" w:line="55"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February 15, 2022 (File No. 001-35593).</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March 31, 2022 (File No. 001-35593).</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Annual Report on Form 10-K for the fiscal year ended June 30, 2014 (File No. 001-35593).</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Current Report on Form 8-K filed on July 28, 2021 (File No. 001-35593).</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Annual Report on Form 10-K for the fiscal year ended June 30, 2018 (File No. 001-35593).</w:t>
      </w:r>
    </w:p>
    <w:p>
      <w:pPr>
        <w:spacing w:after="0" w:line="55"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Attached as Appendix A to HomeTrust Bancshares’s definitive proxy statement filed on October 3, 2022 (File No. 001-35593).</w:t>
      </w:r>
    </w:p>
    <w:p>
      <w:pPr>
        <w:spacing w:after="0" w:line="68"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HomeTrust Bancshares's Quarterly Report on Form 10-Q for the quarter ended September 30, 2022 (File No. 001-35593).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72"/>
          </w:cols>
          <w:pgMar w:left="328" w:top="928" w:right="109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6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140" w:type="dxa"/>
            <w:vAlign w:val="bottom"/>
          </w:tcPr>
          <w:p>
            <w:pPr>
              <w:spacing w:after="0"/>
              <w:rPr>
                <w:sz w:val="18"/>
                <w:szCs w:val="18"/>
                <w:color w:val="auto"/>
              </w:rPr>
            </w:pPr>
          </w:p>
        </w:tc>
        <w:tc>
          <w:tcPr>
            <w:tcW w:w="8060" w:type="dxa"/>
            <w:vAlign w:val="bottom"/>
            <w:gridSpan w:val="2"/>
          </w:tcPr>
          <w:p>
            <w:pPr>
              <w:ind w:left="1640"/>
              <w:spacing w:after="0"/>
              <w:rPr>
                <w:sz w:val="20"/>
                <w:szCs w:val="20"/>
                <w:color w:val="auto"/>
              </w:rPr>
            </w:pPr>
            <w:r>
              <w:rPr>
                <w:rFonts w:ascii="Times New Roman" w:cs="Times New Roman" w:eastAsia="Times New Roman" w:hAnsi="Times New Roman"/>
                <w:sz w:val="16"/>
                <w:szCs w:val="16"/>
                <w:b w:val="1"/>
                <w:bCs w:val="1"/>
                <w:color w:val="auto"/>
              </w:rPr>
              <w:t>HOMETRUST BANCSHARES, INC.</w:t>
            </w:r>
          </w:p>
        </w:tc>
      </w:tr>
      <w:tr>
        <w:trPr>
          <w:trHeight w:val="759"/>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7, 2023</w:t>
            </w:r>
          </w:p>
        </w:tc>
        <w:tc>
          <w:tcPr>
            <w:tcW w:w="24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C. Hunter Westbrook</w:t>
            </w:r>
          </w:p>
        </w:tc>
      </w:tr>
      <w:tr>
        <w:trPr>
          <w:trHeight w:val="207"/>
        </w:trPr>
        <w:tc>
          <w:tcPr>
            <w:tcW w:w="31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 Hunter Westbrook</w:t>
            </w:r>
          </w:p>
        </w:tc>
      </w:tr>
      <w:tr>
        <w:trPr>
          <w:trHeight w:val="216"/>
        </w:trPr>
        <w:tc>
          <w:tcPr>
            <w:tcW w:w="31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216"/>
        </w:trPr>
        <w:tc>
          <w:tcPr>
            <w:tcW w:w="31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(Duly Authorized Officer)</w:t>
            </w:r>
          </w:p>
        </w:tc>
      </w:tr>
      <w:tr>
        <w:trPr>
          <w:trHeight w:val="489"/>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7, 2023</w:t>
            </w:r>
          </w:p>
        </w:tc>
        <w:tc>
          <w:tcPr>
            <w:tcW w:w="24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Tony J. VunCannon</w:t>
            </w:r>
          </w:p>
        </w:tc>
      </w:tr>
      <w:tr>
        <w:trPr>
          <w:trHeight w:val="207"/>
        </w:trPr>
        <w:tc>
          <w:tcPr>
            <w:tcW w:w="31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Tony J. VunCannon</w:t>
            </w:r>
          </w:p>
        </w:tc>
      </w:tr>
      <w:tr>
        <w:trPr>
          <w:trHeight w:val="216"/>
        </w:trPr>
        <w:tc>
          <w:tcPr>
            <w:tcW w:w="31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CFO, Corporate Secretary and Treasurer</w:t>
            </w:r>
          </w:p>
        </w:tc>
      </w:tr>
      <w:tr>
        <w:trPr>
          <w:trHeight w:val="216"/>
        </w:trPr>
        <w:tc>
          <w:tcPr>
            <w:tcW w:w="31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893"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13a-14(a) CERTIFICATION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C. Hunter Westbrook, certify that:</w:t>
      </w:r>
    </w:p>
    <w:p>
      <w:pPr>
        <w:spacing w:after="0" w:line="167"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HomeTrust Bancshares, Inc. (the "Company");</w:t>
      </w:r>
    </w:p>
    <w:p>
      <w:pPr>
        <w:spacing w:after="0" w:line="180" w:lineRule="exact"/>
        <w:rPr>
          <w:rFonts w:ascii="Times New Roman" w:cs="Times New Roman" w:eastAsia="Times New Roman" w:hAnsi="Times New Roman"/>
          <w:sz w:val="16"/>
          <w:szCs w:val="16"/>
          <w:color w:val="auto"/>
        </w:rPr>
      </w:pPr>
    </w:p>
    <w:p>
      <w:pPr>
        <w:ind w:left="660" w:hanging="652"/>
        <w:spacing w:after="0" w:line="280"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6"/>
          <w:szCs w:val="16"/>
          <w:color w:val="auto"/>
        </w:rPr>
      </w:pPr>
    </w:p>
    <w:p>
      <w:pPr>
        <w:ind w:left="660" w:hanging="652"/>
        <w:spacing w:after="0" w:line="298"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6" w:lineRule="exact"/>
        <w:rPr>
          <w:rFonts w:ascii="Times New Roman" w:cs="Times New Roman" w:eastAsia="Times New Roman" w:hAnsi="Times New Roman"/>
          <w:sz w:val="16"/>
          <w:szCs w:val="16"/>
          <w:color w:val="auto"/>
        </w:rPr>
      </w:pPr>
    </w:p>
    <w:p>
      <w:pPr>
        <w:ind w:left="660" w:right="20" w:hanging="652"/>
        <w:spacing w:after="0" w:line="298"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for the Company and have:</w:t>
      </w:r>
    </w:p>
    <w:p>
      <w:pPr>
        <w:spacing w:after="0" w:line="96"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31"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4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Times New Roman" w:cs="Times New Roman" w:eastAsia="Times New Roman" w:hAnsi="Times New Roman"/>
          <w:sz w:val="16"/>
          <w:szCs w:val="16"/>
          <w:color w:val="auto"/>
        </w:rPr>
      </w:pPr>
    </w:p>
    <w:p>
      <w:pPr>
        <w:ind w:left="1140" w:hanging="322"/>
        <w:spacing w:after="0" w:line="298" w:lineRule="auto"/>
        <w:tabs>
          <w:tab w:leader="none" w:pos="1131"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spacing w:after="0" w:line="96" w:lineRule="exact"/>
        <w:rPr>
          <w:rFonts w:ascii="Times New Roman" w:cs="Times New Roman" w:eastAsia="Times New Roman" w:hAnsi="Times New Roman"/>
          <w:sz w:val="16"/>
          <w:szCs w:val="16"/>
          <w:color w:val="auto"/>
        </w:rPr>
      </w:pPr>
    </w:p>
    <w:p>
      <w:pPr>
        <w:ind w:left="1140" w:hanging="322"/>
        <w:spacing w:after="0" w:line="280" w:lineRule="auto"/>
        <w:tabs>
          <w:tab w:leader="none" w:pos="114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24" w:lineRule="exact"/>
        <w:rPr>
          <w:rFonts w:ascii="Times New Roman" w:cs="Times New Roman" w:eastAsia="Times New Roman" w:hAnsi="Times New Roman"/>
          <w:sz w:val="16"/>
          <w:szCs w:val="16"/>
          <w:color w:val="auto"/>
        </w:rPr>
      </w:pPr>
    </w:p>
    <w:p>
      <w:pPr>
        <w:ind w:left="660" w:right="20" w:hanging="652"/>
        <w:spacing w:after="0" w:line="280"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4" w:lineRule="exact"/>
        <w:rPr>
          <w:rFonts w:ascii="Times New Roman" w:cs="Times New Roman" w:eastAsia="Times New Roman" w:hAnsi="Times New Roman"/>
          <w:sz w:val="16"/>
          <w:szCs w:val="16"/>
          <w:color w:val="auto"/>
        </w:rPr>
      </w:pPr>
    </w:p>
    <w:p>
      <w:pPr>
        <w:ind w:left="1140" w:right="20" w:hanging="322"/>
        <w:spacing w:after="0" w:line="280" w:lineRule="auto"/>
        <w:tabs>
          <w:tab w:leader="none" w:pos="1131"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0" w:lineRule="exact"/>
        <w:rPr>
          <w:rFonts w:ascii="Times New Roman" w:cs="Times New Roman" w:eastAsia="Times New Roman" w:hAnsi="Times New Roman"/>
          <w:sz w:val="16"/>
          <w:szCs w:val="16"/>
          <w:color w:val="auto"/>
        </w:rPr>
      </w:pPr>
    </w:p>
    <w:p>
      <w:pPr>
        <w:ind w:left="1140" w:hanging="322"/>
        <w:spacing w:after="0" w:line="298" w:lineRule="auto"/>
        <w:tabs>
          <w:tab w:leader="none" w:pos="114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37" w:lineRule="exact"/>
        <w:rPr>
          <w:sz w:val="20"/>
          <w:szCs w:val="20"/>
          <w:color w:val="auto"/>
        </w:rPr>
      </w:pPr>
    </w:p>
    <w:p>
      <w:pPr>
        <w:ind w:left="20"/>
        <w:spacing w:after="0"/>
        <w:tabs>
          <w:tab w:leader="none" w:pos="4980" w:val="left"/>
          <w:tab w:leader="none" w:pos="5960" w:val="left"/>
        </w:tabs>
        <w:rPr>
          <w:sz w:val="20"/>
          <w:szCs w:val="20"/>
          <w:color w:val="auto"/>
        </w:rPr>
      </w:pPr>
      <w:r>
        <w:rPr>
          <w:rFonts w:ascii="Times New Roman" w:cs="Times New Roman" w:eastAsia="Times New Roman" w:hAnsi="Times New Roman"/>
          <w:sz w:val="16"/>
          <w:szCs w:val="16"/>
          <w:color w:val="auto"/>
        </w:rPr>
        <w:t>February 7,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C. Hunter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20320</wp:posOffset>
            </wp:positionV>
            <wp:extent cx="33350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3335020" cy="8890"/>
                    </a:xfrm>
                    <a:prstGeom prst="rect">
                      <a:avLst/>
                    </a:prstGeom>
                    <a:noFill/>
                  </pic:spPr>
                </pic:pic>
              </a:graphicData>
            </a:graphic>
          </wp:anchor>
        </w:drawing>
      </w:r>
    </w:p>
    <w:p>
      <w:pPr>
        <w:spacing w:after="0" w:line="2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auto"/>
        </w:rPr>
        <w:t>C. Hunter Westbrook</w:t>
      </w:r>
    </w:p>
    <w:p>
      <w:pPr>
        <w:spacing w:after="0" w:line="7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ectPr>
          <w:pgSz w:w="11900" w:h="16838" w:orient="portrait"/>
          <w:cols w:equalWidth="0" w:num="1">
            <w:col w:w="11240"/>
          </w:cols>
          <w:pgMar w:left="320" w:top="89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13a-14(a) CERTIFICATION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Tony J. VunCannon, certify that:</w:t>
      </w:r>
    </w:p>
    <w:p>
      <w:pPr>
        <w:spacing w:after="0" w:line="167"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HomeTrust Bancshares, Inc. (the "Company");</w:t>
      </w:r>
    </w:p>
    <w:p>
      <w:pPr>
        <w:spacing w:after="0" w:line="180" w:lineRule="exact"/>
        <w:rPr>
          <w:rFonts w:ascii="Times New Roman" w:cs="Times New Roman" w:eastAsia="Times New Roman" w:hAnsi="Times New Roman"/>
          <w:sz w:val="16"/>
          <w:szCs w:val="16"/>
          <w:color w:val="auto"/>
        </w:rPr>
      </w:pPr>
    </w:p>
    <w:p>
      <w:pPr>
        <w:ind w:left="660" w:hanging="652"/>
        <w:spacing w:after="0" w:line="280"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6"/>
          <w:szCs w:val="16"/>
          <w:color w:val="auto"/>
        </w:rPr>
      </w:pPr>
    </w:p>
    <w:p>
      <w:pPr>
        <w:ind w:left="660" w:hanging="652"/>
        <w:spacing w:after="0" w:line="298"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6" w:lineRule="exact"/>
        <w:rPr>
          <w:rFonts w:ascii="Times New Roman" w:cs="Times New Roman" w:eastAsia="Times New Roman" w:hAnsi="Times New Roman"/>
          <w:sz w:val="16"/>
          <w:szCs w:val="16"/>
          <w:color w:val="auto"/>
        </w:rPr>
      </w:pPr>
    </w:p>
    <w:p>
      <w:pPr>
        <w:ind w:left="660" w:right="20" w:hanging="652"/>
        <w:spacing w:after="0" w:line="298"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for the Company and have:</w:t>
      </w:r>
    </w:p>
    <w:p>
      <w:pPr>
        <w:spacing w:after="0" w:line="96"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31"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4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Times New Roman" w:cs="Times New Roman" w:eastAsia="Times New Roman" w:hAnsi="Times New Roman"/>
          <w:sz w:val="16"/>
          <w:szCs w:val="16"/>
          <w:color w:val="auto"/>
        </w:rPr>
      </w:pPr>
    </w:p>
    <w:p>
      <w:pPr>
        <w:ind w:left="1140" w:hanging="322"/>
        <w:spacing w:after="0" w:line="298" w:lineRule="auto"/>
        <w:tabs>
          <w:tab w:leader="none" w:pos="1131"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spacing w:after="0" w:line="96" w:lineRule="exact"/>
        <w:rPr>
          <w:rFonts w:ascii="Times New Roman" w:cs="Times New Roman" w:eastAsia="Times New Roman" w:hAnsi="Times New Roman"/>
          <w:sz w:val="16"/>
          <w:szCs w:val="16"/>
          <w:color w:val="auto"/>
        </w:rPr>
      </w:pPr>
    </w:p>
    <w:p>
      <w:pPr>
        <w:ind w:left="1140" w:hanging="322"/>
        <w:spacing w:after="0" w:line="280" w:lineRule="auto"/>
        <w:tabs>
          <w:tab w:leader="none" w:pos="114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24" w:lineRule="exact"/>
        <w:rPr>
          <w:rFonts w:ascii="Times New Roman" w:cs="Times New Roman" w:eastAsia="Times New Roman" w:hAnsi="Times New Roman"/>
          <w:sz w:val="16"/>
          <w:szCs w:val="16"/>
          <w:color w:val="auto"/>
        </w:rPr>
      </w:pPr>
    </w:p>
    <w:p>
      <w:pPr>
        <w:ind w:left="660" w:right="20" w:hanging="652"/>
        <w:spacing w:after="0" w:line="280"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4" w:lineRule="exact"/>
        <w:rPr>
          <w:rFonts w:ascii="Times New Roman" w:cs="Times New Roman" w:eastAsia="Times New Roman" w:hAnsi="Times New Roman"/>
          <w:sz w:val="16"/>
          <w:szCs w:val="16"/>
          <w:color w:val="auto"/>
        </w:rPr>
      </w:pPr>
    </w:p>
    <w:p>
      <w:pPr>
        <w:ind w:left="1140" w:right="20" w:hanging="322"/>
        <w:spacing w:after="0" w:line="280" w:lineRule="auto"/>
        <w:tabs>
          <w:tab w:leader="none" w:pos="1131"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0" w:lineRule="exact"/>
        <w:rPr>
          <w:rFonts w:ascii="Times New Roman" w:cs="Times New Roman" w:eastAsia="Times New Roman" w:hAnsi="Times New Roman"/>
          <w:sz w:val="16"/>
          <w:szCs w:val="16"/>
          <w:color w:val="auto"/>
        </w:rPr>
      </w:pPr>
    </w:p>
    <w:p>
      <w:pPr>
        <w:ind w:left="1140" w:hanging="322"/>
        <w:spacing w:after="0" w:line="298" w:lineRule="auto"/>
        <w:tabs>
          <w:tab w:leader="none" w:pos="114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37" w:lineRule="exact"/>
        <w:rPr>
          <w:sz w:val="20"/>
          <w:szCs w:val="20"/>
          <w:color w:val="auto"/>
        </w:rPr>
      </w:pPr>
    </w:p>
    <w:p>
      <w:pPr>
        <w:ind w:left="20"/>
        <w:spacing w:after="0"/>
        <w:tabs>
          <w:tab w:leader="none" w:pos="4980" w:val="left"/>
          <w:tab w:leader="none" w:pos="5960" w:val="left"/>
        </w:tabs>
        <w:rPr>
          <w:sz w:val="20"/>
          <w:szCs w:val="20"/>
          <w:color w:val="auto"/>
        </w:rPr>
      </w:pPr>
      <w:r>
        <w:rPr>
          <w:rFonts w:ascii="Times New Roman" w:cs="Times New Roman" w:eastAsia="Times New Roman" w:hAnsi="Times New Roman"/>
          <w:sz w:val="16"/>
          <w:szCs w:val="16"/>
          <w:color w:val="auto"/>
        </w:rPr>
        <w:t>February 7,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Tony J. VunCannon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20320</wp:posOffset>
            </wp:positionV>
            <wp:extent cx="33350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3335020" cy="8890"/>
                    </a:xfrm>
                    <a:prstGeom prst="rect">
                      <a:avLst/>
                    </a:prstGeom>
                    <a:noFill/>
                  </pic:spPr>
                </pic:pic>
              </a:graphicData>
            </a:graphic>
          </wp:anchor>
        </w:drawing>
      </w:r>
    </w:p>
    <w:p>
      <w:pPr>
        <w:spacing w:after="0" w:line="2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auto"/>
        </w:rPr>
        <w:t>Tony J. VunCannon</w:t>
      </w:r>
    </w:p>
    <w:p>
      <w:pPr>
        <w:spacing w:after="0" w:line="7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auto"/>
        </w:rPr>
        <w:t>Executive Vice President, CFO, and Treasurer</w:t>
      </w:r>
    </w:p>
    <w:p>
      <w:pPr>
        <w:sectPr>
          <w:pgSz w:w="11900" w:h="16838" w:orient="portrait"/>
          <w:cols w:equalWidth="0" w:num="1">
            <w:col w:w="11240"/>
          </w:cols>
          <w:pgMar w:left="320" w:top="893"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1350 CERTIFICATION</w:t>
      </w:r>
    </w:p>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Each of the undersigned hereby certifies in his capacity as an officer of HomeTrust Bancshares, Inc. (the "Company") that the Quarterly Report of the Company on Form 10-Q for the period ended December 31, 2022, fully complies with the requirements of Section 13(a) of the Securities and Exchange Act of 1934, as amended, and that the information contained in such report fairly presents, in all material respects, the financial condition and results of operations of the Company as of the dates and periods presented in the financial statements included in such report.</w:t>
      </w:r>
    </w:p>
    <w:p>
      <w:pPr>
        <w:spacing w:after="0" w:line="166" w:lineRule="exact"/>
        <w:rPr>
          <w:sz w:val="20"/>
          <w:szCs w:val="20"/>
          <w:color w:val="auto"/>
        </w:rPr>
      </w:pPr>
    </w:p>
    <w:p>
      <w:pPr>
        <w:ind w:left="20"/>
        <w:spacing w:after="0"/>
        <w:tabs>
          <w:tab w:leader="none" w:pos="4320" w:val="left"/>
          <w:tab w:leader="none" w:pos="5440" w:val="left"/>
        </w:tabs>
        <w:rPr>
          <w:sz w:val="20"/>
          <w:szCs w:val="20"/>
          <w:color w:val="auto"/>
        </w:rPr>
      </w:pPr>
      <w:r>
        <w:rPr>
          <w:rFonts w:ascii="Times New Roman" w:cs="Times New Roman" w:eastAsia="Times New Roman" w:hAnsi="Times New Roman"/>
          <w:sz w:val="16"/>
          <w:szCs w:val="16"/>
          <w:color w:val="auto"/>
        </w:rPr>
        <w:t>February 7,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 Hunter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20320</wp:posOffset>
            </wp:positionV>
            <wp:extent cx="36690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2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C. Hunter Westbrook</w:t>
      </w:r>
    </w:p>
    <w:p>
      <w:pPr>
        <w:spacing w:after="0" w:line="7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4320" w:val="left"/>
          <w:tab w:leader="none" w:pos="5440" w:val="left"/>
        </w:tabs>
        <w:rPr>
          <w:sz w:val="20"/>
          <w:szCs w:val="20"/>
          <w:color w:val="auto"/>
        </w:rPr>
      </w:pPr>
      <w:r>
        <w:rPr>
          <w:rFonts w:ascii="Times New Roman" w:cs="Times New Roman" w:eastAsia="Times New Roman" w:hAnsi="Times New Roman"/>
          <w:sz w:val="16"/>
          <w:szCs w:val="16"/>
          <w:color w:val="auto"/>
        </w:rPr>
        <w:t>February 7,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Tony J. VunCannon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20320</wp:posOffset>
            </wp:positionV>
            <wp:extent cx="36690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2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Tony J. VunCannon</w:t>
      </w:r>
    </w:p>
    <w:p>
      <w:pPr>
        <w:spacing w:after="0" w:line="7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Executive Vice President, CFO, and Treasurer</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1."/>
      <w:numFmt w:val="decimal"/>
      <w:start w:val="5"/>
    </w:lvl>
  </w:abstractNum>
  <w:abstractNum w:abstractNumId="5">
    <w:nsid w:val="519B500D"/>
    <w:multiLevelType w:val="hybridMultilevel"/>
    <w:lvl w:ilvl="0">
      <w:lvlJc w:val="left"/>
      <w:lvlText w:val="%1."/>
      <w:numFmt w:val="decimal"/>
      <w:start w:val="6"/>
    </w:lvl>
  </w:abstractNum>
  <w:abstractNum w:abstractNumId="6">
    <w:nsid w:val="431BD7B7"/>
    <w:multiLevelType w:val="hybridMultilevel"/>
    <w:lvl w:ilvl="0">
      <w:lvlJc w:val="left"/>
      <w:lvlText w:val="%1."/>
      <w:numFmt w:val="decimal"/>
      <w:start w:val="7"/>
    </w:lvl>
  </w:abstractNum>
  <w:abstractNum w:abstractNumId="7">
    <w:nsid w:val="3F2DBA31"/>
    <w:multiLevelType w:val="hybridMultilevel"/>
    <w:lvl w:ilvl="0">
      <w:lvlJc w:val="left"/>
      <w:lvlText w:val="%1."/>
      <w:numFmt w:val="decimal"/>
      <w:start w:val="8"/>
    </w:lvl>
  </w:abstractNum>
  <w:abstractNum w:abstractNumId="8">
    <w:nsid w:val="7C83E458"/>
    <w:multiLevelType w:val="hybridMultilevel"/>
    <w:lvl w:ilvl="0">
      <w:lvlJc w:val="left"/>
      <w:lvlText w:val="%1."/>
      <w:numFmt w:val="decimal"/>
      <w:start w:val="9"/>
    </w:lvl>
  </w:abstractNum>
  <w:abstractNum w:abstractNumId="9">
    <w:nsid w:val="257130A3"/>
    <w:multiLevelType w:val="hybridMultilevel"/>
    <w:lvl w:ilvl="0">
      <w:lvlJc w:val="left"/>
      <w:lvlText w:val="%1."/>
      <w:numFmt w:val="decimal"/>
      <w:start w:val="10"/>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70"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55" Type="http://schemas.openxmlformats.org/officeDocument/2006/relationships/hyperlink" Target="http://www.sec.gov/Archives/edgar/data/1538263/000119312511355607/0001193125-11-355607-index.htm" TargetMode="External"/><Relationship Id="rId56" Type="http://schemas.openxmlformats.org/officeDocument/2006/relationships/hyperlink" Target="http://www.sec.gov/ix?doc=/Archives/edgar/data/0001538263/000153826321000038/htbi-20210331.htm" TargetMode="External"/><Relationship Id="rId57" Type="http://schemas.openxmlformats.org/officeDocument/2006/relationships/hyperlink" Target="http://www.sec.gov/ix?doc=/Archives/edgar/data/0001538263/000153826322000047/htbi-20220630.htm" TargetMode="External"/><Relationship Id="rId58" Type="http://schemas.openxmlformats.org/officeDocument/2006/relationships/hyperlink" Target="http://www.sec.gov/Archives/edgar/data/1538263/000153826318000044/htbi-20180911x8k.htm" TargetMode="External"/><Relationship Id="rId59" Type="http://schemas.openxmlformats.org/officeDocument/2006/relationships/hyperlink" Target="http://www.sec.gov/Archives/edgar/data/1538263/000153826318000049/htbi-20180925x8k.htm" TargetMode="External"/><Relationship Id="rId60" Type="http://schemas.openxmlformats.org/officeDocument/2006/relationships/hyperlink" Target="http://www.sec.gov/ix?doc=/Archives/edgar/data/0001538263/000153826320000039/htbi-20201027.htm" TargetMode="External"/><Relationship Id="rId61" Type="http://schemas.openxmlformats.org/officeDocument/2006/relationships/hyperlink" Target="http://www.sec.gov/ix?doc=/Archives/edgar/data/0001538263/000153826321000053/htbi-20210726.htm" TargetMode="External"/><Relationship Id="rId62" Type="http://schemas.openxmlformats.org/officeDocument/2006/relationships/hyperlink" Target="http://www.sec.gov/ix?doc=/Archives/edgar/data/0001538263/000153826322000024/htbi-20220523.htm" TargetMode="External"/><Relationship Id="rId63" Type="http://schemas.openxmlformats.org/officeDocument/2006/relationships/hyperlink" Target="http://www.sec.gov/ix?doc=/Archives/edgar/data/0001538263/000153826322000021/htbi-20220331.htm" TargetMode="External"/><Relationship Id="rId64" Type="http://schemas.openxmlformats.org/officeDocument/2006/relationships/hyperlink" Target="http://www.sec.gov/ix?doc=/Archives/edgar/data/0001538263/000153826322000009/htbi-20220211.htm" TargetMode="External"/><Relationship Id="rId65" Type="http://schemas.openxmlformats.org/officeDocument/2006/relationships/hyperlink" Target="http://www.sec.gov/Archives/edgar/data/1538263/000119312512107294/0001193125-12-107294-index.htm" TargetMode="External"/><Relationship Id="rId66" Type="http://schemas.openxmlformats.org/officeDocument/2006/relationships/hyperlink" Target="http://www.sec.gov/Archives/edgar/data/1538263/000153826322000058/0001538263-22-000058-index.htm" TargetMode="External"/><Relationship Id="rId67" Type="http://schemas.openxmlformats.org/officeDocument/2006/relationships/hyperlink" Target="http://www.sec.gov/Archives/edgar/data/1538263/000092708912000332/htbi-def14a2012.htm" TargetMode="External"/><Relationship Id="rId68" Type="http://schemas.openxmlformats.org/officeDocument/2006/relationships/hyperlink" Target="http://www.sec.gov/Archives/edgar/data/1538263/000110465922104918/tm2226697d1_def14a.htm" TargetMode="External"/><Relationship Id="rId69" Type="http://schemas.openxmlformats.org/officeDocument/2006/relationships/hyperlink" Target="http://www.sec.gov/Archives/edgar/data/1538263/000092708913000038/0000927089-13-000038-index.htm" TargetMode="External"/><Relationship Id="rId71" Type="http://schemas.openxmlformats.org/officeDocument/2006/relationships/hyperlink" Target="http://www.sec.gov/Archives/edgar/data/1538263/000092708914000374/0000927089-14-000374-index.htm" TargetMode="External"/><Relationship Id="rId72" Type="http://schemas.openxmlformats.org/officeDocument/2006/relationships/hyperlink" Target="http://www.sec.gov/Archives/edgar/data/1538263/000153826319000024/a2019-03x31xhtbix10q.htm" TargetMode="External"/><Relationship Id="rId73" Type="http://schemas.openxmlformats.org/officeDocument/2006/relationships/hyperlink" Target="http://www.sec.gov/Archives/edgar/data/1538263/000153826318000047/htbi-2018x06x30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2023-02-07T07:47:35Z</dcterms:created>
  <dcterms:modified xsi:type="dcterms:W3CDTF">2023-02-07T07:47:35Z</dcterms:modified>
</cp:coreProperties>
</file>