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69" w:lineRule="exact"/>
        <w:rPr>
          <w:sz w:val="24"/>
          <w:szCs w:val="24"/>
          <w:color w:val="auto"/>
        </w:rPr>
      </w:pPr>
    </w:p>
    <w:p>
      <w:pPr>
        <w:ind w:left="3940" w:right="3340" w:hanging="3932"/>
        <w:spacing w:after="0" w:line="548" w:lineRule="auto"/>
        <w:tabs>
          <w:tab w:leader="none" w:pos="64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QUARTERLY REPORT UNDER SECTION 13 OR 15(d) OF THE SECURITIES EXCHANGE ACT OF 1934 For the quarterly period ended </w:t>
      </w:r>
      <w:r>
        <w:rPr>
          <w:rFonts w:ascii="Times New Roman" w:cs="Times New Roman" w:eastAsia="Times New Roman" w:hAnsi="Times New Roman"/>
          <w:sz w:val="16"/>
          <w:szCs w:val="16"/>
          <w:b w:val="1"/>
          <w:bCs w:val="1"/>
          <w:u w:val="single" w:color="auto"/>
          <w:color w:val="auto"/>
        </w:rPr>
        <w:t>September 30, 2025</w:t>
      </w:r>
    </w:p>
    <w:p>
      <w:pPr>
        <w:spacing w:after="0" w:line="37" w:lineRule="exact"/>
        <w:rPr>
          <w:sz w:val="24"/>
          <w:szCs w:val="24"/>
          <w:color w:val="auto"/>
        </w:rPr>
      </w:pPr>
    </w:p>
    <w:p>
      <w:pPr>
        <w:ind w:left="3940" w:right="3320" w:hanging="3932"/>
        <w:spacing w:after="0" w:line="562" w:lineRule="auto"/>
        <w:tabs>
          <w:tab w:leader="none" w:pos="6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UNDER SECTION 13 OR 15(d) OF THE SECURITIES EXCHANGE ACT OF 1934 For the transition period from _______ to 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001-35593</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HOMETRUST BANCSHARES,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8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5400" w:type="dxa"/>
            <w:vAlign w:val="bottom"/>
          </w:tcPr>
          <w:p>
            <w:pPr>
              <w:jc w:val="right"/>
              <w:ind w:right="2019"/>
              <w:spacing w:after="0"/>
              <w:rPr>
                <w:sz w:val="20"/>
                <w:szCs w:val="20"/>
                <w:color w:val="auto"/>
              </w:rPr>
            </w:pPr>
            <w:r>
              <w:rPr>
                <w:rFonts w:ascii="Times New Roman" w:cs="Times New Roman" w:eastAsia="Times New Roman" w:hAnsi="Times New Roman"/>
                <w:sz w:val="16"/>
                <w:szCs w:val="16"/>
                <w:b w:val="1"/>
                <w:bCs w:val="1"/>
                <w:color w:val="auto"/>
              </w:rPr>
              <w:t>45-5055422</w:t>
            </w:r>
          </w:p>
        </w:tc>
      </w:tr>
      <w:tr>
        <w:trPr>
          <w:trHeight w:val="207"/>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of organization)</w:t>
            </w:r>
          </w:p>
        </w:tc>
        <w:tc>
          <w:tcPr>
            <w:tcW w:w="440" w:type="dxa"/>
            <w:vAlign w:val="bottom"/>
          </w:tcPr>
          <w:p>
            <w:pPr>
              <w:spacing w:after="0"/>
              <w:rPr>
                <w:sz w:val="17"/>
                <w:szCs w:val="17"/>
                <w:color w:val="auto"/>
              </w:rPr>
            </w:pPr>
          </w:p>
        </w:tc>
        <w:tc>
          <w:tcPr>
            <w:tcW w:w="540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10 Woodfin Street, Asheville, North Carolina 28801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(828) 259-3939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150" w:type="dxa"/>
        <w:tblCellMar>
          <w:top w:w="0" w:type="dxa"/>
          <w:left w:w="0" w:type="dxa"/>
          <w:bottom w:w="0" w:type="dxa"/>
          <w:right w:w="0" w:type="dxa"/>
        </w:tblCellMar>
      </w:tblPr>
      <w:tr>
        <w:trPr>
          <w:trHeight w:val="228"/>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HTB</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New York Stock Exchange LLC</w:t>
            </w:r>
          </w:p>
        </w:tc>
      </w:tr>
    </w:tbl>
    <w:p>
      <w:pPr>
        <w:spacing w:after="0" w:line="310"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and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w:t>
            </w:r>
          </w:p>
        </w:tc>
        <w:tc>
          <w:tcPr>
            <w:tcW w:w="32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complying with any new or revised financial accounting standards provided pursuant to Section 13(a) of the Exchange Act.</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17,444,032 shares of common stock, par value of $0.01 per share, issued and outstanding as of November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HOMETRUST BANCSHARES,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9"/>
        </w:trPr>
        <w:tc>
          <w:tcPr>
            <w:tcW w:w="1040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04"/>
        </w:trPr>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768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Balance Sheets at September 30, 2025 (Unaudited) and December 31, 2024</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Income (Unaudited) for the Three and Nine Months Ended September 30, 2025 and 2024</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4</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for the Three and Nine Months Ended September 30, 2025 and 2024</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5</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(Unaudited) for the Three and Nine Months Ended September 30, 2025 and 2024</w:t>
            </w:r>
          </w:p>
        </w:tc>
        <w:tc>
          <w:tcPr>
            <w:tcW w:w="12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6</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for the Nine Months Ended September 30, 2025 and 2024</w:t>
            </w:r>
          </w:p>
        </w:tc>
        <w:tc>
          <w:tcPr>
            <w:tcW w:w="20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160" w:type="dxa"/>
            <w:vAlign w:val="bottom"/>
            <w:gridSpan w:val="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00" w:type="dxa"/>
            <w:vAlign w:val="bottom"/>
          </w:tcPr>
          <w:p>
            <w:pPr>
              <w:spacing w:after="0"/>
              <w:rPr>
                <w:sz w:val="24"/>
                <w:szCs w:val="24"/>
                <w:color w:val="auto"/>
              </w:rPr>
            </w:pPr>
          </w:p>
        </w:tc>
        <w:tc>
          <w:tcPr>
            <w:tcW w:w="3580" w:type="dxa"/>
            <w:vAlign w:val="bottom"/>
            <w:gridSpan w:val="5"/>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45</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3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480" w:type="dxa"/>
            <w:vAlign w:val="bottom"/>
            <w:gridSpan w:val="6"/>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520"/>
        </w:trPr>
        <w:tc>
          <w:tcPr>
            <w:tcW w:w="2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794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8180" w:type="dxa"/>
            <w:vAlign w:val="bottom"/>
            <w:gridSpan w:val="13"/>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180" w:type="dxa"/>
            <w:vAlign w:val="bottom"/>
            <w:gridSpan w:val="13"/>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5480" w:type="dxa"/>
            <w:vAlign w:val="bottom"/>
            <w:gridSpan w:val="6"/>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5"/>
            <w:shd w:val="clear" w:color="auto" w:fill="0000FF"/>
          </w:tcPr>
          <w:p>
            <w:pPr>
              <w:spacing w:after="0" w:line="20" w:lineRule="exact"/>
              <w:rPr>
                <w:sz w:val="1"/>
                <w:szCs w:val="1"/>
                <w:color w:val="auto"/>
              </w:rPr>
            </w:pPr>
          </w:p>
        </w:tc>
        <w:tc>
          <w:tcPr>
            <w:tcW w:w="7280" w:type="dxa"/>
            <w:vAlign w:val="bottom"/>
            <w:gridSpan w:val="8"/>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20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280" w:type="dxa"/>
            <w:vAlign w:val="bottom"/>
            <w:gridSpan w:val="8"/>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7"/>
              </w:rPr>
              <w:t>Other Information</w:t>
            </w:r>
          </w:p>
        </w:tc>
        <w:tc>
          <w:tcPr>
            <w:tcW w:w="400" w:type="dxa"/>
            <w:vAlign w:val="bottom"/>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180" w:type="dxa"/>
            <w:vAlign w:val="bottom"/>
            <w:gridSpan w:val="1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24"/>
                <w:szCs w:val="24"/>
                <w:color w:val="auto"/>
              </w:rPr>
            </w:pPr>
          </w:p>
        </w:tc>
        <w:tc>
          <w:tcPr>
            <w:tcW w:w="8180" w:type="dxa"/>
            <w:vAlign w:val="bottom"/>
            <w:gridSpan w:val="13"/>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Glossary of Defined Terms</w:t>
      </w:r>
    </w:p>
    <w:p>
      <w:pPr>
        <w:spacing w:after="0" w:line="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terms may be used throughout this Form 10-Q, including the Notes to Consolidated Financial Statements in Item 1 and Management's Discussion and Analysis of Financial Condition and Results of Operations in Item 2 of this Form 10-Q.</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w:t>
            </w:r>
          </w:p>
        </w:tc>
        <w:tc>
          <w:tcPr>
            <w:tcW w:w="10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AFS</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Owned Life Insurance</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CD</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Deposit</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 Dependent Asset</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CECL</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Expected Credit Losses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Equity Tier 1</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ECL</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Expected Credit Losses</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ESOP</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Ownership Plan</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FDIC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Reserve</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Board of Governors of the Federal Reserve System</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FHLB or FHLB of Atlanta</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Federal Home Loan Bank of Atlanta</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FRB</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Reserve Bank of Richmond</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GSE</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Government-Sponsored Enterprises</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Home Equity Line of Credit</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IRLC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Security</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NCCOB</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North Carolina Office of the Commissioner of Banks</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PCD</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Purchased Financial Assets with Credit Deterioration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Quantum</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Quantum Capital Corp. and its wholly owned subsidiary, Quantum National Bank</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Return on Assets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ROE</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Return on Equity</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RSU</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Small Business Administration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SBIC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Small Business Investment Companies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Secured Overnight Financing Rate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To-be-announced</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GAAP</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62"/>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9"/>
                <w:szCs w:val="19"/>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260,441</w:t>
            </w:r>
          </w:p>
        </w:tc>
        <w:tc>
          <w:tcPr>
            <w:tcW w:w="0" w:type="dxa"/>
            <w:vAlign w:val="bottom"/>
          </w:tcPr>
          <w:p>
            <w:pPr>
              <w:spacing w:after="0"/>
              <w:rPr>
                <w:sz w:val="1"/>
                <w:szCs w:val="1"/>
                <w:color w:val="auto"/>
              </w:rPr>
            </w:pP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28,538</w:t>
            </w:r>
          </w:p>
        </w:tc>
        <w:tc>
          <w:tcPr>
            <w:tcW w:w="0" w:type="dxa"/>
            <w:vAlign w:val="bottom"/>
          </w:tcPr>
          <w:p>
            <w:pPr>
              <w:spacing w:after="0"/>
              <w:rPr>
                <w:sz w:val="1"/>
                <w:szCs w:val="1"/>
                <w:color w:val="auto"/>
              </w:rPr>
            </w:pPr>
          </w:p>
        </w:tc>
      </w:tr>
      <w:tr>
        <w:trPr>
          <w:trHeight w:val="162"/>
        </w:trPr>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Debt securities available for sale, at fair value (amortized cost of $145,261 and $154,199 at September 30, 2025</w:t>
            </w: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145,682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0" w:type="dxa"/>
            <w:vAlign w:val="bottom"/>
          </w:tcPr>
          <w:p>
            <w:pPr>
              <w:spacing w:after="0"/>
              <w:rPr>
                <w:sz w:val="1"/>
                <w:szCs w:val="1"/>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December 31, 2024, respectively)</w:t>
            </w: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FHLB and FRB stock</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SBIC investments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202,018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 of deferred loan fees and costs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3,643,619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3,648,299</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(45,285)</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net</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3,600,533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3,603,014</w:t>
            </w:r>
          </w:p>
        </w:tc>
        <w:tc>
          <w:tcPr>
            <w:tcW w:w="0" w:type="dxa"/>
            <w:vAlign w:val="bottom"/>
          </w:tcPr>
          <w:p>
            <w:pPr>
              <w:spacing w:after="0"/>
              <w:rPr>
                <w:sz w:val="1"/>
                <w:szCs w:val="1"/>
                <w:color w:val="auto"/>
              </w:rPr>
            </w:pPr>
          </w:p>
        </w:tc>
      </w:tr>
      <w:tr>
        <w:trPr>
          <w:trHeight w:val="20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Premises and equipment held for sale, at the lower of cost or fair value</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69,872</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BOLI</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Core deposit intangibles,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66,606</w:t>
            </w:r>
          </w:p>
        </w:tc>
        <w:tc>
          <w:tcPr>
            <w:tcW w:w="0" w:type="dxa"/>
            <w:vAlign w:val="bottom"/>
          </w:tcPr>
          <w:p>
            <w:pPr>
              <w:spacing w:after="0"/>
              <w:rPr>
                <w:sz w:val="1"/>
                <w:szCs w:val="1"/>
                <w:color w:val="auto"/>
              </w:rPr>
            </w:pPr>
          </w:p>
        </w:tc>
      </w:tr>
      <w:tr>
        <w:trPr>
          <w:trHeight w:val="212"/>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4,592,137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4,595,430</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3,779,203</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66,349</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3,996,304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4,043,672</w:t>
            </w:r>
          </w:p>
        </w:tc>
        <w:tc>
          <w:tcPr>
            <w:tcW w:w="0" w:type="dxa"/>
            <w:vAlign w:val="bottom"/>
          </w:tcPr>
          <w:p>
            <w:pPr>
              <w:spacing w:after="0"/>
              <w:rPr>
                <w:sz w:val="1"/>
                <w:szCs w:val="1"/>
                <w:color w:val="auto"/>
              </w:rPr>
            </w:pPr>
          </w:p>
        </w:tc>
      </w:tr>
      <w:tr>
        <w:trPr>
          <w:trHeight w:val="19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 See Note 13</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or outstanding</w:t>
            </w:r>
          </w:p>
        </w:tc>
        <w:tc>
          <w:tcPr>
            <w:tcW w:w="1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Common stock, $0.01 par value, 60,000,000 shares authorized, 17,520,425 shares issued and outstanding at</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2025; 17,527,709 at December 31, 2024</w:t>
            </w: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176,693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380,541</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Unearned ESOP shares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595,833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551,758</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4,595,430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Consolidated Statements of Income</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tcPr>
          <w:p>
            <w:pPr>
              <w:spacing w:after="0"/>
              <w:rPr>
                <w:sz w:val="19"/>
                <w:szCs w:val="19"/>
                <w:color w:val="auto"/>
              </w:rPr>
            </w:pP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9"/>
                <w:szCs w:val="19"/>
                <w:color w:val="auto"/>
              </w:rPr>
            </w:pPr>
          </w:p>
        </w:tc>
        <w:tc>
          <w:tcPr>
            <w:tcW w:w="25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180,802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185,418</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investments and interest-bearing deposits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192,671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195,418</w:t>
            </w:r>
          </w:p>
        </w:tc>
        <w:tc>
          <w:tcPr>
            <w:tcW w:w="0" w:type="dxa"/>
            <w:vAlign w:val="bottom"/>
          </w:tcPr>
          <w:p>
            <w:pPr>
              <w:spacing w:after="0"/>
              <w:rPr>
                <w:sz w:val="1"/>
                <w:szCs w:val="1"/>
                <w:color w:val="auto"/>
              </w:rPr>
            </w:pPr>
          </w:p>
        </w:tc>
      </w:tr>
      <w:tr>
        <w:trPr>
          <w:trHeight w:val="26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64,864</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69,119</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126,299</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127,667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117,899</w:t>
            </w:r>
          </w:p>
        </w:tc>
        <w:tc>
          <w:tcPr>
            <w:tcW w:w="0" w:type="dxa"/>
            <w:vAlign w:val="bottom"/>
          </w:tcPr>
          <w:p>
            <w:pPr>
              <w:spacing w:after="0"/>
              <w:rPr>
                <w:sz w:val="1"/>
                <w:szCs w:val="1"/>
                <w:color w:val="auto"/>
              </w:rPr>
            </w:pPr>
          </w:p>
        </w:tc>
      </w:tr>
      <w:tr>
        <w:trPr>
          <w:trHeight w:val="26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branches</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25,206</w:t>
            </w:r>
          </w:p>
        </w:tc>
        <w:tc>
          <w:tcPr>
            <w:tcW w:w="0" w:type="dxa"/>
            <w:vAlign w:val="bottom"/>
          </w:tcPr>
          <w:p>
            <w:pPr>
              <w:spacing w:after="0"/>
              <w:rPr>
                <w:sz w:val="1"/>
                <w:szCs w:val="1"/>
                <w:color w:val="auto"/>
              </w:rPr>
            </w:pPr>
          </w:p>
        </w:tc>
      </w:tr>
      <w:tr>
        <w:trPr>
          <w:trHeight w:val="26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50,666</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depreciation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93,482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91,488</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51,617</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11,020</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67"/>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16,998,549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16,931,793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17,005,206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16,891,619</w:t>
            </w:r>
          </w:p>
        </w:tc>
        <w:tc>
          <w:tcPr>
            <w:tcW w:w="0" w:type="dxa"/>
            <w:vAlign w:val="bottom"/>
          </w:tcPr>
          <w:p>
            <w:pPr>
              <w:spacing w:after="0"/>
              <w:rPr>
                <w:sz w:val="1"/>
                <w:szCs w:val="1"/>
                <w:color w:val="auto"/>
              </w:rPr>
            </w:pPr>
          </w:p>
        </w:tc>
      </w:tr>
      <w:tr>
        <w:trPr>
          <w:trHeight w:val="210"/>
        </w:trPr>
        <w:tc>
          <w:tcPr>
            <w:tcW w:w="5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17,130,030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17,027,824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17,117,605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16,938,328</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r>
      <w:tr>
        <w:trPr>
          <w:trHeight w:val="219"/>
        </w:trPr>
        <w:tc>
          <w:tcPr>
            <w:tcW w:w="5780" w:type="dxa"/>
            <w:vAlign w:val="bottom"/>
          </w:tcPr>
          <w:p>
            <w:pPr>
              <w:spacing w:after="0"/>
              <w:rPr>
                <w:sz w:val="19"/>
                <w:szCs w:val="19"/>
                <w:color w:val="auto"/>
              </w:rPr>
            </w:pP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9"/>
                <w:szCs w:val="19"/>
                <w:color w:val="auto"/>
              </w:rPr>
            </w:pPr>
          </w:p>
        </w:tc>
        <w:tc>
          <w:tcPr>
            <w:tcW w:w="25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0"/>
        </w:trPr>
        <w:tc>
          <w:tcPr>
            <w:tcW w:w="57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40,597</w:t>
            </w:r>
          </w:p>
        </w:tc>
      </w:tr>
      <w:tr>
        <w:trPr>
          <w:trHeight w:val="26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3"/>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holding gains on debt securities available for sale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13"/>
        </w:trPr>
        <w:tc>
          <w:tcPr>
            <w:tcW w:w="5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Gains arising during the period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r>
      <w:tr>
        <w:trPr>
          <w:trHeight w:val="21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7"/>
              </w:rPr>
              <w:t>(179)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7"/>
              </w:rPr>
              <w:t>(599)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07"/>
        </w:trPr>
        <w:tc>
          <w:tcPr>
            <w:tcW w:w="5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42,198</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ind w:left="64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10"/>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ESOP</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1"/>
                <w:szCs w:val="11"/>
                <w:color w:val="auto"/>
              </w:rPr>
            </w:pPr>
          </w:p>
        </w:tc>
        <w:tc>
          <w:tcPr>
            <w:tcW w:w="1120" w:type="dxa"/>
            <w:vAlign w:val="bottom"/>
          </w:tcPr>
          <w:p>
            <w:pPr>
              <w:jc w:val="center"/>
              <w:ind w:right="59"/>
              <w:spacing w:after="0" w:line="13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9"/>
                <w:szCs w:val="19"/>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17,492,143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579,274</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$0.12/common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issued for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35"/>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17,520,425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595,833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10"/>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In</w:t>
            </w: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17,437,326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172,907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523,628</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$0.11/common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17,514,922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175,495</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368,383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540,004</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ind w:left="64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10"/>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ESOP</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1"/>
                <w:szCs w:val="11"/>
                <w:color w:val="auto"/>
              </w:rPr>
            </w:pPr>
          </w:p>
        </w:tc>
        <w:tc>
          <w:tcPr>
            <w:tcW w:w="1120" w:type="dxa"/>
            <w:vAlign w:val="bottom"/>
          </w:tcPr>
          <w:p>
            <w:pPr>
              <w:jc w:val="center"/>
              <w:ind w:right="59"/>
              <w:spacing w:after="0" w:line="13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9"/>
                <w:szCs w:val="19"/>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17,527,709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176,693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551,758</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48,240</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$0.36/common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issued for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0" w:type="dxa"/>
            <w:vAlign w:val="bottom"/>
          </w:tcPr>
          <w:p>
            <w:pPr>
              <w:spacing w:after="0"/>
              <w:rPr>
                <w:sz w:val="1"/>
                <w:szCs w:val="1"/>
                <w:color w:val="auto"/>
              </w:rPr>
            </w:pPr>
          </w:p>
        </w:tc>
      </w:tr>
      <w:tr>
        <w:trPr>
          <w:trHeight w:val="234"/>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17,520,425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595,833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10"/>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In</w:t>
            </w: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17,387,069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172,366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499,893</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40,597</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$0.33/common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issued for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0" w:type="dxa"/>
            <w:vAlign w:val="bottom"/>
          </w:tcPr>
          <w:p>
            <w:pPr>
              <w:spacing w:after="0"/>
              <w:rPr>
                <w:sz w:val="1"/>
                <w:szCs w:val="1"/>
                <w:color w:val="auto"/>
              </w:rPr>
            </w:pPr>
          </w:p>
        </w:tc>
      </w:tr>
      <w:tr>
        <w:trPr>
          <w:trHeight w:val="235"/>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17,514,922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540,004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8480" w:type="dxa"/>
            <w:vAlign w:val="bottom"/>
          </w:tcPr>
          <w:p>
            <w:pPr>
              <w:jc w:val="center"/>
              <w:ind w:left="249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8480" w:type="dxa"/>
            <w:vAlign w:val="bottom"/>
          </w:tcPr>
          <w:p>
            <w:pPr>
              <w:jc w:val="center"/>
              <w:ind w:left="2499"/>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8480" w:type="dxa"/>
            <w:vAlign w:val="bottom"/>
          </w:tcPr>
          <w:p>
            <w:pPr>
              <w:jc w:val="center"/>
              <w:ind w:left="2479"/>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8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19"/>
                <w:szCs w:val="19"/>
                <w:color w:val="auto"/>
              </w:rPr>
            </w:pPr>
          </w:p>
        </w:tc>
      </w:tr>
      <w:tr>
        <w:trPr>
          <w:trHeight w:val="219"/>
        </w:trPr>
        <w:tc>
          <w:tcPr>
            <w:tcW w:w="8480" w:type="dxa"/>
            <w:vAlign w:val="bottom"/>
          </w:tcPr>
          <w:p>
            <w:pPr>
              <w:spacing w:after="0"/>
              <w:rPr>
                <w:sz w:val="19"/>
                <w:szCs w:val="19"/>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48,240</w:t>
            </w:r>
          </w:p>
        </w:tc>
        <w:tc>
          <w:tcPr>
            <w:tcW w:w="10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40,597</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premises and equipment and equipment for operating leases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accretion of purchase accounting adjustments on loans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amortization and accretion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SBIC investments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branches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repossessed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previously leased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BOLI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Origination of loans held for sale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(201,485)</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sales of loans held for sale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198,199</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deferred loan origination fees (costs),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(increase) in accrued interest receivable and other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(8,241)</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13"/>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Decrease in accrued interest payable and other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w:t>
            </w:r>
          </w:p>
        </w:tc>
      </w:tr>
      <w:tr>
        <w:trPr>
          <w:trHeight w:val="212"/>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40,667</w:t>
            </w:r>
          </w:p>
        </w:tc>
      </w:tr>
      <w:tr>
        <w:trPr>
          <w:trHeight w:val="201"/>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5"/>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debt securities available for sale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(33,258)</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maturities, calls and paydowns of debt securities available for sale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22,598</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CDs in other banks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maturities of CDs in other banks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9,357</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(purchases) redemption of FHLB and FRB stock</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capital contributions in SBIC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decrease (increase) in loans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(50,301)</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BOLI</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redemption of BOLI policies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44,334</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Death benefit proceeds from BOLI policies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equipment for operating leases - lessor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(13,703)</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equipment for operating leases - lessor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premises and equipment and assets held for sale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repossessed assets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33,195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(16,194)</w:t>
            </w:r>
          </w:p>
        </w:tc>
      </w:tr>
    </w:tbl>
    <w:p>
      <w:pPr>
        <w:spacing w:after="0" w:line="200" w:lineRule="exact"/>
        <w:rPr>
          <w:sz w:val="20"/>
          <w:szCs w:val="20"/>
          <w:color w:val="auto"/>
        </w:rPr>
      </w:pPr>
    </w:p>
    <w:p>
      <w:pPr>
        <w:sectPr>
          <w:pgSz w:w="11900" w:h="16838" w:orient="portrait"/>
          <w:cols w:equalWidth="0" w:num="1">
            <w:col w:w="11060"/>
          </w:cols>
          <w:pgMar w:left="420" w:top="89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895" w:right="4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20" w:type="dxa"/>
            <w:vAlign w:val="bottom"/>
          </w:tcPr>
          <w:p>
            <w:pPr>
              <w:spacing w:after="0"/>
              <w:rPr>
                <w:sz w:val="18"/>
                <w:szCs w:val="18"/>
                <w:color w:val="auto"/>
              </w:rPr>
            </w:pPr>
          </w:p>
        </w:tc>
      </w:tr>
      <w:tr>
        <w:trPr>
          <w:trHeight w:val="219"/>
        </w:trPr>
        <w:tc>
          <w:tcPr>
            <w:tcW w:w="8660" w:type="dxa"/>
            <w:vAlign w:val="bottom"/>
          </w:tcPr>
          <w:p>
            <w:pPr>
              <w:spacing w:after="0"/>
              <w:rPr>
                <w:sz w:val="19"/>
                <w:szCs w:val="19"/>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Deposits assumed by third parties through branch sales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100,215</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decrease in revolving line of credit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(decrease) in short-term borrowings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(161,000)</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r>
      <w:tr>
        <w:trPr>
          <w:trHeight w:val="207"/>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(48,188)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(78,136)</w:t>
            </w: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(53,663)</w:t>
            </w:r>
          </w:p>
        </w:tc>
      </w:tr>
      <w:tr>
        <w:trPr>
          <w:trHeight w:val="214"/>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347,140</w:t>
            </w:r>
          </w:p>
        </w:tc>
      </w:tr>
      <w:tr>
        <w:trPr>
          <w:trHeight w:val="233"/>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315,830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293,477</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8"/>
        </w:trPr>
        <w:tc>
          <w:tcPr>
            <w:tcW w:w="8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66,001</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13,664</w:t>
            </w:r>
          </w:p>
        </w:tc>
      </w:tr>
      <w:tr>
        <w:trPr>
          <w:trHeight w:val="253"/>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gain in value of debt securities available for sale, net of income taxes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Transfers of loans held for sale to loans held for investment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17,040</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Transfers of loans held for investment to repossessed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Transfer of premises and equipment to assets held for sale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ROU asset and lease liabilities for operating lease accounting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Summary of Significant Accounting Policies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and Morristown), Southwest Virginia (the Roanoke Valley) and Georgia (Greater Atlanta). The Company operates under a single set of corporate policies and procedures and its operations are considered to be aggregated in one reportable operating segment for financial reporting purposes.</w:t>
      </w:r>
    </w:p>
    <w:p>
      <w:pPr>
        <w:spacing w:after="0" w:line="4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December 31, 2024 ("2024 Form 10-K") filed with the SEC on March 13, 2025. The results of operations for the nine months ended September 30, 2025 are not necessarily indicative of results that may be expected for the fiscal year ending December 31, 2025, the period which will be covered on a Report on Form 10-K.</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the policy, is critical to an understanding of the Company's financial statements. This policy and the related judgments, estimates and assumptions are described in greater detail in the notes to the Consolidated Financial Statements and Management's Discussion and Analysis of Financial Condition and Results of Operations (Critical Accounting Policies and Estimates) in the 2024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spacing w:after="0" w:line="4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Reclassifications and corrections. </w:t>
      </w:r>
      <w:r>
        <w:rPr>
          <w:rFonts w:ascii="Times New Roman" w:cs="Times New Roman" w:eastAsia="Times New Roman" w:hAnsi="Times New Roman"/>
          <w:sz w:val="16"/>
          <w:szCs w:val="16"/>
          <w:color w:val="auto"/>
        </w:rPr>
        <w:t>To maintain consistency and comparability, certain amounts from prior periods have been reclassified to conform to current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presentation with no effect on net income or stockholders’ equity as previously reported.</w:t>
      </w:r>
    </w:p>
    <w:p>
      <w:pPr>
        <w:spacing w:after="0" w:line="25"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Recent Accounting Pronouncements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Newly Issued but Not Yet Effective Accounting Standards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ASU 2023-09, "Income Taxes (Topic 740): Improvements to Income Tax Disclosures." </w:t>
      </w:r>
      <w:r>
        <w:rPr>
          <w:rFonts w:ascii="Times New Roman" w:cs="Times New Roman" w:eastAsia="Times New Roman" w:hAnsi="Times New Roman"/>
          <w:sz w:val="16"/>
          <w:szCs w:val="16"/>
          <w:color w:val="auto"/>
        </w:rPr>
        <w:t>In December 2023, the FASB issued ASU 2023-09 which requires entities to disclose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more detailed information in the reconciliation of their statutory tax rate to their effective tax rate. The ASU also requires entities to disclose more detailed information about income taxes paid, including by jurisdiction. This ASU is effective for public business entities for annual reporting periods beginning after December 15, 2024. The Company will update its income tax disclosures upon adoption of the ASU.</w:t>
      </w:r>
    </w:p>
    <w:p>
      <w:pPr>
        <w:spacing w:after="0" w:line="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ASU 2024-03, "Income Statement—Reporting Comprehensive Income—Expense Disaggregation Disclosures (Subtopic 220-40): Disaggregation of Income Statement Expenses." </w:t>
      </w:r>
      <w:r>
        <w:rPr>
          <w:rFonts w:ascii="Times New Roman" w:cs="Times New Roman" w:eastAsia="Times New Roman" w:hAnsi="Times New Roman"/>
          <w:sz w:val="16"/>
          <w:szCs w:val="16"/>
          <w:color w:val="auto"/>
        </w:rPr>
        <w:t>In November 2024, the FASB issued ASU 2024-03 which requires entities to disclose more detailed information about certain costs and expenses related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purchases of inventory, employee compensation, depreciation and intangible asset amortization among other items. This ASU is effective for public business entities for annual reporting periods beginning after December 15, 2026 and interim periods beginning after December 15, 2027. The adoption of the provisions of ASU 2024-03 is not expected to have an impact on the Company's financial results, but will impact disclosures.</w:t>
      </w:r>
    </w:p>
    <w:p>
      <w:pPr>
        <w:spacing w:after="0" w:line="1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Branch Sales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May 23, 2025, the Company completed the sale of the Bank's two branches located in Knoxville, Tennessee, to a third party financial institution. Through the transaction, the Company sold $34.3 million of deposits along with $6.3 million in branch premises and equipment, while HomeTrust retained all loans associated with the branches. The Company recorded a $1.4 million pre-tax gain associated with the transaction.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Debt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securities available for sale consist of the following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139,245</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0" w:type="dxa"/>
            <w:vAlign w:val="bottom"/>
          </w:tcPr>
          <w:p>
            <w:pPr>
              <w:spacing w:after="0"/>
              <w:rPr>
                <w:sz w:val="1"/>
                <w:szCs w:val="1"/>
                <w:color w:val="auto"/>
              </w:rPr>
            </w:pPr>
          </w:p>
        </w:tc>
      </w:tr>
      <w:tr>
        <w:trPr>
          <w:trHeight w:val="207"/>
        </w:trPr>
        <w:tc>
          <w:tcPr>
            <w:tcW w:w="56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145,261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145,682</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144,147</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0" w:type="dxa"/>
            <w:vAlign w:val="bottom"/>
          </w:tcPr>
          <w:p>
            <w:pPr>
              <w:spacing w:after="0"/>
              <w:rPr>
                <w:sz w:val="1"/>
                <w:szCs w:val="1"/>
                <w:color w:val="auto"/>
              </w:rPr>
            </w:pPr>
          </w:p>
        </w:tc>
      </w:tr>
      <w:tr>
        <w:trPr>
          <w:trHeight w:val="207"/>
        </w:trPr>
        <w:tc>
          <w:tcPr>
            <w:tcW w:w="56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Debt securities available for sale by contractual maturity at September 30, 2025 and December 31, 2024 are shown below. MBS are not included in the maturity categories because the borrowers in the underlying pools may prepay without penalty; therefore, it is unlikely that the securities will pay at their stated maturity schedule.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59"/>
        </w:trPr>
        <w:tc>
          <w:tcPr>
            <w:tcW w:w="8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139,245</w:t>
            </w:r>
          </w:p>
        </w:tc>
      </w:tr>
      <w:tr>
        <w:trPr>
          <w:trHeight w:val="20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145,261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145,682</w:t>
            </w: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59"/>
        </w:trPr>
        <w:tc>
          <w:tcPr>
            <w:tcW w:w="8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144,147</w:t>
            </w:r>
          </w:p>
        </w:tc>
      </w:tr>
      <w:tr>
        <w:trPr>
          <w:trHeight w:val="20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154,199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152,011</w:t>
            </w: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had no sales of debt securities available for sale and no gross realized gains or losses were recognized during the nine months ended September 30, 2025 or 2024.</w:t>
      </w:r>
    </w:p>
    <w:p>
      <w:pPr>
        <w:spacing w:after="0" w:line="1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with amortized costs totaling $50,448 and $24,718 and market values of $51,591 and $24,358 at September 30, 2025 and December 31, 2024, respectively, were pledged as collateral to secure various public deposits and other borrowings.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gross unrealized losses and the fair value for debt securities available for sale aggregated by the length of time that individual securities have been in a continuous unrealized loss position as of September 30, 2025 and December 31, 2024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r>
      <w:tr>
        <w:trPr>
          <w:trHeight w:val="214"/>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1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w w:val="97"/>
              </w:rPr>
              <w:t>(24)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20" w:type="dxa"/>
            <w:vAlign w:val="bottom"/>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8"/>
                <w:szCs w:val="18"/>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0" w:type="dxa"/>
            <w:vAlign w:val="bottom"/>
          </w:tcPr>
          <w:p>
            <w:pPr>
              <w:spacing w:after="0"/>
              <w:rPr>
                <w:sz w:val="19"/>
                <w:szCs w:val="19"/>
                <w:color w:val="auto"/>
              </w:rPr>
            </w:pPr>
          </w:p>
        </w:tc>
      </w:tr>
      <w:tr>
        <w:trPr>
          <w:trHeight w:val="207"/>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w w:val="97"/>
              </w:rPr>
              <w:t>(24)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20" w:type="dxa"/>
            <w:vAlign w:val="bottom"/>
          </w:tcPr>
          <w:p>
            <w:pPr>
              <w:spacing w:after="0"/>
              <w:rPr>
                <w:sz w:val="17"/>
                <w:szCs w:val="17"/>
                <w:color w:val="auto"/>
              </w:rPr>
            </w:pPr>
          </w:p>
        </w:tc>
      </w:tr>
      <w:tr>
        <w:trPr>
          <w:trHeight w:val="23"/>
        </w:trPr>
        <w:tc>
          <w:tcPr>
            <w:tcW w:w="4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68"/>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1"/>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1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30,995</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gridSpan w:val="2"/>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(515)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(1,973)</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92,510</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(2,488)</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(532)</w:t>
            </w:r>
          </w:p>
        </w:tc>
      </w:tr>
      <w:tr>
        <w:trPr>
          <w:trHeight w:val="207"/>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tcPr>
          <w:p>
            <w:pPr>
              <w:jc w:val="center"/>
              <w:ind w:left="499"/>
              <w:spacing w:after="0"/>
              <w:rPr>
                <w:sz w:val="20"/>
                <w:szCs w:val="20"/>
                <w:color w:val="auto"/>
              </w:rPr>
            </w:pPr>
            <w:r>
              <w:rPr>
                <w:rFonts w:ascii="Times New Roman" w:cs="Times New Roman" w:eastAsia="Times New Roman" w:hAnsi="Times New Roman"/>
                <w:sz w:val="16"/>
                <w:szCs w:val="16"/>
                <w:color w:val="auto"/>
              </w:rPr>
              <w:t>(515)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68,629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(2,560)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99,624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(3,075)</w:t>
            </w:r>
          </w:p>
        </w:tc>
      </w:tr>
      <w:tr>
        <w:trPr>
          <w:trHeight w:val="23"/>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number of securities with unrealized losses at September 30, 2025 and December 31, 2024 were 124 and 168, respectively.</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September 30, 2025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2024 Form 10-K for further discussion.</w:t>
      </w:r>
    </w:p>
    <w:p>
      <w:pPr>
        <w:spacing w:after="0" w:line="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Management excludes the accrued interest receivable balance from the amortized cost basis in measuring ECLs on investment securities and does not record an ACL on accrued interest receivable. As of September 30, 2025 and December 31, 2024, the accrued interest receivable for debt securities available for sale was $515 and $606,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5.  Loans Held For Sale</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8"/>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Loans held for sale, at the lower of cost or fair value, consist of the following as of the dates indicated:</w:t>
            </w: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3"/>
        </w:trPr>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23"/>
                <w:szCs w:val="23"/>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3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3"/>
        </w:trPr>
        <w:tc>
          <w:tcPr>
            <w:tcW w:w="7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22,867</w:t>
            </w:r>
          </w:p>
        </w:tc>
      </w:tr>
      <w:tr>
        <w:trPr>
          <w:trHeight w:val="219"/>
        </w:trPr>
        <w:tc>
          <w:tcPr>
            <w:tcW w:w="7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152,841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178,743</w:t>
            </w:r>
          </w:p>
        </w:tc>
      </w:tr>
      <w:tr>
        <w:trPr>
          <w:trHeight w:val="207"/>
        </w:trPr>
        <w:tc>
          <w:tcPr>
            <w:tcW w:w="73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 loans held for sale, at the lower of cost or fair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189,047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202,018</w:t>
            </w:r>
          </w:p>
        </w:tc>
      </w:tr>
      <w:tr>
        <w:trPr>
          <w:trHeight w:val="23"/>
        </w:trPr>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carrying balance of loans held for sale, at fair value, was $7,907 and $4,144 at September 30, 2025 and December 31, 2024, respectively, while the amortized cost of these loans was $7,691 and $4,062, respectively, at the same dates.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right="7560" w:firstLine="8"/>
        <w:spacing w:after="0" w:line="256" w:lineRule="auto"/>
        <w:tabs>
          <w:tab w:leader="none" w:pos="283"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Loans and Allowance for Credit Losses on Loans </w:t>
      </w:r>
      <w:r>
        <w:rPr>
          <w:rFonts w:ascii="Times New Roman" w:cs="Times New Roman" w:eastAsia="Times New Roman" w:hAnsi="Times New Roman"/>
          <w:sz w:val="16"/>
          <w:szCs w:val="16"/>
          <w:color w:val="auto"/>
        </w:rPr>
        <w:t>Loans consist of the following at the dates indicated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7"/>
                <w:szCs w:val="17"/>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274,356</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545,490</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866,094</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120,425</w:t>
            </w: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1,786,407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1,806,365</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316,159</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406,400</w:t>
            </w: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165,984</w:t>
            </w: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904,444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888,543</w:t>
            </w: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8"/>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53,683</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630,391</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195,288</w:t>
            </w: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904,089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879,362</w:t>
            </w:r>
          </w:p>
        </w:tc>
      </w:tr>
      <w:tr>
        <w:trPr>
          <w:trHeight w:val="219"/>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74,029</w:t>
            </w: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net of deferred loan fees and costs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3,643,619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3,648,299</w:t>
            </w:r>
          </w:p>
        </w:tc>
      </w:tr>
      <w:tr>
        <w:trPr>
          <w:trHeight w:val="219"/>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(45,285)</w:t>
            </w:r>
          </w:p>
        </w:tc>
      </w:tr>
      <w:tr>
        <w:trPr>
          <w:trHeight w:val="20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Loans,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3,600,533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3,603,014</w:t>
            </w:r>
          </w:p>
        </w:tc>
      </w:tr>
      <w:tr>
        <w:trPr>
          <w:trHeight w:val="23"/>
        </w:trPr>
        <w:tc>
          <w:tcPr>
            <w:tcW w:w="7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At September 30, 2025 and December 31, 2024 accrued interest receivable of $16,284 and $17,569, respectively, was accounted for separately from the amortized cost basis.</w:t>
      </w:r>
    </w:p>
    <w:p>
      <w:pPr>
        <w:spacing w:after="0" w:line="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All qualifying one-to-four family loans, HELOCs, multifamily, commercial real estate loans and FHLB of Atlanta stock are pledged as collateral by a blanket pledge to secure outstanding FHLB advances.</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Loans are made to the Company's executive officers, directors and their associates during the ordinary course of business. No balance was outstanding on loans to these related parties as of either September 30, 2025 or December 31, 2024. In relation to these loans, unfunded commitments totaled approximately $3 at both September 30, 2025 and December 31, 2024, respectively.</w:t>
      </w:r>
    </w:p>
    <w:p>
      <w:pPr>
        <w:spacing w:after="0" w:line="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ind w:left="180"/>
        <w:spacing w:after="0"/>
        <w:rPr>
          <w:sz w:val="20"/>
          <w:szCs w:val="20"/>
          <w:color w:val="auto"/>
        </w:rPr>
      </w:pPr>
      <w:r>
        <w:rPr>
          <w:rFonts w:ascii="Times New Roman" w:cs="Times New Roman" w:eastAsia="Times New Roman" w:hAnsi="Times New Roman"/>
          <w:sz w:val="16"/>
          <w:szCs w:val="16"/>
          <w:u w:val="single" w:color="auto"/>
          <w:color w:val="auto"/>
        </w:rPr>
        <w:t>Pass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pass rated loan is not adversely classified because it does not display any of the characteristics for adverse classification.</w:t>
      </w:r>
    </w:p>
    <w:p>
      <w:pPr>
        <w:spacing w:after="0" w:line="48"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6"/>
          <w:szCs w:val="16"/>
          <w:u w:val="single" w:color="auto"/>
          <w:color w:val="auto"/>
        </w:rPr>
        <w:t>Special Mention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jc w:val="both"/>
        <w:ind w:left="180"/>
        <w:spacing w:after="0" w:line="270" w:lineRule="auto"/>
        <w:rPr>
          <w:sz w:val="20"/>
          <w:szCs w:val="20"/>
          <w:color w:val="auto"/>
        </w:rPr>
      </w:pPr>
      <w:r>
        <w:rPr>
          <w:rFonts w:ascii="Times New Roman" w:cs="Times New Roman" w:eastAsia="Times New Roman" w:hAnsi="Times New Roman"/>
          <w:sz w:val="16"/>
          <w:szCs w:val="16"/>
          <w:u w:val="single" w:color="auto"/>
          <w:color w:val="auto"/>
        </w:rPr>
        <w:t>Substandard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spacing w:after="0" w:line="1"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16"/>
          <w:szCs w:val="16"/>
          <w:u w:val="single" w:color="auto"/>
          <w:color w:val="auto"/>
        </w:rPr>
        <w:t>Doubtful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1" w:lineRule="exact"/>
        <w:rPr>
          <w:sz w:val="20"/>
          <w:szCs w:val="20"/>
          <w:color w:val="auto"/>
        </w:rPr>
      </w:pPr>
    </w:p>
    <w:p>
      <w:pPr>
        <w:jc w:val="both"/>
        <w:ind w:left="180"/>
        <w:spacing w:after="0" w:line="284" w:lineRule="auto"/>
        <w:rPr>
          <w:sz w:val="20"/>
          <w:szCs w:val="20"/>
          <w:color w:val="auto"/>
        </w:rPr>
      </w:pP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 September 30, 2025. Also included in the table detailing loan balances are gross charge-offs for the nine months ended September 30, 2025.</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94,481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268,953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94,481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268,953</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52,402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526,009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52,666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38,279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62,759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94,935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239,351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540,807</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non-owner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75,893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839,646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312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44,585</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75,893</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12,774</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95,912</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145,726</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477,273</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861,244</w:t>
            </w:r>
          </w:p>
        </w:tc>
        <w:tc>
          <w:tcPr>
            <w:tcW w:w="0" w:type="dxa"/>
            <w:vAlign w:val="bottom"/>
          </w:tcPr>
          <w:p>
            <w:pPr>
              <w:spacing w:after="0"/>
              <w:rPr>
                <w:sz w:val="1"/>
                <w:szCs w:val="1"/>
                <w:color w:val="auto"/>
              </w:rPr>
            </w:pPr>
          </w:p>
        </w:tc>
      </w:tr>
      <w:tr>
        <w:trPr>
          <w:trHeight w:val="198"/>
        </w:trPr>
        <w:tc>
          <w:tcPr>
            <w:tcW w:w="3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occupied</w:t>
            </w: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114,954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15,113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68,892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115,403</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237,889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770,825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1,749,562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201,795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238,153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87,366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174,224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270,057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797,322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1,786,407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right="20" w:hanging="252"/>
        <w:spacing w:after="0" w:line="262" w:lineRule="auto"/>
        <w:tabs>
          <w:tab w:leader="none" w:pos="25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384,755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72,033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75,962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36,328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32,151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399,155</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329,924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50,216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89,804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50,452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90,336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18,953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340,322</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164,967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30,883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64,216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164,967</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879,646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134,930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196,649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102,925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143,968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88,683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111,769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904,444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1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50,700</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51,110</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628,338</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one-to-four family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156,871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143,735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226,561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636,857</w:t>
            </w:r>
          </w:p>
        </w:tc>
        <w:tc>
          <w:tcPr>
            <w:tcW w:w="0" w:type="dxa"/>
            <w:vAlign w:val="bottom"/>
          </w:tcPr>
          <w:p>
            <w:pPr>
              <w:spacing w:after="0"/>
              <w:rPr>
                <w:sz w:val="1"/>
                <w:szCs w:val="1"/>
                <w:color w:val="auto"/>
              </w:rPr>
            </w:pPr>
          </w:p>
        </w:tc>
      </w:tr>
      <w:tr>
        <w:trPr>
          <w:trHeight w:val="41"/>
        </w:trPr>
        <w:tc>
          <w:tcPr>
            <w:tcW w:w="3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208,626</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HELOCs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216,122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216,122</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887,664</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14,577</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51,276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53,885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168,304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148,654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228,873</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226,253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904,089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47,442</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3,072</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12,639</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48,679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149"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 December 31, 2024. Also included in the table detailing loan balances are gross charge-offs for the year ended December 31,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42,548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274,356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121,992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42,548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43,534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274,356</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owner occupied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35,808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532,704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54,032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36,081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102,826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79,806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202,205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545,490</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non-owner occupied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831,243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312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71,321</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13,255</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103,735</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146,138</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173,674</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348,489</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9,482</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866,094</w:t>
            </w:r>
          </w:p>
        </w:tc>
        <w:tc>
          <w:tcPr>
            <w:tcW w:w="0" w:type="dxa"/>
            <w:vAlign w:val="bottom"/>
          </w:tcPr>
          <w:p>
            <w:pPr>
              <w:spacing w:after="0"/>
              <w:rPr>
                <w:sz w:val="1"/>
                <w:szCs w:val="1"/>
                <w:color w:val="auto"/>
              </w:rPr>
            </w:pPr>
          </w:p>
        </w:tc>
      </w:tr>
      <w:tr>
        <w:trPr>
          <w:trHeight w:val="198"/>
        </w:trPr>
        <w:tc>
          <w:tcPr>
            <w:tcW w:w="3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occupied</w:t>
            </w: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120,106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multifamily</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19,010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120,425</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97,112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1,758,409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262,443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97,385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222,749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311,508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312,051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582,585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1,806,365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60" w:right="20" w:hanging="252"/>
        <w:spacing w:after="0" w:line="262" w:lineRule="auto"/>
        <w:tabs>
          <w:tab w:leader="none" w:pos="25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307,597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81,746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42,767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36,642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89,387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316,159</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397,292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106,904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62,744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123,565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72,661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29,823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406,400</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165,984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24,376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47,718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165,984</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870,873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190,736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131,705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65,563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84,827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89,387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888,543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53,683</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623,343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one-to-four family</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40,076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154,095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149,444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96,103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157,531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630,391</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HELOCs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195,288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195,288</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867,466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157,661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98,797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158,174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204,173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879,362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72,867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18,220</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74,029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following tables present aging analyses of past due loans (including nonaccrual loans) by segment and class as of the dates indicated. For loans with monthly payments, a loan is considered past due when the loan is in arrears two or more payments.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Loans</w:t>
            </w:r>
          </w:p>
        </w:tc>
      </w:tr>
      <w:tr>
        <w:trPr>
          <w:trHeight w:val="19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268,953</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540,807</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861,244</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115,403</w:t>
            </w: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1,774,183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1,786,407</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399,155</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340,322</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164,967</w:t>
            </w: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890,613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904,444</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51,110</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636,857</w:t>
            </w:r>
          </w:p>
        </w:tc>
      </w:tr>
      <w:tr>
        <w:trPr>
          <w:trHeight w:val="21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216,122</w:t>
            </w:r>
          </w:p>
        </w:tc>
      </w:tr>
      <w:tr>
        <w:trPr>
          <w:trHeight w:val="212"/>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904,089</w:t>
            </w:r>
          </w:p>
        </w:tc>
      </w:tr>
      <w:tr>
        <w:trPr>
          <w:trHeight w:val="21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48,679</w:t>
            </w:r>
          </w:p>
        </w:tc>
      </w:tr>
      <w:tr>
        <w:trPr>
          <w:trHeight w:val="23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3,606,101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3,643,619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Loans</w:t>
            </w:r>
          </w:p>
        </w:tc>
      </w:tr>
      <w:tr>
        <w:trPr>
          <w:trHeight w:val="19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274,356</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545,490</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866,094</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120,425</w:t>
            </w: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1,806,365</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316,159</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406,400</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165,984</w:t>
            </w: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875,473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888,543</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53,683</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630,391</w:t>
            </w:r>
          </w:p>
        </w:tc>
      </w:tr>
      <w:tr>
        <w:trPr>
          <w:trHeight w:val="21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195,288</w:t>
            </w:r>
          </w:p>
        </w:tc>
      </w:tr>
      <w:tr>
        <w:trPr>
          <w:trHeight w:val="212"/>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879,362</w:t>
            </w:r>
          </w:p>
        </w:tc>
      </w:tr>
      <w:tr>
        <w:trPr>
          <w:trHeight w:val="21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74,029</w:t>
            </w:r>
          </w:p>
        </w:tc>
      </w:tr>
      <w:tr>
        <w:trPr>
          <w:trHeight w:val="23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3,621,231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3,648,299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September 26, 2024, Hurricane Helene made landfall causing significant property damage across certain parts of the Company's market areas, particularly in Western North Carolina. In an effort to assist customers in their post-Hurricane Helene recovery and clean-up efforts, in the fourth quarter of the year ended December 31, 2024 we granted payment deferrals of up to six months to provide short-term relief to impacted customers. The outstanding balance of these deferrals was $318,000 and $136.0 million at September 30, 2025 and December 31, 2024,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recorded investment in loans on nonaccrual status, by segment and class, including restructured loans. It also includes interest income recognized on nonaccrual loans for the nine months ended September 30, 2025.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&amp;</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Nonaccrual with No</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Still Accruing as of</w:t>
            </w:r>
          </w:p>
        </w:tc>
        <w:tc>
          <w:tcPr>
            <w:tcW w:w="16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ACL as of September</w:t>
            </w: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Pr>
          <w:p>
            <w:pPr>
              <w:spacing w:after="0"/>
              <w:rPr>
                <w:sz w:val="18"/>
                <w:szCs w:val="18"/>
                <w:color w:val="auto"/>
              </w:rPr>
            </w:pPr>
          </w:p>
        </w:tc>
        <w:tc>
          <w:tcPr>
            <w:tcW w:w="12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3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2"/>
        </w:trPr>
        <w:tc>
          <w:tcPr>
            <w:tcW w:w="3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following tables present analyses of the ACL on loans by segment for the periods indicated below. In addition to the provision (benefit) for credit losses on loans presented below, provisions of $260 and $918 for off-balance sheet credit exposures were recorded for the three and nine months ended September 30, 2025, respectively, while no provision for commercial paper was recorded for either period. Benefits of $15 and $35 for off-balance sheet credit exposures were recorded for the three and nine months ended September 30, 2024, respectively, while no provision for commercial paper was recorded for either period.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44,139</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15,235</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43,086</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49,223</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16,444</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48,131</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45,285</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15,235</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43,086</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48,641</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(10,171)</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16,444</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48,131</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loan is considered to be collateral dependent when the borrower is experiencing financial difficulty and the repayment is expected to be provided substantially through the operation or sale of collateral. The following tables provide a breakdown between loans identified as CDAs and non-CDAs, by segment and class, as well as collateral coverage for those loans as of the dates indicated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6"/>
                <w:szCs w:val="16"/>
                <w:b w:val="1"/>
                <w:bCs w:val="1"/>
                <w:color w:val="auto"/>
              </w:rPr>
              <w:t>Type and Extent of Collateral Securing CDAs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3"/>
                <w:szCs w:val="13"/>
                <w:color w:val="auto"/>
              </w:rPr>
            </w:pPr>
          </w:p>
        </w:tc>
        <w:tc>
          <w:tcPr>
            <w:tcW w:w="8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Non-CDAs</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268,953</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540,807</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856,534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861,244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115,403</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1,778,149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1,786,407</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399,155</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340,322</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164,967</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901,543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904,444</w:t>
            </w: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51,110</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636,857</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216,122</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904,089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904,089</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48,679</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3,632,460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3,643,619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6"/>
                <w:szCs w:val="16"/>
                <w:b w:val="1"/>
                <w:bCs w:val="1"/>
                <w:color w:val="auto"/>
              </w:rPr>
              <w:t>Type and Extent of Collateral Securing CDAs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3"/>
                <w:szCs w:val="13"/>
                <w:color w:val="auto"/>
              </w:rPr>
            </w:pPr>
          </w:p>
        </w:tc>
        <w:tc>
          <w:tcPr>
            <w:tcW w:w="8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Non-CDAs</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274,356</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545,490</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866,094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120,425</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1,796,169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1,806,365</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316,159</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406,400</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887,241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888,543</w:t>
            </w: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53,683</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630,391</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195,288</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879,362</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879,362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74,029</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3,636,801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3,648,299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Modifications to Borrowers Experiencing Financial Difficulty</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spacing w:after="0" w:line="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following tables present the amortized cost basis of loans that were both experiencing financial difficulty and modified during the periods indicated, by class and type of modification. The percentage of the amortized cost basis of loans that were modified to borrowers in financial difficulty as compared to the amortized cost basis of each class of financing receivable is also presented. The Hurricane Helene-related deferrals previously referenced did not meet this definition and, therefore, were not included.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0.05 %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0.15 %</w:t>
            </w: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0.20 %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Commercial real estate – non-owner</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0.19 %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5"/>
        </w:trPr>
        <w:tc>
          <w:tcPr>
            <w:tcW w:w="2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0.15 %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Commercial real estate – non-owner</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0.10 %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the financial effect of the loan modifications presented above to borrowers experiencing financial difficulty for the period indicated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5"/>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r>
      <w:tr>
        <w:trPr>
          <w:trHeight w:val="158"/>
        </w:trPr>
        <w:tc>
          <w:tcPr>
            <w:tcW w:w="6100" w:type="dxa"/>
            <w:vAlign w:val="bottom"/>
          </w:tcPr>
          <w:p>
            <w:pPr>
              <w:spacing w:after="0"/>
              <w:rPr>
                <w:sz w:val="13"/>
                <w:szCs w:val="13"/>
                <w:color w:val="auto"/>
              </w:rPr>
            </w:pPr>
          </w:p>
        </w:tc>
        <w:tc>
          <w:tcPr>
            <w:tcW w:w="1100" w:type="dxa"/>
            <w:vAlign w:val="bottom"/>
          </w:tcPr>
          <w:p>
            <w:pPr>
              <w:jc w:val="center"/>
              <w:ind w:left="17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 Term</w:t>
            </w:r>
          </w:p>
        </w:tc>
      </w:tr>
      <w:tr>
        <w:trPr>
          <w:trHeight w:val="214"/>
        </w:trPr>
        <w:tc>
          <w:tcPr>
            <w:tcW w:w="6100" w:type="dxa"/>
            <w:vAlign w:val="bottom"/>
          </w:tcPr>
          <w:p>
            <w:pPr>
              <w:spacing w:after="0"/>
              <w:rPr>
                <w:sz w:val="18"/>
                <w:szCs w:val="18"/>
                <w:color w:val="auto"/>
              </w:rPr>
            </w:pPr>
          </w:p>
        </w:tc>
        <w:tc>
          <w:tcPr>
            <w:tcW w:w="110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Extension (Years)</w:t>
            </w:r>
          </w:p>
        </w:tc>
      </w:tr>
      <w:tr>
        <w:trPr>
          <w:trHeight w:val="19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0"/>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81"/>
        </w:trPr>
        <w:tc>
          <w:tcPr>
            <w:tcW w:w="6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5"/>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r>
      <w:tr>
        <w:trPr>
          <w:trHeight w:val="159"/>
        </w:trPr>
        <w:tc>
          <w:tcPr>
            <w:tcW w:w="6100" w:type="dxa"/>
            <w:vAlign w:val="bottom"/>
          </w:tcPr>
          <w:p>
            <w:pPr>
              <w:spacing w:after="0"/>
              <w:rPr>
                <w:sz w:val="13"/>
                <w:szCs w:val="13"/>
                <w:color w:val="auto"/>
              </w:rPr>
            </w:pPr>
          </w:p>
        </w:tc>
        <w:tc>
          <w:tcPr>
            <w:tcW w:w="1100" w:type="dxa"/>
            <w:vAlign w:val="bottom"/>
          </w:tcPr>
          <w:p>
            <w:pPr>
              <w:jc w:val="center"/>
              <w:ind w:left="17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 Term</w:t>
            </w:r>
          </w:p>
        </w:tc>
      </w:tr>
      <w:tr>
        <w:trPr>
          <w:trHeight w:val="214"/>
        </w:trPr>
        <w:tc>
          <w:tcPr>
            <w:tcW w:w="6100" w:type="dxa"/>
            <w:vAlign w:val="bottom"/>
          </w:tcPr>
          <w:p>
            <w:pPr>
              <w:spacing w:after="0"/>
              <w:rPr>
                <w:sz w:val="18"/>
                <w:szCs w:val="18"/>
                <w:color w:val="auto"/>
              </w:rPr>
            </w:pPr>
          </w:p>
        </w:tc>
        <w:tc>
          <w:tcPr>
            <w:tcW w:w="110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Extension (Years)</w:t>
            </w:r>
          </w:p>
        </w:tc>
      </w:tr>
      <w:tr>
        <w:trPr>
          <w:trHeight w:val="19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1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6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tables present loans that had a payment default during the period indicated that had previously been modified within the prior twelve months. For purposes of this table, a loan is considered to be in default when it becomes 30 days contractually past due under the modified terms.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9"/>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9"/>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4"/>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Off-Balance Sheet Credit Exposure</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September 30, 2025 and December 31, 2024, the ACL on off-balance sheet credit exposures included in other liabilities was $3,590 and $2,672, respectively.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Premises and Equipment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Premises and equipment as of the dates indicated consist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25,818</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buildings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75,450</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19,880</w:t>
            </w:r>
          </w:p>
        </w:tc>
      </w:tr>
      <w:tr>
        <w:trPr>
          <w:trHeight w:val="20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121,148</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(51,276)</w:t>
            </w:r>
          </w:p>
        </w:tc>
      </w:tr>
      <w:tr>
        <w:trPr>
          <w:trHeight w:val="212"/>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Premises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62,437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69,872</w:t>
            </w:r>
          </w:p>
        </w:tc>
      </w:tr>
      <w:tr>
        <w:trPr>
          <w:trHeight w:val="21"/>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As noted in "Note 3 – Branch Sales", the majority of the changes between periods can be traced to the sale of $6,310 of premises and equipment associated with our two Knoxville, Tennessee branches during the nine months ended September 30, 2025. The assets were sold at their carrying balance so no gain or loss was recognized on the sale.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balance of premises and equipment held for sale, at the lower of cost or fair value, was $616 at both September 30, 2025 and December 31,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expense associated with premises and equipment was $2,933 and $2,817 for the nine months ended September 30, 2025 and 2024, respectively.</w:t>
      </w:r>
    </w:p>
    <w:p>
      <w:pPr>
        <w:spacing w:after="0" w:line="152"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Deposit Accounts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 accounts at the dates indicated consist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680,926</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accounts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537,954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575,238</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1,341,995</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181,317</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999,727</w:t>
            </w:r>
          </w:p>
        </w:tc>
      </w:tr>
      <w:tr>
        <w:trPr>
          <w:trHeight w:val="212"/>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3,698,227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3,779,203</w:t>
            </w:r>
          </w:p>
        </w:tc>
      </w:tr>
      <w:tr>
        <w:trPr>
          <w:trHeight w:val="21"/>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Deposits received from executive officers, directors and their associates totaled approximately $1,095 and $1,223 at September 30, 2025 and December 31, 2024, respectively.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As of September 30, 2025, scheduled maturities of certificates of deposit were as follows:</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0"/>
        </w:trPr>
        <w:tc>
          <w:tcPr>
            <w:tcW w:w="9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16"/>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Remainder of 2025</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343,072</w:t>
            </w:r>
          </w:p>
        </w:tc>
      </w:tr>
      <w:tr>
        <w:trPr>
          <w:trHeight w:val="213"/>
        </w:trPr>
        <w:tc>
          <w:tcPr>
            <w:tcW w:w="9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596,301</w:t>
            </w:r>
          </w:p>
        </w:tc>
      </w:tr>
      <w:tr>
        <w:trPr>
          <w:trHeight w:val="219"/>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w:t>
            </w:r>
          </w:p>
        </w:tc>
      </w:tr>
      <w:tr>
        <w:trPr>
          <w:trHeight w:val="213"/>
        </w:trPr>
        <w:tc>
          <w:tcPr>
            <w:tcW w:w="9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r>
      <w:tr>
        <w:trPr>
          <w:trHeight w:val="219"/>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3"/>
        </w:trPr>
        <w:tc>
          <w:tcPr>
            <w:tcW w:w="9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37"/>
        </w:trPr>
        <w:tc>
          <w:tcPr>
            <w:tcW w:w="9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955,030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Certificates of deposit with balances of $250 or greater totaled $190,103 and $168,089 at September 30, 2025 and December 31, 2024, respectively. Generally, deposit amounts in excess of $250 are not federally insured.</w:t>
      </w:r>
    </w:p>
    <w:p>
      <w:pPr>
        <w:spacing w:after="0" w:line="9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Borrowings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Junior Subordinated Debentures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trust preferred securities accrue and pay quarterly distributions at a floating rate of 3-month Term SOFR plus 2.20%, which was 6.18% at September 30, 2025.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trust preferred securities are mandatorily redeemable upon maturity of the debentures on March 15, 2037, or upon earlier redemption as provided in the indenture. The debentures purchased by the Trust have been redeemable, in whole or in part, since March 15, 2012. As specified in the indenture, if the debentures are redeemed prior to maturity, the redemption price will be the principal amount and any accrued but unpaid interest.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Other Borrowings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Borrowings, outside of junior subordinated debt, consist of the following at the dates indicated:</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5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6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23"/>
                <w:szCs w:val="23"/>
                <w:color w:val="auto"/>
              </w:rPr>
            </w:pPr>
          </w:p>
        </w:tc>
        <w:tc>
          <w:tcPr>
            <w:tcW w:w="26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8"/>
        </w:trPr>
        <w:tc>
          <w:tcPr>
            <w:tcW w:w="5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1"/>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advances (short-term)</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4.33 %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FRB advances (short-term)</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34"/>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other borrowings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4.26 %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All qualifying one-to-four family loans, HELOCs, commercial real estate loans, multifamily loans and FHLB of Atlanta stock are pledged as collateral to secure outstanding FHLB advances while commercial construction loans, indirect auto loans, and equipment and municipal leases are pledged as collateral to secure outstanding FRB advances. At September 30, 2025 and December 31, 2024, the Company had the ability to borrow $363,814 and $315,468, respectively, through additional FHLB advances and $18,664 and $106,592, respectively, through the unused portion of a line of credit with the FRB.</w:t>
      </w:r>
    </w:p>
    <w:p>
      <w:pPr>
        <w:spacing w:after="0" w:line="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At both September 30, 2025 and December 31, 2024, the Company maintained revolving lines of credit with three unaffiliated banks which totaled $165,000, all of which was unused.</w:t>
      </w:r>
    </w:p>
    <w:p>
      <w:pPr>
        <w:spacing w:after="0" w:line="95"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Leases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Operating Leases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5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following tables present supplemental balance sheet information related to operating leases. ROU assets are included in other assets and lease liabilities are included in other liabilities.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balance sheet information</w:t>
            </w: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7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ROU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8,072</w:t>
            </w:r>
          </w:p>
        </w:tc>
      </w:tr>
      <w:tr>
        <w:trPr>
          <w:trHeight w:val="21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9,557</w:t>
            </w:r>
          </w:p>
        </w:tc>
      </w:tr>
      <w:tr>
        <w:trPr>
          <w:trHeight w:val="213"/>
        </w:trPr>
        <w:tc>
          <w:tcPr>
            <w:tcW w:w="7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remaining lease terms (years)</w:t>
            </w:r>
          </w:p>
        </w:tc>
        <w:tc>
          <w:tcPr>
            <w:tcW w:w="180" w:type="dxa"/>
            <w:vAlign w:val="bottom"/>
          </w:tcPr>
          <w:p>
            <w:pPr>
              <w:spacing w:after="0"/>
              <w:rPr>
                <w:sz w:val="18"/>
                <w:szCs w:val="18"/>
                <w:color w:val="auto"/>
              </w:rPr>
            </w:pPr>
          </w:p>
        </w:tc>
        <w:tc>
          <w:tcPr>
            <w:tcW w:w="17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3.48 %</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under these operating leases at September 30,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8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8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34"/>
        </w:trPr>
        <w:tc>
          <w:tcPr>
            <w:tcW w:w="5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lease liability</w:t>
            </w:r>
          </w:p>
        </w:tc>
        <w:tc>
          <w:tcPr>
            <w:tcW w:w="8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The following table presents components of operating lease expense for the periods indicated:</w:t>
            </w: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820" w:type="dxa"/>
            <w:vAlign w:val="bottom"/>
          </w:tcPr>
          <w:p>
            <w:pPr>
              <w:spacing w:after="0"/>
              <w:rPr>
                <w:sz w:val="23"/>
                <w:szCs w:val="23"/>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23"/>
                <w:szCs w:val="23"/>
                <w:color w:val="auto"/>
              </w:rPr>
            </w:pPr>
          </w:p>
        </w:tc>
        <w:tc>
          <w:tcPr>
            <w:tcW w:w="2540" w:type="dxa"/>
            <w:vAlign w:val="bottom"/>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8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(included in occupancy expense, net)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 (included in occupancy expense, net)</w:t>
            </w:r>
          </w:p>
        </w:tc>
        <w:tc>
          <w:tcPr>
            <w:tcW w:w="8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 (included in other noninterest income)</w:t>
            </w: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7"/>
        </w:trPr>
        <w:tc>
          <w:tcPr>
            <w:tcW w:w="5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lease expense, net</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supplemental operating lease cash flow information for the periods indicated:</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3"/>
        </w:trPr>
        <w:tc>
          <w:tcPr>
            <w:tcW w:w="7580" w:type="dxa"/>
            <w:vAlign w:val="bottom"/>
          </w:tcPr>
          <w:p>
            <w:pPr>
              <w:spacing w:after="0"/>
              <w:rPr>
                <w:sz w:val="23"/>
                <w:szCs w:val="23"/>
                <w:color w:val="auto"/>
              </w:rPr>
            </w:pPr>
          </w:p>
        </w:tc>
        <w:tc>
          <w:tcPr>
            <w:tcW w:w="31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23"/>
                <w:szCs w:val="23"/>
                <w:color w:val="auto"/>
              </w:rPr>
            </w:pPr>
          </w:p>
        </w:tc>
      </w:tr>
      <w:tr>
        <w:trPr>
          <w:trHeight w:val="211"/>
        </w:trPr>
        <w:tc>
          <w:tcPr>
            <w:tcW w:w="75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 noncash additions</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General</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Operating Leases</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$27,248 and $31,572 with a residual value of $13,418 and $13,662 as of September 30, 2025 and December 31, 2024, respectively.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to be received at September 30, 2025:</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60"/>
        </w:trPr>
        <w:tc>
          <w:tcPr>
            <w:tcW w:w="9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1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34"/>
        </w:trPr>
        <w:tc>
          <w:tcPr>
            <w:tcW w:w="9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of future minimum payments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Financing Leases</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September 30, 2025 and 2024, interest income on equipment finance leases totaled $1,377 and $1,181, respectively. For the nine months ended September 30, 2025 and 2024, interest income on equipment finance leases totaled $3,879 and $3,348, respectively.</w:t>
      </w:r>
    </w:p>
    <w:p>
      <w:pPr>
        <w:spacing w:after="0" w:line="2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lease receivable component of finance lease net investment included within the equipment finance class of financing receivables was $78,167 and $70,420 at September 30, 2025 and December 31, 2024,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as of September 30, 2025, aggregate future minimum finance lease payments to be received:</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0"/>
        </w:trPr>
        <w:tc>
          <w:tcPr>
            <w:tcW w:w="9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1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26,553</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22,338</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15,851</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7,910</w:t>
            </w:r>
          </w:p>
        </w:tc>
      </w:tr>
      <w:tr>
        <w:trPr>
          <w:trHeight w:val="212"/>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90,837</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(12,670)</w:t>
            </w:r>
          </w:p>
        </w:tc>
      </w:tr>
      <w:tr>
        <w:trPr>
          <w:trHeight w:val="237"/>
        </w:trPr>
        <w:tc>
          <w:tcPr>
            <w:tcW w:w="9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lease receivable</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78,167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Equity Incentive Plan</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share-based compensation expense and the estimated related tax benefit for stock options and restricted stock for the periods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7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stock option activity and related information for the nine months ended September 30, 2025 and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6"/>
                <w:szCs w:val="16"/>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260" w:type="dxa"/>
            <w:vAlign w:val="bottom"/>
          </w:tcPr>
          <w:p>
            <w:pPr>
              <w:spacing w:after="0"/>
              <w:rPr>
                <w:sz w:val="14"/>
                <w:szCs w:val="14"/>
                <w:color w:val="auto"/>
              </w:rPr>
            </w:pPr>
          </w:p>
        </w:tc>
        <w:tc>
          <w:tcPr>
            <w:tcW w:w="1280" w:type="dxa"/>
            <w:vAlign w:val="bottom"/>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48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60" w:type="dxa"/>
            <w:vAlign w:val="bottom"/>
          </w:tcPr>
          <w:p>
            <w:pPr>
              <w:spacing w:after="0"/>
              <w:rPr>
                <w:sz w:val="18"/>
                <w:szCs w:val="18"/>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outstanding at September 30,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428,637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September 30,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8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outstanding at September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September 30, 2025</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352,957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September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options granted during the nine months ended September 30, 2025 or 2024.</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September 30, 2025, the Company had $125 of unrecognized compensation expense related to 25,380 stock options originally scheduled to vest over a five-year period. The weighted average period over which compensation cost related to non-vested awards is expected to be recognized was 0.7 years at September 30, 2025. At September 30, 2024, the Company had $261 of unrecognized compensation expense related to 48,970 stock options originally scheduled to vest over a five-year period. The weighted average period over which compensation cost related to non-vested awards is expected to be recognized was 1.1 years at September 30, 2024.</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restricted stock award activity and related information: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9"/>
                <w:szCs w:val="19"/>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180" w:type="dxa"/>
            <w:vAlign w:val="bottom"/>
          </w:tcPr>
          <w:p>
            <w:pPr>
              <w:spacing w:after="0"/>
              <w:rPr>
                <w:sz w:val="14"/>
                <w:szCs w:val="14"/>
                <w:color w:val="auto"/>
              </w:rPr>
            </w:pPr>
          </w:p>
        </w:tc>
        <w:tc>
          <w:tcPr>
            <w:tcW w:w="108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Stock Awards</w:t>
            </w:r>
            <w:r>
              <w:rPr>
                <w:rFonts w:ascii="Times New Roman" w:cs="Times New Roman" w:eastAsia="Times New Roman" w:hAnsi="Times New Roman"/>
                <w:sz w:val="21"/>
                <w:szCs w:val="21"/>
                <w:b w:val="1"/>
                <w:bCs w:val="1"/>
                <w:color w:val="auto"/>
                <w:w w:val="96"/>
                <w:vertAlign w:val="superscript"/>
              </w:rPr>
              <w:t>(1)</w:t>
            </w:r>
          </w:p>
        </w:tc>
        <w:tc>
          <w:tcPr>
            <w:tcW w:w="172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Stock Units</w:t>
            </w:r>
            <w:r>
              <w:rPr>
                <w:rFonts w:ascii="Times New Roman" w:cs="Times New Roman" w:eastAsia="Times New Roman" w:hAnsi="Times New Roman"/>
                <w:sz w:val="21"/>
                <w:szCs w:val="21"/>
                <w:b w:val="1"/>
                <w:bCs w:val="1"/>
                <w:color w:val="auto"/>
                <w:w w:val="96"/>
                <w:vertAlign w:val="superscript"/>
              </w:rPr>
              <w:t>(2)</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106,143</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73,502</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September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140,795</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5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138,582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60,329</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September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144,964</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are scheduled to vest over 1.0 year for director awards and 5.0 years for employee awards.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restricted stock units are scheduled to vest over 3.0 years assuming the applicable financial goals are met.</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September 30, 2025, unrecognized compensation expense was $4,341 related to 176,305 shares of restricted stock. The weighted average period over which compensation cost related to non-vested awards is expected to be recognized was 1.7 years at September 30, 2025. At September 30, 2024, unrecognized compensation expense was $3,523 related to 172,302 shares of restricted stock. The weighted average period over which compensation cost related to non-vested awards is expected to be recognized was 1.7 years at September 30,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Net Income per Share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the numerator and denominator of basic and diluted net income per common share for the periods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64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Allocation of earnings to participating securities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142"/>
        </w:trPr>
        <w:tc>
          <w:tcPr>
            <w:tcW w:w="56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EPS - net income available to common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16,322</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12,980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47,745</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40,187</w:t>
            </w:r>
          </w:p>
        </w:tc>
        <w:tc>
          <w:tcPr>
            <w:tcW w:w="0" w:type="dxa"/>
            <w:vAlign w:val="bottom"/>
          </w:tcPr>
          <w:p>
            <w:pPr>
              <w:spacing w:after="0"/>
              <w:rPr>
                <w:sz w:val="1"/>
                <w:szCs w:val="1"/>
                <w:color w:val="auto"/>
              </w:rPr>
            </w:pPr>
          </w:p>
        </w:tc>
      </w:tr>
      <w:tr>
        <w:trPr>
          <w:trHeight w:val="194"/>
        </w:trPr>
        <w:tc>
          <w:tcPr>
            <w:tcW w:w="5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5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16,998,549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16,931,793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17,005,206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16,891,619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Dilutive effect of assumed exercise of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46,709</w:t>
            </w:r>
          </w:p>
        </w:tc>
        <w:tc>
          <w:tcPr>
            <w:tcW w:w="0" w:type="dxa"/>
            <w:vAlign w:val="bottom"/>
          </w:tcPr>
          <w:p>
            <w:pPr>
              <w:spacing w:after="0"/>
              <w:rPr>
                <w:sz w:val="1"/>
                <w:szCs w:val="1"/>
                <w:color w:val="auto"/>
              </w:rPr>
            </w:pPr>
          </w:p>
        </w:tc>
      </w:tr>
      <w:tr>
        <w:trPr>
          <w:trHeight w:val="212"/>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17,130,030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17,027,824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17,117,605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16,938,328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Potential dilutive shares are excluded from the computation of earnings per share if their effect is anti-dilutive. There were 45,450 stock options that were anti-dilutive as of September 30, 2024. No stock options were anti-dilutive as of September 30, 2025.</w:t>
      </w:r>
    </w:p>
    <w:p>
      <w:pPr>
        <w:spacing w:after="0" w:line="109"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Commitments and Contingencies</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u w:val="single" w:color="auto"/>
          <w:color w:val="auto"/>
        </w:rPr>
        <w:t>Loan Commitments</w:t>
      </w:r>
      <w:r>
        <w:rPr>
          <w:rFonts w:ascii="Times New Roman" w:cs="Times New Roman" w:eastAsia="Times New Roman" w:hAnsi="Times New Roman"/>
          <w:sz w:val="16"/>
          <w:szCs w:val="16"/>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to extend credit that are not reflected in the consolidated financial statements.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9"/>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details of loan commitments outstanding as of the dates indicated:</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300"/>
        </w:trPr>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24"/>
                <w:szCs w:val="24"/>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 commitments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56,922</w:t>
            </w:r>
          </w:p>
        </w:tc>
      </w:tr>
      <w:tr>
        <w:trPr>
          <w:trHeight w:val="216"/>
        </w:trPr>
        <w:tc>
          <w:tcPr>
            <w:tcW w:w="7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Fixed rate commitments</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28,096</w:t>
            </w:r>
          </w:p>
        </w:tc>
      </w:tr>
      <w:tr>
        <w:trPr>
          <w:trHeight w:val="20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loan commitments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85,018</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fixed interest rates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 - 27.09%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 - 10.25%</w:t>
            </w:r>
          </w:p>
        </w:tc>
      </w:tr>
      <w:tr>
        <w:trPr>
          <w:trHeight w:val="60"/>
        </w:trPr>
        <w:tc>
          <w:tcPr>
            <w:tcW w:w="7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5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Undisbursed portions of construction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145,523</w:t>
            </w:r>
          </w:p>
        </w:tc>
      </w:tr>
      <w:tr>
        <w:trPr>
          <w:trHeight w:val="279"/>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Pre-approved but unused lines of credit</w:t>
            </w:r>
            <w:r>
              <w:rPr>
                <w:rFonts w:ascii="Times New Roman" w:cs="Times New Roman" w:eastAsia="Times New Roman" w:hAnsi="Times New Roman"/>
                <w:sz w:val="21"/>
                <w:szCs w:val="21"/>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858,804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712,274</w:t>
            </w:r>
          </w:p>
        </w:tc>
      </w:tr>
    </w:tbl>
    <w:p>
      <w:pPr>
        <w:spacing w:after="0" w:line="36"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rate commitments had terms ranging from three to 30 years as of each date presented.</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second mortgage home equity loans and overdraft protection loans.</w:t>
      </w:r>
    </w:p>
    <w:p>
      <w:pPr>
        <w:spacing w:after="0" w:line="9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commitments presented in the above table represent the Company’s exposure to credit risk and, in the opinion of management, have no more than the normal lending risk that the Company commits to its borrowers.</w:t>
      </w:r>
    </w:p>
    <w:p>
      <w:pPr>
        <w:spacing w:after="0" w:line="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September 30, 2025 or December 31, 2024.</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Equity Investment Commitments</w:t>
      </w:r>
      <w:r>
        <w:rPr>
          <w:rFonts w:ascii="Times New Roman" w:cs="Times New Roman" w:eastAsia="Times New Roman" w:hAnsi="Times New Roman"/>
          <w:sz w:val="16"/>
          <w:szCs w:val="16"/>
          <w:color w:val="auto"/>
        </w:rPr>
        <w:t xml:space="preserve"> – As of September 30, 2025, the Company had committed $32,000 across ten SBIC investments with $10,405 remaining to be drawn, while as of December 31, 2024, the Company had committed $28,000 across nine SBIC investments with $8,598 remaining to be drawn. Similarly, as of September 30, 2025, the Company had committed $10,000 towards a solar tax equity investment with $9,006 remaining to be drawn. No such commitment existed as of December 31, 2024. Although the remaining capital commitments may or may not be called in the future, under the terms of the associated agreements, the Company's exposure will not extend beyond the amount of the original commitments.</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Guarantees</w:t>
      </w:r>
      <w:r>
        <w:rPr>
          <w:rFonts w:ascii="Times New Roman" w:cs="Times New Roman" w:eastAsia="Times New Roman" w:hAnsi="Times New Roman"/>
          <w:sz w:val="16"/>
          <w:szCs w:val="16"/>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September 30, 2025 and December 31, 2024 were $54,335 and $53,226, respectively. There was no liability recorded for these letters of credit at September 30, 2025 or December 31, 2024.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6"/>
          <w:szCs w:val="16"/>
          <w:b w:val="1"/>
          <w:bCs w:val="1"/>
          <w:color w:val="auto"/>
        </w:rPr>
        <w:t>.</w:t>
      </w:r>
    </w:p>
    <w:p>
      <w:pPr>
        <w:spacing w:after="0" w:line="110"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Fair Value of Financial Instruments</w:t>
      </w:r>
    </w:p>
    <w:p>
      <w:pPr>
        <w:spacing w:after="0" w:line="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6"/>
          <w:szCs w:val="16"/>
          <w:color w:val="auto"/>
        </w:rPr>
        <w:t>Level 1:</w:t>
        <w:tab/>
        <w:t>Quoted prices (unadjusted) for identical assets or liabilities in active markets that the entity has the ability to access as of the measurement date.</w:t>
      </w:r>
    </w:p>
    <w:p>
      <w:pPr>
        <w:spacing w:after="0" w:line="46" w:lineRule="exact"/>
        <w:rPr>
          <w:sz w:val="20"/>
          <w:szCs w:val="20"/>
          <w:color w:val="auto"/>
        </w:rPr>
      </w:pPr>
    </w:p>
    <w:p>
      <w:pPr>
        <w:ind w:left="800" w:hanging="728"/>
        <w:spacing w:after="0" w:line="272" w:lineRule="auto"/>
        <w:tabs>
          <w:tab w:leader="none" w:pos="780" w:val="left"/>
        </w:tabs>
        <w:rPr>
          <w:sz w:val="20"/>
          <w:szCs w:val="20"/>
          <w:color w:val="auto"/>
        </w:rPr>
      </w:pPr>
      <w:r>
        <w:rPr>
          <w:rFonts w:ascii="Times New Roman" w:cs="Times New Roman" w:eastAsia="Times New Roman" w:hAnsi="Times New Roman"/>
          <w:sz w:val="16"/>
          <w:szCs w:val="16"/>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sz w:val="20"/>
          <w:szCs w:val="20"/>
          <w:color w:val="auto"/>
        </w:rPr>
      </w:pPr>
    </w:p>
    <w:p>
      <w:pPr>
        <w:ind w:left="820" w:hanging="728"/>
        <w:spacing w:after="0" w:line="269" w:lineRule="auto"/>
        <w:tabs>
          <w:tab w:leader="none" w:pos="800" w:val="left"/>
        </w:tabs>
        <w:rPr>
          <w:sz w:val="20"/>
          <w:szCs w:val="20"/>
          <w:color w:val="auto"/>
        </w:rPr>
      </w:pPr>
      <w:r>
        <w:rPr>
          <w:rFonts w:ascii="Times New Roman" w:cs="Times New Roman" w:eastAsia="Times New Roman" w:hAnsi="Times New Roman"/>
          <w:sz w:val="16"/>
          <w:szCs w:val="16"/>
          <w:color w:val="auto"/>
        </w:rPr>
        <w:t>Level 3:</w:t>
        <w:tab/>
        <w:t>Significant unobservable inputs that reflect a company's own assumptions about the assumptions that market participants would use in pricing an asset or liability.</w:t>
      </w:r>
    </w:p>
    <w:p>
      <w:pPr>
        <w:spacing w:after="0" w:line="2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 The following is a description of valuation methodologies used for assets recorded at fair value. As of both September 30, 2025 and December 31, 2024, the Company did not have any liabilities recorded at fair value.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methods of determining the fair value of assets and liabilities presented in this note are consistent with the methodologies disclosed in Note 20 of the 2024 Form 10-K.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Assets Recorded at Fair Value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recurring basis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139,245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139,245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144,147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144,147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held for sale carried at fair value are valued at the individual loan level using quoted secondary market prices.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levels during the nine months ended September 30, 2025 or 2024.</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financial assets measured at fair value on a non-recurring basis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r>
      <w:tr>
        <w:trPr>
          <w:trHeight w:val="237"/>
        </w:trPr>
        <w:tc>
          <w:tcPr>
            <w:tcW w:w="5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9"/>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09"/>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21"/>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stated carrying value and estimated fair value amounts of financial instruments as of September 30, 2025 and December 31, 2024 are summarized below:</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3"/>
                <w:szCs w:val="13"/>
                <w:color w:val="auto"/>
              </w:rPr>
            </w:pPr>
          </w:p>
        </w:tc>
        <w:tc>
          <w:tcPr>
            <w:tcW w:w="980" w:type="dxa"/>
            <w:vAlign w:val="bottom"/>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3"/>
                <w:szCs w:val="13"/>
                <w:color w:val="auto"/>
              </w:rPr>
            </w:pPr>
          </w:p>
        </w:tc>
        <w:tc>
          <w:tcPr>
            <w:tcW w:w="1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6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315,830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315,830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315,830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191,712</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3,535,777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3,535,777</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16,284</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1,227,306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1,227,306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1,227,306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1,343,008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954,221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3"/>
                <w:szCs w:val="13"/>
                <w:color w:val="auto"/>
              </w:rPr>
            </w:pPr>
          </w:p>
        </w:tc>
        <w:tc>
          <w:tcPr>
            <w:tcW w:w="980" w:type="dxa"/>
            <w:vAlign w:val="bottom"/>
          </w:tcPr>
          <w:p>
            <w:pPr>
              <w:jc w:val="right"/>
              <w:ind w:right="3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3"/>
                <w:szCs w:val="13"/>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204,122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3,603,014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3,498,929</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17,570</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had off-balance sheet financial commitments, which included approximately $1,200,277 and $996,042 of commitments to originate loans, undisbursed portions of construction loans, unused lines of credit and standby letters of credit at September 30, 2025 and December 31, 2024, respectively (see "Note 13 – Commitments and Contingencies"). Since these commitments are based on current rates, the carrying amount approximates the fair value.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ind w:right="4560"/>
        <w:spacing w:after="0" w:line="300"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factors that could result in material differentiation include, but are not limited to:</w:t>
      </w:r>
    </w:p>
    <w:p>
      <w:pPr>
        <w:spacing w:after="0" w:line="26" w:lineRule="exact"/>
        <w:rPr>
          <w:sz w:val="20"/>
          <w:szCs w:val="20"/>
          <w:color w:val="auto"/>
        </w:rPr>
      </w:pPr>
    </w:p>
    <w:p>
      <w:pPr>
        <w:ind w:left="340" w:hanging="251"/>
        <w:spacing w:after="0" w:line="253"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 both nationally and in our market areas;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imposition of new or increased tariffs or changes to existing trade policies that could affect economic activity or specific industry sectors;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including the lingering effects of Hurricane Helene;</w:t>
      </w:r>
    </w:p>
    <w:p>
      <w:pPr>
        <w:spacing w:after="0" w:line="8" w:lineRule="exact"/>
        <w:rPr>
          <w:rFonts w:ascii="Times New Roman" w:cs="Times New Roman" w:eastAsia="Times New Roman" w:hAnsi="Times New Roman"/>
          <w:sz w:val="16"/>
          <w:szCs w:val="16"/>
          <w:color w:val="auto"/>
        </w:rPr>
      </w:pPr>
    </w:p>
    <w:p>
      <w:pPr>
        <w:ind w:left="340" w:hanging="251"/>
        <w:spacing w:after="0" w:line="253"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levels of general interest rates, and the relative differences between short- and long-term interest rates, deposit interest rates, our net interest margin and funding sources and the effects of inflation or a potential recession;</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demand for loans, the number of unsold homes, land and other properties and fluctuations in real estate values in our market areas;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decreases in the secondary market for the sale of loans that we originate;</w:t>
      </w:r>
    </w:p>
    <w:p>
      <w:pPr>
        <w:spacing w:after="0" w:line="15" w:lineRule="exact"/>
        <w:rPr>
          <w:rFonts w:ascii="Times New Roman" w:cs="Times New Roman" w:eastAsia="Times New Roman" w:hAnsi="Times New Roman"/>
          <w:sz w:val="16"/>
          <w:szCs w:val="16"/>
          <w:color w:val="auto"/>
        </w:rPr>
      </w:pPr>
    </w:p>
    <w:p>
      <w:pPr>
        <w:jc w:val="both"/>
        <w:ind w:left="340" w:hanging="251"/>
        <w:spacing w:after="0" w:line="252"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revenues, cost savings, synergies and other benefits from our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jc w:val="both"/>
        <w:ind w:left="340" w:hanging="251"/>
        <w:spacing w:after="0" w:line="252"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examinations of us by the Federal Reserve, the NCCOB or other regulatory authorities, including the possibility that any such regulatory authority may, among other things, require us to increase our ACL, write-down assets, increase our regulatory capital position or affect our ability to borrow funds or maintain or increase deposits, which could adversely affect our liquidity and earnings;</w:t>
      </w:r>
    </w:p>
    <w:p>
      <w:pPr>
        <w:ind w:left="340" w:hanging="251"/>
        <w:spacing w:after="0" w:line="255"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resources to address changes in laws, rules or regulations, or to respond to regulatory actions;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deposits;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cost-effective funding and maintain sufficient liquidity;</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assumptions in determining the adequacy of the ACL;</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operating costs and expenses, especially costs associated with our operation as a public company;</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estimates in determining the fair value of certain assets, which estimates may prove to be incorrect and result in significant declines in valuation;</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reducing risks associated with the loans on our balance sheet;</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staffing fluctuations in response to product demand or the implementation of corporate strategies that affect our workforce and potential associated charges;</w:t>
      </w:r>
    </w:p>
    <w:p>
      <w:pPr>
        <w:spacing w:after="0" w:line="5"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security breaches or other adverse events, failures or interruptions in, or attacks on, our information technology systems or on the third-party vendors who perform several of our critical processing functions;</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key members of our senior management team;</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effects of litigation, including settlements and judgments;</w:t>
      </w:r>
    </w:p>
    <w:p>
      <w:pPr>
        <w:spacing w:after="0" w:line="8"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bank failures or adverse developments involving other banks and related negative press about the banking industry in general on investor and depositor sentiment;</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competitive pressures among financial services companies;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spending, borrowing and savings habits;</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the securities markets;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of key third-party providers to perform their obligations to us;</w:t>
      </w:r>
    </w:p>
    <w:p>
      <w:pPr>
        <w:spacing w:after="0" w:line="15"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policies or guidelines and practices, as may be adopted by the financial institution regulatory agencies, the Public Company Accounting Oversight Board or the FASB;</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governmental actions or inactions, including a prolonged shutdown of the federal government;</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economic, competitive, governmental, regulatory and technological factors affecting our operations, pricing, products and services; and</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detailed from time to time in documents we file with or furnish to the SEC, including this Form 10-Q.</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quarter ended September 30, 2025 compared to the quarter ended June 30, 2025:</w:t>
      </w:r>
    </w:p>
    <w:p>
      <w:pPr>
        <w:spacing w:after="0" w:line="46" w:lineRule="exact"/>
        <w:rPr>
          <w:sz w:val="20"/>
          <w:szCs w:val="20"/>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$16.5 million compared to $17.2 million;</w:t>
      </w:r>
    </w:p>
    <w:p>
      <w:pPr>
        <w:spacing w:after="0" w:line="23"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were $0.95 compared to $1.00;</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1.48% compared to 1.58%;</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11.10% compared to 11.97%;</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4.31% compared to 4.32%;</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$2.0 million compared to $1.3 million;</w:t>
      </w:r>
    </w:p>
    <w:p>
      <w:pPr>
        <w:spacing w:after="0" w:line="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was no gain on the sale of branches in the current quarter compared to $1.4 million in the prior quarter;</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cash dividends continued at $0.12 per share totaling $2.1 million for each period; and</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shares of Company common stock were repurchased during the current quarter compared to 78,412 shares at an average price of $35.74 in the prior quarter.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nine months ended September 30, 2025 compared to the nine months ended September 30, 2024:</w:t>
      </w:r>
    </w:p>
    <w:p>
      <w:pPr>
        <w:spacing w:after="0" w:line="46" w:lineRule="exact"/>
        <w:rPr>
          <w:sz w:val="20"/>
          <w:szCs w:val="20"/>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$48.2 million compared to $40.6 million;</w:t>
      </w:r>
    </w:p>
    <w:p>
      <w:pPr>
        <w:spacing w:after="0" w:line="23"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were $2.79 compared to $2.37;</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1.46% compared to 1.22%;</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11.20% compared to 10.39%;</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4.27% compared to 4.06%;</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$4.9 million compared to $8.4 million;</w:t>
      </w:r>
    </w:p>
    <w:p>
      <w:pPr>
        <w:spacing w:after="0" w:line="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the sale of our two Knoxville, Tennessee branches was $1.4 million compared to $0;</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tax-free death benefit proceeds from life insurance were $0 compared to $1.1 million;</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dividends of $0.36 per share totaling $6.2 million compared to $0.33 per share totaling $5.6 million; and</w:t>
      </w:r>
    </w:p>
    <w:p>
      <w:pPr>
        <w:spacing w:after="0" w:line="8" w:lineRule="exact"/>
        <w:rPr>
          <w:rFonts w:ascii="Times New Roman" w:cs="Times New Roman" w:eastAsia="Times New Roman" w:hAnsi="Times New Roman"/>
          <w:sz w:val="16"/>
          <w:szCs w:val="16"/>
          <w:color w:val="auto"/>
        </w:rPr>
      </w:pPr>
    </w:p>
    <w:p>
      <w:pPr>
        <w:ind w:left="420" w:hanging="250"/>
        <w:spacing w:after="0" w:line="270" w:lineRule="auto"/>
        <w:tabs>
          <w:tab w:leader="none" w:pos="40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93,212 shares of Company common stock were repurchased during the nine months at an average price of $35.41 compared to 23,483 shares repurchased at an average price of $27.48 in the same period last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7"/>
                <w:szCs w:val="17"/>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7"/>
                <w:szCs w:val="17"/>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7"/>
                <w:szCs w:val="17"/>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7"/>
                <w:szCs w:val="17"/>
                <w:color w:val="auto"/>
              </w:rPr>
            </w:pPr>
          </w:p>
        </w:tc>
        <w:tc>
          <w:tcPr>
            <w:tcW w:w="14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165"/>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195,418</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69,119</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126,299</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117,899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93,482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91,488</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11,020</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48,240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share at end of period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Tangible book value per share at end of period</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price per share at end of period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per common share have been prepared in accordance with the two-class method.</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reconciliations below for adjustments.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represents our critical accounting policy:</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or ACL, on Loans. </w:t>
      </w:r>
      <w:r>
        <w:rPr>
          <w:rFonts w:ascii="Times New Roman" w:cs="Times New Roman" w:eastAsia="Times New Roman" w:hAnsi="Times New Roman"/>
          <w:sz w:val="16"/>
          <w:szCs w:val="16"/>
          <w:color w:val="auto"/>
        </w:rPr>
        <w:t>The ACL on loans held for investment reflects our estimate of credit losses that will result from the inability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borrowers to make required loan payments. We charge 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forecasts on the collectability of the loan portfolio. We recognize in net income the amount needed to adjust the ACL on loans held for</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36" w:name="page37"/>
    <w:bookmarkEnd w:id="36"/>
    <w:p>
      <w:pPr>
        <w:jc w:val="both"/>
        <w:spacing w:after="0" w:line="280" w:lineRule="auto"/>
        <w:rPr>
          <w:sz w:val="20"/>
          <w:szCs w:val="20"/>
          <w:color w:val="auto"/>
        </w:rPr>
      </w:pPr>
      <w:r>
        <w:rPr>
          <w:rFonts w:ascii="Times New Roman" w:cs="Times New Roman" w:eastAsia="Times New Roman" w:hAnsi="Times New Roman"/>
          <w:sz w:val="16"/>
          <w:szCs w:val="16"/>
          <w:color w:val="auto"/>
        </w:rPr>
        <w:t>investment and certain off-balance-sheet credit exposures for management’s current estimate of ECLs. Our ACL on loans held for investment is calculated using collectively evaluated and individually evaluated loans.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GAAP Reconciliation of Non-GAAP Financial Measures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book value and tangible book value per share: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1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540,004</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39,626</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book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557,673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540,797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500,378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17,520,425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17,492,143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17,514,922</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Tangible book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0" w:type="dxa"/>
            <w:vAlign w:val="bottom"/>
          </w:tcPr>
          <w:p>
            <w:pPr>
              <w:spacing w:after="0"/>
              <w:rPr>
                <w:sz w:val="1"/>
                <w:szCs w:val="1"/>
                <w:color w:val="auto"/>
              </w:rPr>
            </w:pPr>
          </w:p>
        </w:tc>
      </w:tr>
      <w:tr>
        <w:trPr>
          <w:trHeight w:val="36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equity to tangible assets: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13"/>
        </w:trPr>
        <w:tc>
          <w:tcPr>
            <w:tcW w:w="572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Tangible equity</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540,797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500,378</w:t>
            </w:r>
          </w:p>
        </w:tc>
        <w:tc>
          <w:tcPr>
            <w:tcW w:w="0" w:type="dxa"/>
            <w:vAlign w:val="bottom"/>
          </w:tcPr>
          <w:p>
            <w:pPr>
              <w:spacing w:after="0"/>
              <w:rPr>
                <w:sz w:val="1"/>
                <w:szCs w:val="1"/>
                <w:color w:val="auto"/>
              </w:rPr>
            </w:pP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4,592,137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4,578,053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4,637,293</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39,626</w:t>
            </w:r>
          </w:p>
        </w:tc>
        <w:tc>
          <w:tcPr>
            <w:tcW w:w="0" w:type="dxa"/>
            <w:vAlign w:val="bottom"/>
          </w:tcPr>
          <w:p>
            <w:pPr>
              <w:spacing w:after="0"/>
              <w:rPr>
                <w:sz w:val="1"/>
                <w:szCs w:val="1"/>
                <w:color w:val="auto"/>
              </w:rPr>
            </w:pP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tangible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4,553,977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4,539,576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4,597,667</w:t>
            </w: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equity to tangible assets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12.25 %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Three Months Ended September 30, 2025 and June 30, 2025</w:t>
      </w:r>
    </w:p>
    <w:p>
      <w:pPr>
        <w:spacing w:after="0" w:line="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$16.5 million, or $0.95 per diluted share, for the three months ended September 30, 2025 compared to $17.2 million, or $1.00 per diluted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 for the three months ended June 30, 2025, a decrease of $719,000, or 4.2%. Results for the three months ended September 30, 2025 were positively impacted by a $1.2 million increase in net interest income, offset by a $712,000 increase in the provision for credit losses and a $1.4 million decrease in noninterest income due to a $1.4 million gain on the sale of two branch locations in the prior quarter, with no similar activity in the current quarter. Details of the changes in the various components of net income are further discussed below.</w:t>
      </w:r>
    </w:p>
    <w:p>
      <w:pPr>
        <w:spacing w:after="0" w:line="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gridSpan w:val="6"/>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16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3"/>
                <w:szCs w:val="13"/>
                <w:color w:val="auto"/>
              </w:rPr>
            </w:pPr>
          </w:p>
        </w:tc>
        <w:tc>
          <w:tcPr>
            <w:tcW w:w="94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80" w:type="dxa"/>
            <w:vAlign w:val="bottom"/>
          </w:tcPr>
          <w:p>
            <w:pPr>
              <w:spacing w:after="0"/>
              <w:rPr>
                <w:sz w:val="14"/>
                <w:szCs w:val="14"/>
                <w:color w:val="auto"/>
              </w:rPr>
            </w:pPr>
          </w:p>
        </w:tc>
        <w:tc>
          <w:tcPr>
            <w:tcW w:w="94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Paid</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3,876,200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6.32 %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3,804,502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6.37 %</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4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4,174,704</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65,395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4,103,288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63,641</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256,449</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263,603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4,431,153</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4,366,891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544,229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0.79 %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0.89 %</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1,330,856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932,361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868,321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2,984,106</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2,944,451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4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3,023,001</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2,985,759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19,412</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744,585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60,692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3,841,521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3,790,317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589,632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576,574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4,431,153</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4,366,891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1,151,703</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1,117,529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Average interest-earning assets to average interest-</w:t>
            </w: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138.10 %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137.43 %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44,229</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3.58 %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3.61 %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4.31 %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4.32 %</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Tax-equivalent</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44,660</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3.63 %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3.65 %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4.36 %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4.37 %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receivable balances include loans held for sale and nonaccruing loans.</w:t>
      </w:r>
    </w:p>
    <w:p>
      <w:pPr>
        <w:spacing w:after="0" w:line="2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other interest-earning assets consist of FRB stock, FHLB stock, SBIC investments and deposits in other banks.</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divided by average interest-earning assets.</w:t>
      </w:r>
    </w:p>
    <w:p>
      <w:pPr>
        <w:spacing w:after="0" w:line="14" w:lineRule="exact"/>
        <w:rPr>
          <w:rFonts w:ascii="Times New Roman" w:cs="Times New Roman" w:eastAsia="Times New Roman" w:hAnsi="Times New Roman"/>
          <w:sz w:val="14"/>
          <w:szCs w:val="14"/>
          <w:color w:val="auto"/>
        </w:rPr>
      </w:pPr>
    </w:p>
    <w:p>
      <w:pPr>
        <w:ind w:left="260" w:hanging="252"/>
        <w:spacing w:after="0" w:line="283" w:lineRule="auto"/>
        <w:tabs>
          <w:tab w:leader="none" w:pos="2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Tax-equivalent results include adjustments to interest income of $440 and $431 for the three months ended September 30, 2025 and June 30, 2025, respectively, calculated based on a combined federal and state tax rate of 24%.</w:t>
      </w:r>
    </w:p>
    <w:p>
      <w:pPr>
        <w:spacing w:after="0" w:line="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Total interest and dividend income for the three months ended September 30, 2025 increased $1.8 million when compared to the three months ended June 30, 2025. Regarding the components of this income, loan interest income increased $1.3 million, or 2.2%, primarily due to an overall increase in the average loan balance and an additional day in the current quarter, and interest income on other interest-bearing assets increased $441,000, or 28.5%, mainly due to a $421,000, or 154.8%, increase in SBIC investment income where significant investment</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38" w:name="page39"/>
    <w:bookmarkEnd w:id="38"/>
    <w:p>
      <w:pPr>
        <w:spacing w:after="0" w:line="280" w:lineRule="auto"/>
        <w:rPr>
          <w:sz w:val="20"/>
          <w:szCs w:val="20"/>
          <w:color w:val="auto"/>
        </w:rPr>
      </w:pPr>
      <w:r>
        <w:rPr>
          <w:rFonts w:ascii="Times New Roman" w:cs="Times New Roman" w:eastAsia="Times New Roman" w:hAnsi="Times New Roman"/>
          <w:sz w:val="16"/>
          <w:szCs w:val="16"/>
          <w:color w:val="auto"/>
        </w:rPr>
        <w:t>appreciation was recognized in the current quarter. Accretion income on acquired loans of $352,000 and $1.0 million was recognized during the same periods, respectively, and was included in interest income on loans.</w:t>
      </w:r>
    </w:p>
    <w:p>
      <w:pPr>
        <w:spacing w:after="0" w:line="3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Total interest expense for the three months ended September 30, 2025 increased $594,000, or 3.1%, compared to the three months ended June 30, 2025. The change was primarily the result of an increase in the average balance of certificate accounts.</w:t>
      </w:r>
    </w:p>
    <w:p>
      <w:pPr>
        <w:spacing w:after="0" w:line="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the difference in the number of days in the periods compared, and average interest rates (rate) had on the interest earned on interest-earning assets and interest paid on interest-bearing liabilities:</w:t>
      </w: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3"/>
          </w:tcPr>
          <w:p>
            <w:pPr>
              <w:jc w:val="center"/>
              <w:ind w:left="119"/>
              <w:spacing w:after="0" w:line="178" w:lineRule="exact"/>
              <w:rPr>
                <w:sz w:val="20"/>
                <w:szCs w:val="20"/>
                <w:color w:val="auto"/>
              </w:rPr>
            </w:pPr>
            <w:r>
              <w:rPr>
                <w:rFonts w:ascii="Times New Roman" w:cs="Times New Roman" w:eastAsia="Times New Roman" w:hAnsi="Times New Roman"/>
                <w:sz w:val="16"/>
                <w:szCs w:val="16"/>
                <w:b w:val="1"/>
                <w:bCs w:val="1"/>
                <w:color w:val="auto"/>
              </w:rPr>
              <w:t>Increase / (Decrease)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7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20" w:type="dxa"/>
            <w:vAlign w:val="bottom"/>
            <w:gridSpan w:val="3"/>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Rate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receivable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19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in net interest income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Credit Losses. </w:t>
      </w:r>
      <w:r>
        <w:rPr>
          <w:rFonts w:ascii="Times New Roman" w:cs="Times New Roman" w:eastAsia="Times New Roman" w:hAnsi="Times New Roman"/>
          <w:sz w:val="16"/>
          <w:szCs w:val="16"/>
          <w:color w:val="auto"/>
        </w:rPr>
        <w:t>The provision for credit losses is the amount of expense that, based on our judgment, is required to maintain the ACL at an appropriate level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 the current expected credit losses model.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breakdown of the components of the provision for credit losses: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68"/>
        </w:trPr>
        <w:tc>
          <w:tcPr>
            <w:tcW w:w="4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07"/>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provision for credit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quarter ended September 30, 2025, the "loans" portion of the provision for credit losses was the result of the following, offset by net charge-offs of $2.8 million during the quarter:</w:t>
      </w:r>
    </w:p>
    <w:p>
      <w:pPr>
        <w:spacing w:after="0" w:line="1" w:lineRule="exact"/>
        <w:rPr>
          <w:sz w:val="20"/>
          <w:szCs w:val="20"/>
          <w:color w:val="auto"/>
        </w:rPr>
      </w:pPr>
    </w:p>
    <w:p>
      <w:pPr>
        <w:ind w:left="320" w:hanging="231"/>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$0.6 million benefit driven by changes in the loan mix.</w:t>
      </w:r>
    </w:p>
    <w:p>
      <w:pPr>
        <w:spacing w:after="0" w:line="26"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 million provision due to changes in the projected economic forecast, specifically the national unemployment rate, and changes in qualitative adjustments.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$0.6 million decrease in specific reserves on individually evaluated loans.</w:t>
      </w:r>
    </w:p>
    <w:p>
      <w:pPr>
        <w:spacing w:after="0" w:line="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For the quarter ended June 30, 2025, the "loans" portion of the provision for credit losses was the result of the following, offset by net charge-offs of $2.0 million during the quarter:</w:t>
      </w:r>
    </w:p>
    <w:p>
      <w:pPr>
        <w:spacing w:after="0" w:line="1" w:lineRule="exact"/>
        <w:rPr>
          <w:sz w:val="20"/>
          <w:szCs w:val="20"/>
          <w:color w:val="auto"/>
        </w:rPr>
      </w:pPr>
    </w:p>
    <w:p>
      <w:pPr>
        <w:ind w:left="320" w:hanging="231"/>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$0.3 million benefit driven by changes in the loan mix.</w:t>
      </w:r>
    </w:p>
    <w:p>
      <w:pPr>
        <w:spacing w:after="0" w:line="26" w:lineRule="exact"/>
        <w:rPr>
          <w:rFonts w:ascii="Times New Roman" w:cs="Times New Roman" w:eastAsia="Times New Roman" w:hAnsi="Times New Roman"/>
          <w:sz w:val="16"/>
          <w:szCs w:val="16"/>
          <w:color w:val="auto"/>
        </w:rPr>
      </w:pPr>
    </w:p>
    <w:p>
      <w:pPr>
        <w:jc w:val="both"/>
        <w:ind w:left="340" w:hanging="251"/>
        <w:spacing w:after="0" w:line="254" w:lineRule="auto"/>
        <w:tabs>
          <w:tab w:leader="none" w:pos="3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million benefit due to changes in qualitative adjustments, partially offset by a slight worsening of the projected economic forecast, specifically the national unemployment rate. Of note, we released the $2.2 million qualitative allocation previously established for the potential impact of Hurricane Helene upon our loan portfolio which had been established in the quarter ended September 30, 2024. Any residual impact of the Hurricane was believed to have been reflected elsewhere within the ACL calculation.</w:t>
      </w:r>
    </w:p>
    <w:p>
      <w:pPr>
        <w:ind w:left="320" w:hanging="231"/>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increase in specific reserves on individually evaluated loans.</w:t>
      </w:r>
    </w:p>
    <w:p>
      <w:pPr>
        <w:spacing w:after="0" w:line="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the quarters ended September 30, 2025 and June 30, 2025, the amounts recorded for off-balance-sheet credit exposure were the result of changes in the balance of loan commitments, loan mix, projected economic forecast and qualitative allocations as outlined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three months ended September 30, 2025 decreased $1.4 million, or 13.8%, when compared to the quarter ended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2025. Changes in the components of noninterest income are discussed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branches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premises and equipment</w:t>
            </w:r>
          </w:p>
        </w:tc>
        <w:tc>
          <w:tcPr>
            <w:tcW w:w="16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r>
      <w:tr>
        <w:trPr>
          <w:trHeight w:val="212"/>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left="340" w:hanging="251"/>
        <w:spacing w:after="0" w:line="257" w:lineRule="auto"/>
        <w:tabs>
          <w:tab w:leader="none" w:pos="329"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decrease was primarily driven by a reduction in the sales volume of HELOCs originated for sale, partially offset by increased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volume of residential mortgage and SBA commercial loans. There were $45.3 million of HELOCs originated for sale which were sold during the current quarter with gains of $243,000 compared to $108.8 million sold with gains of $954,000 in the prior quarter. There were $33.3 million of residential mortgage loans sold for gains of $764,000 during the current quarter compared to $30.3 million sold with gains of $558,000 in the prior quarter. There were $9.8 million in sales of the guaranteed portion of SBA commercial loans with gains of $595,000 for the current quarter compared to $7.3 million sold and gains of $570,000 for the prior quarter. Our hedging of mandatory commitments on the residential mortgage loan pipeline resulted in a net gain of $123,000 for the current quarter compared to a net gain of $27,000 for the prior quarter.</w:t>
      </w:r>
    </w:p>
    <w:p>
      <w:pPr>
        <w:spacing w:after="0" w:line="4" w:lineRule="exact"/>
        <w:rPr>
          <w:rFonts w:ascii="Times New Roman" w:cs="Times New Roman" w:eastAsia="Times New Roman" w:hAnsi="Times New Roman"/>
          <w:sz w:val="16"/>
          <w:szCs w:val="16"/>
          <w:b w:val="1"/>
          <w:bCs w:val="1"/>
          <w:i w:val="1"/>
          <w:iCs w:val="1"/>
          <w:color w:val="auto"/>
        </w:rPr>
      </w:pPr>
    </w:p>
    <w:p>
      <w:pPr>
        <w:jc w:val="both"/>
        <w:ind w:left="340" w:hanging="251"/>
        <w:spacing w:after="0" w:line="252" w:lineRule="auto"/>
        <w:tabs>
          <w:tab w:leader="none" w:pos="32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Gain on sale of branches: </w:t>
      </w:r>
      <w:r>
        <w:rPr>
          <w:rFonts w:ascii="Times New Roman" w:cs="Times New Roman" w:eastAsia="Times New Roman" w:hAnsi="Times New Roman"/>
          <w:sz w:val="16"/>
          <w:szCs w:val="16"/>
          <w:color w:val="auto"/>
        </w:rPr>
        <w:t>On May 23,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completed the previously announced sale of our two Knoxville, Tennessee branches, recognizing a gain of $1.4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The gain was primarily the result of a premium received on the deposits assumed by the purchasing institution, partially offset by expenses associated with the transaction. No similar activity occurred during the current quarter.</w:t>
      </w:r>
    </w:p>
    <w:p>
      <w:pPr>
        <w:ind w:left="320" w:hanging="231"/>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increase was driven by $290,000 in additional investment services income quarter-over-quarter.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Noninterest Expense.  </w:t>
      </w:r>
      <w:r>
        <w:rPr>
          <w:rFonts w:ascii="Times New Roman" w:cs="Times New Roman" w:eastAsia="Times New Roman" w:hAnsi="Times New Roman"/>
          <w:sz w:val="16"/>
          <w:szCs w:val="16"/>
          <w:color w:val="auto"/>
        </w:rPr>
        <w:t>Noninterest expense for the three months ended September 30, 2025 remained stable, when compared to the three months ended June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components of noninterest expense are discussed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depreciation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340" w:hanging="251"/>
        <w:spacing w:after="0" w:line="301" w:lineRule="auto"/>
        <w:tabs>
          <w:tab w:leader="none" w:pos="329"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change was driven by a $96,000 decline in losses recognized on the sale of repossessed assets in addition to small decreases across several other expense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w:t>
      </w:r>
    </w:p>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tax-exempt income, changes in the statutory rate and the effect of changes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valuation allowances maintained against deferred tax benefits. The effective tax rates for the three months ended September 30, 2025 and June 30, 2025 were 20.9% and 21.2%,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Nine Months Ended September 30, 2025 and September 30, 2024</w:t>
      </w:r>
    </w:p>
    <w:p>
      <w:pPr>
        <w:spacing w:after="0" w:line="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$48.2 million, or $2.79 per diluted share, for the nine months ended September 30, 2025 compared to $40.6 million, or $2.37 per diluted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 for the nine months ended September 30, 2024, an increase of $7.6 million, or 18.8%. The results for the nine months ended September 30, 2025 were positively impacted by a $6.2 million increase in net interest income, a decrease of $3.5 million in the provision for credit losses, and a $1.7 million increase in noninterest income, partially offset by a $2.0 million increase in noninterest expense. Details of the changes in the various components of net income are further discussed below.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1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0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19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3,827,840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6.32 %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3,883,040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6.38 %</w:t>
            </w:r>
          </w:p>
        </w:tc>
        <w:tc>
          <w:tcPr>
            <w:tcW w:w="0" w:type="dxa"/>
            <w:vAlign w:val="bottom"/>
          </w:tcPr>
          <w:p>
            <w:pPr>
              <w:spacing w:after="0"/>
              <w:rPr>
                <w:sz w:val="1"/>
                <w:szCs w:val="1"/>
                <w:color w:val="auto"/>
              </w:rPr>
            </w:pPr>
          </w:p>
        </w:tc>
      </w:tr>
      <w:tr>
        <w:trPr>
          <w:trHeight w:val="213"/>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168,984</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138,956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4,146,349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4,155,775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195,418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262,029</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276,516</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4,408,378</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4,432,291</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560,348</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0.87 %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574,954</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0.96 %</w:t>
            </w:r>
          </w:p>
        </w:tc>
        <w:tc>
          <w:tcPr>
            <w:tcW w:w="0" w:type="dxa"/>
            <w:vAlign w:val="bottom"/>
          </w:tcPr>
          <w:p>
            <w:pPr>
              <w:spacing w:after="0"/>
              <w:rPr>
                <w:sz w:val="1"/>
                <w:szCs w:val="1"/>
                <w:color w:val="auto"/>
              </w:rPr>
            </w:pPr>
          </w:p>
        </w:tc>
      </w:tr>
      <w:tr>
        <w:trPr>
          <w:trHeight w:val="213"/>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1,335,414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180,760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917,394</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934,702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2,993,916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3,002,320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3"/>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24,117</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3,028,188</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3,089,197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740,785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63,791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55,217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3,832,764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575,614</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521,767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4,408,378</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4,432,291</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1,118,161</w:t>
            </w: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1,066,578</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Average interest-earning assets to average interest-</w:t>
            </w:r>
          </w:p>
        </w:tc>
        <w:tc>
          <w:tcPr>
            <w:tcW w:w="1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136.93 %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134.53 %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3.55 %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3.29 %</w:t>
            </w:r>
          </w:p>
        </w:tc>
        <w:tc>
          <w:tcPr>
            <w:tcW w:w="0" w:type="dxa"/>
            <w:vAlign w:val="bottom"/>
          </w:tcPr>
          <w:p>
            <w:pPr>
              <w:spacing w:after="0" w:line="20" w:lineRule="exact"/>
              <w:rPr>
                <w:sz w:val="1"/>
                <w:szCs w:val="1"/>
                <w:color w:val="auto"/>
              </w:rPr>
            </w:pPr>
          </w:p>
        </w:tc>
      </w:tr>
      <w:tr>
        <w:trPr>
          <w:trHeight w:val="160"/>
        </w:trPr>
        <w:tc>
          <w:tcPr>
            <w:tcW w:w="3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4.06 %</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Tax-equivalent</w:t>
            </w:r>
            <w:r>
              <w:rPr>
                <w:rFonts w:ascii="Times New Roman" w:cs="Times New Roman" w:eastAsia="Times New Roman" w:hAnsi="Times New Roman"/>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3.33 %</w:t>
            </w:r>
          </w:p>
        </w:tc>
        <w:tc>
          <w:tcPr>
            <w:tcW w:w="0" w:type="dxa"/>
            <w:vAlign w:val="bottom"/>
          </w:tcPr>
          <w:p>
            <w:pPr>
              <w:spacing w:after="0" w:line="20" w:lineRule="exact"/>
              <w:rPr>
                <w:sz w:val="1"/>
                <w:szCs w:val="1"/>
                <w:color w:val="auto"/>
              </w:rPr>
            </w:pPr>
          </w:p>
        </w:tc>
      </w:tr>
      <w:tr>
        <w:trPr>
          <w:trHeight w:val="160"/>
        </w:trPr>
        <w:tc>
          <w:tcPr>
            <w:tcW w:w="3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4.31 %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4.09 %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0" w:hanging="232"/>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receivable balances include loans held for sale and nonaccruing loans.</w:t>
      </w:r>
    </w:p>
    <w:p>
      <w:pPr>
        <w:spacing w:after="0" w:line="2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other interest-earning assets consist of FRB stock, FHLB stock, SBIC investments and deposits in other banks.</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divided by average interest-earning assets.</w:t>
      </w:r>
    </w:p>
    <w:p>
      <w:pPr>
        <w:spacing w:after="0" w:line="14" w:lineRule="exact"/>
        <w:rPr>
          <w:rFonts w:ascii="Times New Roman" w:cs="Times New Roman" w:eastAsia="Times New Roman" w:hAnsi="Times New Roman"/>
          <w:sz w:val="14"/>
          <w:szCs w:val="14"/>
          <w:color w:val="auto"/>
        </w:rPr>
      </w:pPr>
    </w:p>
    <w:p>
      <w:pPr>
        <w:ind w:left="260" w:right="20" w:hanging="252"/>
        <w:spacing w:after="0" w:line="263" w:lineRule="auto"/>
        <w:tabs>
          <w:tab w:leader="none" w:pos="2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Tax-equivalent results include adjustments to interest income of $1,289 and $1,072 for the nine months ended September 30, 2025 and September 30, 2024, respectively, calculated based on a combined federal and state tax rate of 24%.</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Total interest and dividend income for the nine months ended September 30, 2025 decreased $2.7 million, or 1.4%, compared to the nine months ended September 30, 2024, which was driven by a $4.6 million, or 2.5%, decrease in interest income on loans, partially offset by an increase of $1.2 million, or 21.3%, in income from other interest-bearing assets and an increase of $683,000, or 15.4%, in income from debt securities available for sale. Accretion income on acquired loans of $1.7 million and $2.0 million was recognized during the same periods, respectively, and was included in interest income on loans. The overall decrease in average yield on interest-earning assets was mainly the result of both a reduction in interest rates and a decline in the average balance of the loan portfolio where we continue to be focused on prudent loan growth.</w:t>
      </w:r>
    </w:p>
    <w:p>
      <w:pPr>
        <w:spacing w:after="0" w:line="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Total interest expense for the nine months ended September 30, 2025 decreased $9.0 million, or 13.0%, compared to the nine months ended September 30, 2024. The change was primarily the result of a decrease in the average balance of borrowings in addition to the cost of funds across all funding sources.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line="280"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the difference in the number of days in the periods compared, and average interest rates (rate) had on the interest earned on interest-earning assets and interest paid on interest-bearing liabilities: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9"/>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140" w:type="dxa"/>
            <w:vAlign w:val="bottom"/>
          </w:tcPr>
          <w:p>
            <w:pPr>
              <w:spacing w:after="0"/>
              <w:rPr>
                <w:sz w:val="16"/>
                <w:szCs w:val="16"/>
                <w:color w:val="auto"/>
              </w:rPr>
            </w:pPr>
          </w:p>
        </w:tc>
        <w:tc>
          <w:tcPr>
            <w:tcW w:w="11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5"/>
            <w:vMerge w:val="restart"/>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vMerge w:val="continue"/>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1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receivable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(2,802)</w:t>
            </w:r>
          </w:p>
        </w:tc>
        <w:tc>
          <w:tcPr>
            <w:tcW w:w="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0" w:type="dxa"/>
            <w:vAlign w:val="bottom"/>
          </w:tcPr>
          <w:p>
            <w:pPr>
              <w:spacing w:after="0"/>
              <w:rPr>
                <w:sz w:val="1"/>
                <w:szCs w:val="1"/>
                <w:color w:val="auto"/>
              </w:rPr>
            </w:pPr>
          </w:p>
        </w:tc>
      </w:tr>
      <w:tr>
        <w:trPr>
          <w:trHeight w:val="19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(2,436)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in net interest income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6,226</w:t>
            </w:r>
          </w:p>
        </w:tc>
        <w:tc>
          <w:tcPr>
            <w:tcW w:w="0" w:type="dxa"/>
            <w:vAlign w:val="bottom"/>
          </w:tcPr>
          <w:p>
            <w:pPr>
              <w:spacing w:after="0"/>
              <w:rPr>
                <w:sz w:val="1"/>
                <w:szCs w:val="1"/>
                <w:color w:val="auto"/>
              </w:rPr>
            </w:pPr>
          </w:p>
        </w:tc>
      </w:tr>
      <w:tr>
        <w:trPr>
          <w:trHeight w:val="21"/>
        </w:trPr>
        <w:tc>
          <w:tcPr>
            <w:tcW w:w="858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Provision for Credit Losses. </w:t>
            </w:r>
            <w:r>
              <w:rPr>
                <w:rFonts w:ascii="Times New Roman" w:cs="Times New Roman" w:eastAsia="Times New Roman" w:hAnsi="Times New Roman"/>
                <w:sz w:val="16"/>
                <w:szCs w:val="16"/>
                <w:color w:val="auto"/>
              </w:rPr>
              <w:t>The following table presents a breakdown of the components of the provision for credit losses: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858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76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2,723</w:t>
            </w:r>
          </w:p>
        </w:tc>
        <w:tc>
          <w:tcPr>
            <w:tcW w:w="0" w:type="dxa"/>
            <w:vAlign w:val="bottom"/>
          </w:tcPr>
          <w:p>
            <w:pPr>
              <w:spacing w:after="0"/>
              <w:rPr>
                <w:sz w:val="1"/>
                <w:szCs w:val="1"/>
                <w:color w:val="auto"/>
              </w:rPr>
            </w:pPr>
          </w:p>
        </w:tc>
      </w:tr>
      <w:tr>
        <w:trPr>
          <w:trHeight w:val="207"/>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provision for credit losses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For the nine months ended September 30, 2025, the "loans" portion of the provision for credit losses was the result of the following, offset by net charge-offs of $6.1 million during the period.</w:t>
      </w:r>
    </w:p>
    <w:p>
      <w:pPr>
        <w:spacing w:after="0" w:line="1" w:lineRule="exact"/>
        <w:rPr>
          <w:sz w:val="20"/>
          <w:szCs w:val="20"/>
          <w:color w:val="auto"/>
        </w:rPr>
      </w:pPr>
    </w:p>
    <w:p>
      <w:pPr>
        <w:ind w:left="400" w:hanging="230"/>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million benefit driven by changes in the loan mix.</w:t>
      </w:r>
    </w:p>
    <w:p>
      <w:pPr>
        <w:spacing w:after="0" w:line="23" w:lineRule="exact"/>
        <w:rPr>
          <w:rFonts w:ascii="Times New Roman" w:cs="Times New Roman" w:eastAsia="Times New Roman" w:hAnsi="Times New Roman"/>
          <w:sz w:val="16"/>
          <w:szCs w:val="16"/>
          <w:color w:val="auto"/>
        </w:rPr>
      </w:pPr>
    </w:p>
    <w:p>
      <w:pPr>
        <w:jc w:val="both"/>
        <w:ind w:left="420" w:hanging="250"/>
        <w:spacing w:after="0" w:line="252" w:lineRule="auto"/>
        <w:tabs>
          <w:tab w:leader="none" w:pos="40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million benefit due to changes in qualitative adjustments, partially offset by a slight worsening of the projected economic forecast, specifically the national unemployment rate. Of note, we released the $2.2 million qualitative allocation previously established for the potential impact of Hurricane Helene upon our loan portfolio which had been established in the quarter ended September 30, 2024. Any residual impact of the Hurricane is believed to have now been reflected elsewhere within the ACL calculation.</w:t>
      </w:r>
    </w:p>
    <w:p>
      <w:pPr>
        <w:ind w:left="400" w:hanging="230"/>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$0.8 million increase in specific reserves on individually evaluated loans.</w:t>
      </w:r>
    </w:p>
    <w:p>
      <w:pPr>
        <w:spacing w:after="0" w:line="7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the nine months ended September 30, 2024, the "loans" portion of the provision for credit losses was the result of net charge-offs of $8.9 million during the period, partially offset by a $0.4 million benefit due to changes in the loan mix.</w:t>
      </w:r>
    </w:p>
    <w:p>
      <w:pPr>
        <w:spacing w:after="0" w:line="3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For the nine months ended September 30, 2025 and September 30, 2024, the amounts recorded for off-balance-sheet credit exposure were the result of changes in the balance of loan commitments, loan mix and projected economic forecast as outlined above.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nine months ended September 30, 2025 increased $1.7 million, or 6.9%, when compared to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components of noninterest income are discussed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branches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411</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left="420" w:hanging="250"/>
        <w:spacing w:after="0" w:line="259" w:lineRule="auto"/>
        <w:tabs>
          <w:tab w:leader="none" w:pos="409"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increase was primarily driven by growth in the volume of HELOCs and residential mortgage loans sold during the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partially offset by a reduction in the sale of the guaranteed portion of SBA commercial loans. During the nine months ended September 30, 2025, there were $243.5 million of HELOCs sold with gains of $2.3 million compared to $95.4 million sold with gains of $887,000 for the corresponding period in the prior year. There were $82.4 million of residential mortgage loans originated for sale which were sold with gains of $1.8 million compared to $58.3 million sold with gains of $1.1 million for the corresponding period in the prior year. There were $21.6 million of sales of the guaranteed portion of SBA commercial loans with gains of $1.5 million compared to $38.5 million sold and gains of $3.1 million for the corresponding period in the prior year. Our hedging of mandatory commitments on the residential mortgage loan pipeline resulted in a net gain of $163,000 for the nine months ended September 30, 2025 versus $15,000 for the nine months ended September 30, 2024.</w:t>
      </w:r>
    </w:p>
    <w:p>
      <w:pPr>
        <w:spacing w:after="0" w:line="182" w:lineRule="exact"/>
        <w:rPr>
          <w:rFonts w:ascii="Times New Roman" w:cs="Times New Roman" w:eastAsia="Times New Roman" w:hAnsi="Times New Roman"/>
          <w:sz w:val="16"/>
          <w:szCs w:val="16"/>
          <w:b w:val="1"/>
          <w:bCs w:val="1"/>
          <w:i w:val="1"/>
          <w:iCs w:val="1"/>
          <w:color w:val="auto"/>
        </w:rPr>
      </w:pPr>
    </w:p>
    <w:p>
      <w:pPr>
        <w:jc w:val="both"/>
        <w:ind w:left="420" w:hanging="250"/>
        <w:spacing w:after="0" w:line="252" w:lineRule="auto"/>
        <w:tabs>
          <w:tab w:leader="none" w:pos="409"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BOLI income: </w:t>
      </w:r>
      <w:r>
        <w:rPr>
          <w:rFonts w:ascii="Times New Roman" w:cs="Times New Roman" w:eastAsia="Times New Roman" w:hAnsi="Times New Roman"/>
          <w:sz w:val="16"/>
          <w:szCs w:val="16"/>
          <w:color w:val="auto"/>
        </w:rPr>
        <w:t>The decrease was due to $1.1 million in tax-free gains on death benefit proceeds in excess of the cash surrender value of the policies recognized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period with no similar activity in the current period, partially offset by higher yielding policies as a result of restructuring the portfolio at the end of the calendar year ended December 31, 2023.</w:t>
      </w:r>
    </w:p>
    <w:p>
      <w:pPr>
        <w:ind w:left="420" w:hanging="250"/>
        <w:spacing w:after="0" w:line="248" w:lineRule="auto"/>
        <w:tabs>
          <w:tab w:leader="none" w:pos="409"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Gain on sale of branches: </w:t>
      </w:r>
      <w:r>
        <w:rPr>
          <w:rFonts w:ascii="Times New Roman" w:cs="Times New Roman" w:eastAsia="Times New Roman" w:hAnsi="Times New Roman"/>
          <w:sz w:val="16"/>
          <w:szCs w:val="16"/>
          <w:color w:val="auto"/>
        </w:rPr>
        <w:t>As discussed earlier, during the current period we completed the previously announced sale of our two Knoxville, Tennessee branches,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recognizing a gain of $1.4 million in the current period, with no similar activity occurring in the prior period.</w:t>
      </w:r>
    </w:p>
    <w:p>
      <w:pPr>
        <w:spacing w:after="0" w:line="1" w:lineRule="exact"/>
        <w:rPr>
          <w:rFonts w:ascii="Times New Roman" w:cs="Times New Roman" w:eastAsia="Times New Roman" w:hAnsi="Times New Roman"/>
          <w:sz w:val="16"/>
          <w:szCs w:val="16"/>
          <w:i w:val="1"/>
          <w:iCs w:val="1"/>
          <w:color w:val="auto"/>
        </w:rPr>
      </w:pPr>
    </w:p>
    <w:p>
      <w:pPr>
        <w:ind w:left="420" w:hanging="250"/>
        <w:spacing w:after="0" w:line="270" w:lineRule="auto"/>
        <w:tabs>
          <w:tab w:leader="none" w:pos="409"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change was driven by $109,000 in additional investment services income period-over-period in addition to smaller increases across several other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Noninterest Expense.  </w:t>
      </w:r>
      <w:r>
        <w:rPr>
          <w:rFonts w:ascii="Times New Roman" w:cs="Times New Roman" w:eastAsia="Times New Roman" w:hAnsi="Times New Roman"/>
          <w:sz w:val="16"/>
          <w:szCs w:val="16"/>
          <w:color w:val="auto"/>
        </w:rPr>
        <w:t>Noninterest expense for the nine months ended September 30, 2025 increased $2.0 million, or 2.2%, when compared to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components of noninterest expense are discussed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100" w:type="dxa"/>
            <w:vAlign w:val="bottom"/>
          </w:tcPr>
          <w:p>
            <w:pPr>
              <w:spacing w:after="0"/>
              <w:rPr>
                <w:sz w:val="18"/>
                <w:szCs w:val="18"/>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7 %</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depreciation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400" w:hanging="230"/>
        <w:spacing w:after="0"/>
        <w:tabs>
          <w:tab w:leader="none" w:pos="400" w:val="left"/>
        </w:tabs>
        <w:numPr>
          <w:ilvl w:val="0"/>
          <w:numId w:val="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Salaries and employee benefits</w:t>
      </w:r>
      <w:r>
        <w:rPr>
          <w:rFonts w:ascii="Times New Roman" w:cs="Times New Roman" w:eastAsia="Times New Roman" w:hAnsi="Times New Roman"/>
          <w:sz w:val="16"/>
          <w:szCs w:val="16"/>
          <w:color w:val="auto"/>
        </w:rPr>
        <w:t>: The increase was primarily the result of increases in both pay and incentive compensation.</w:t>
      </w:r>
    </w:p>
    <w:p>
      <w:pPr>
        <w:spacing w:after="0" w:line="25" w:lineRule="exact"/>
        <w:rPr>
          <w:rFonts w:ascii="Times New Roman" w:cs="Times New Roman" w:eastAsia="Times New Roman" w:hAnsi="Times New Roman"/>
          <w:sz w:val="16"/>
          <w:szCs w:val="16"/>
          <w:b w:val="1"/>
          <w:bCs w:val="1"/>
          <w:i w:val="1"/>
          <w:iCs w:val="1"/>
          <w:color w:val="auto"/>
        </w:rPr>
      </w:pPr>
    </w:p>
    <w:p>
      <w:pPr>
        <w:ind w:left="420" w:right="20" w:hanging="250"/>
        <w:spacing w:after="0" w:line="255" w:lineRule="auto"/>
        <w:tabs>
          <w:tab w:leader="none" w:pos="409" w:val="left"/>
        </w:tabs>
        <w:numPr>
          <w:ilvl w:val="0"/>
          <w:numId w:val="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Computer services: </w:t>
      </w:r>
      <w:r>
        <w:rPr>
          <w:rFonts w:ascii="Times New Roman" w:cs="Times New Roman" w:eastAsia="Times New Roman" w:hAnsi="Times New Roman"/>
          <w:sz w:val="16"/>
          <w:szCs w:val="16"/>
          <w:color w:val="auto"/>
        </w:rPr>
        <w:t>At the end of the prior calendar year, we finalized the multiyear renewal of our largest core processing contract. The decrease in expense period-over-period is a reflection of the improved vendor pricing negotiated through this effort.</w:t>
      </w:r>
    </w:p>
    <w:p>
      <w:pPr>
        <w:ind w:left="420" w:hanging="250"/>
        <w:spacing w:after="0" w:line="248" w:lineRule="auto"/>
        <w:tabs>
          <w:tab w:leader="none" w:pos="409"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Marketing and advertising: </w:t>
      </w:r>
      <w:r>
        <w:rPr>
          <w:rFonts w:ascii="Times New Roman" w:cs="Times New Roman" w:eastAsia="Times New Roman" w:hAnsi="Times New Roman"/>
          <w:sz w:val="16"/>
          <w:szCs w:val="16"/>
          <w:color w:val="auto"/>
        </w:rPr>
        <w:t>The decrease was the result of a reduction in spending in the nine months ended September 30, 2025 when compared to the same period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prior year, as we re-evaluated our marketing strategy for future periods.</w:t>
      </w:r>
    </w:p>
    <w:p>
      <w:pPr>
        <w:spacing w:after="0" w:line="1" w:lineRule="exact"/>
        <w:rPr>
          <w:rFonts w:ascii="Times New Roman" w:cs="Times New Roman" w:eastAsia="Times New Roman" w:hAnsi="Times New Roman"/>
          <w:sz w:val="16"/>
          <w:szCs w:val="16"/>
          <w:i w:val="1"/>
          <w:iCs w:val="1"/>
          <w:color w:val="auto"/>
        </w:rPr>
      </w:pPr>
    </w:p>
    <w:p>
      <w:pPr>
        <w:ind w:left="400" w:hanging="230"/>
        <w:spacing w:after="0"/>
        <w:tabs>
          <w:tab w:leader="none" w:pos="400"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Deposit insurance premiums: </w:t>
      </w:r>
      <w:r>
        <w:rPr>
          <w:rFonts w:ascii="Times New Roman" w:cs="Times New Roman" w:eastAsia="Times New Roman" w:hAnsi="Times New Roman"/>
          <w:sz w:val="16"/>
          <w:szCs w:val="16"/>
          <w:color w:val="auto"/>
        </w:rPr>
        <w:t>The decrease period-over-period was the result of higher regulatory capital ratios.</w:t>
      </w:r>
    </w:p>
    <w:p>
      <w:pPr>
        <w:spacing w:after="0" w:line="15" w:lineRule="exact"/>
        <w:rPr>
          <w:rFonts w:ascii="Times New Roman" w:cs="Times New Roman" w:eastAsia="Times New Roman" w:hAnsi="Times New Roman"/>
          <w:sz w:val="16"/>
          <w:szCs w:val="16"/>
          <w:i w:val="1"/>
          <w:iCs w:val="1"/>
          <w:color w:val="auto"/>
        </w:rPr>
      </w:pPr>
    </w:p>
    <w:p>
      <w:pPr>
        <w:ind w:left="420" w:hanging="250"/>
        <w:spacing w:after="0" w:line="248" w:lineRule="auto"/>
        <w:tabs>
          <w:tab w:leader="none" w:pos="40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Core deposit intangible amortization: </w:t>
      </w:r>
      <w:r>
        <w:rPr>
          <w:rFonts w:ascii="Times New Roman" w:cs="Times New Roman" w:eastAsia="Times New Roman" w:hAnsi="Times New Roman"/>
          <w:sz w:val="16"/>
          <w:szCs w:val="16"/>
          <w:color w:val="auto"/>
        </w:rPr>
        <w:t>The intangible recorded associated with the Quantum merger is being amortized on an accelerated basis, so the rate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slowed year-over-year.</w:t>
      </w:r>
    </w:p>
    <w:p>
      <w:pPr>
        <w:spacing w:after="0" w:line="1" w:lineRule="exact"/>
        <w:rPr>
          <w:rFonts w:ascii="Times New Roman" w:cs="Times New Roman" w:eastAsia="Times New Roman" w:hAnsi="Times New Roman"/>
          <w:sz w:val="16"/>
          <w:szCs w:val="16"/>
          <w:color w:val="auto"/>
        </w:rPr>
      </w:pPr>
    </w:p>
    <w:p>
      <w:pPr>
        <w:ind w:left="420" w:hanging="250"/>
        <w:spacing w:after="0" w:line="270" w:lineRule="auto"/>
        <w:tabs>
          <w:tab w:leader="none" w:pos="409" w:val="left"/>
        </w:tabs>
        <w:numPr>
          <w:ilvl w:val="0"/>
          <w:numId w:val="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change period-over-period was driven by increases of $377,000 in community association banking deposit line of business referral fees, $331,000 in losses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sale of repossessed equipment, and $233,000 in consulting fees.</w:t>
      </w:r>
    </w:p>
    <w:p>
      <w:pPr>
        <w:spacing w:after="0" w:line="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tax-exempt income, changes in the statutory rate and the effect of changes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valuation allowances maintained against deferred tax benefits. The effective tax rate was 21.1% and 21.3% for the nine months ended September 30, 2025 and September 30, 2024, respectively.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Comparison of Financial Condition at September 30, 2025 and December 31, 2024</w:t>
      </w:r>
    </w:p>
    <w:p>
      <w:pPr>
        <w:spacing w:after="0" w:line="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Total assets decreased by $3.3 million to $4.6 billion and total liabilities decreased by $47.4 million to $4.0 billion, respectively, at September 30, 2025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to December 31, 2024. These changes can be traced to the use of the proceeds from both loan sales and maturities of debt securities and certificates of deposit to partially offset a $81.0 million decline in deposits. The decrease in deposits was mainly the result of a $68.8 million reduction in brokered deposits and $34.3 million of deposits which were assumed by the purchaser of our two Knoxville, Tennessee branches. Borrowings increased by $42.0 million to provide additional liquidity.</w:t>
      </w:r>
    </w:p>
    <w:p>
      <w:pPr>
        <w:spacing w:after="0" w:line="3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w:t>
      </w:r>
      <w:r>
        <w:rPr>
          <w:rFonts w:ascii="Times New Roman" w:cs="Times New Roman" w:eastAsia="Times New Roman" w:hAnsi="Times New Roman"/>
          <w:sz w:val="16"/>
          <w:szCs w:val="16"/>
          <w:color w:val="auto"/>
        </w:rPr>
        <w:t>Total cash and cash equivalents increased $36.6 million, or 13.1%, to $315.8 million at September 30, 2025 from $279.2 million at December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31, 2024.</w:t>
      </w:r>
    </w:p>
    <w:p>
      <w:pPr>
        <w:spacing w:after="0" w:line="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Certificates of Deposit in Other Banks. </w:t>
      </w:r>
      <w:r>
        <w:rPr>
          <w:rFonts w:ascii="Times New Roman" w:cs="Times New Roman" w:eastAsia="Times New Roman" w:hAnsi="Times New Roman"/>
          <w:sz w:val="16"/>
          <w:szCs w:val="16"/>
          <w:color w:val="auto"/>
        </w:rPr>
        <w:t>Total certificates of deposit in other banks decreased $7.7 million, or 27.0%, to $20.8 million at September 30, 2025 from $28.5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at December 31, 2024.</w:t>
      </w:r>
    </w:p>
    <w:p>
      <w:pPr>
        <w:spacing w:after="0" w:line="2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Debt Securities Available for Sale. </w:t>
      </w:r>
      <w:r>
        <w:rPr>
          <w:rFonts w:ascii="Times New Roman" w:cs="Times New Roman" w:eastAsia="Times New Roman" w:hAnsi="Times New Roman"/>
          <w:sz w:val="16"/>
          <w:szCs w:val="16"/>
          <w:color w:val="auto"/>
        </w:rPr>
        <w:t>Debt securities available for sale decreased $6.3 million, or 4.2%, to $145.7 million at September 30, 2025 from $152.0 million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2024.</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Held for Sale. </w:t>
      </w:r>
      <w:r>
        <w:rPr>
          <w:rFonts w:ascii="Times New Roman" w:cs="Times New Roman" w:eastAsia="Times New Roman" w:hAnsi="Times New Roman"/>
          <w:sz w:val="16"/>
          <w:szCs w:val="16"/>
          <w:color w:val="auto"/>
        </w:rPr>
        <w:t>Loans held for sale decreased $9.2 million, or 4.5%, to $197.0 million at September 30, 2025 from $206.2 million at December 31, 2024. This was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driven by an decrease of $25.9 million, or 14.5%, in HELOCs held for sale due to loan sales during the current quarter, partially offset by a $13.3 million, or 58.3%, increase in SBA loans held for sale.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Loans, Net of Deferred Loan Fees and Costs. </w:t>
      </w:r>
      <w:r>
        <w:rPr>
          <w:rFonts w:ascii="Times New Roman" w:cs="Times New Roman" w:eastAsia="Times New Roman" w:hAnsi="Times New Roman"/>
          <w:sz w:val="16"/>
          <w:szCs w:val="16"/>
          <w:color w:val="auto"/>
        </w:rPr>
        <w:t>Total loans decreased $4.7 million, to $3.6 billion at September 30, 2025 as compared to the balance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illustrates the changes within the portfolio:</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Percent of Total</w:t>
            </w:r>
          </w:p>
        </w:tc>
        <w:tc>
          <w:tcPr>
            <w:tcW w:w="0" w:type="dxa"/>
            <w:vAlign w:val="bottom"/>
          </w:tcPr>
          <w:p>
            <w:pPr>
              <w:spacing w:after="0"/>
              <w:rPr>
                <w:sz w:val="1"/>
                <w:szCs w:val="1"/>
                <w:color w:val="auto"/>
              </w:rPr>
            </w:pPr>
          </w:p>
        </w:tc>
      </w:tr>
      <w:tr>
        <w:trPr>
          <w:trHeight w:val="145"/>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2"/>
                <w:szCs w:val="12"/>
                <w:color w:val="auto"/>
              </w:rPr>
            </w:pPr>
          </w:p>
        </w:tc>
        <w:tc>
          <w:tcPr>
            <w:tcW w:w="11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8"/>
        </w:trPr>
        <w:tc>
          <w:tcPr>
            <w:tcW w:w="3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3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1,786,407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1,806,365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164,967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loans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904,089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net of deferred loan fees and costs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3,643,619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3,648,299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Asset Quality. </w:t>
      </w:r>
      <w:r>
        <w:rPr>
          <w:rFonts w:ascii="Times New Roman" w:cs="Times New Roman" w:eastAsia="Times New Roman" w:hAnsi="Times New Roman"/>
          <w:sz w:val="16"/>
          <w:szCs w:val="16"/>
          <w:color w:val="auto"/>
        </w:rPr>
        <w:t>Nonperforming assets, made up of nonaccrual loans and repossessed assets, increased by $2.6 million, or 8.6%, to $33.1 million, or 0.72% of total assets,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2025 compared to $30.5 million, or 0.67% of total assets, at June 30, 2025. SBA loans made up the largest portion of nonperforming assets at $11.9 million and $9.4 million, respectively, at these same dates of which $6.6 million and $4.8 million, respectively, was fully guaranteed. Of the remaining nonperforming assets, HELOCs totaled $5.9 million and $3.3 million, respectively, and equipment finance loans (concentrated in the transportation sector) made up $5.5 million and $5.9 million, respectively, both at these same dates. The ratio of nonperforming loans to total loans was 0.89% at September 30, 2025 compared to 0.81% at June 30, 2025.</w:t>
      </w:r>
    </w:p>
    <w:p>
      <w:pPr>
        <w:spacing w:after="0" w:line="2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Nonperforming assets increased by $4.4 million, or 15.2%, to $33.1 million, or 0.72% of total assets, at September 30, 2025 compared to $28.8 million, or 0.63% of total assets, at December 31, 2024. The ratio of nonperforming loans to total loans was 0.89% at September 30, 2025 compared to 0.76% at December 31, 2024.</w:t>
      </w:r>
    </w:p>
    <w:p>
      <w:pPr>
        <w:spacing w:after="0" w:line="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Classified assets increased by $7.8 million, or 15.9%, to $56.6 million, or 1.23% of total assets, as of September 30, 2025 when compared to the balance of $48.8 million, or 1.07% of total assets, at June 30, 2025. Similarly, classified assets increased by $7.9 million, or 16.1%, to $56.6 million, or 1.23% of total assets, as of September 30, 2025 when compared to the balance of $48.8 million, or 1.06% of total assets, at December 31, 2024. SBA loans made up the largest portion of classified assets at $20.0 million and $17.1 million, respectively, as of September 30, 2025 and June 30, 2025 of which $12.7 million and $9.9 million, respectively, was fully guaranteed. The remaining population of classified assets at September 30, 2025 included $8.8 million of equipment finance loans (concentrated in the transportation sector), $7.7 million of non-owner occupied CRE loans, $7.5 million of HELOCs, and $6.7 million of 1-4 family residential real estate loans.</w:t>
      </w:r>
    </w:p>
    <w:p>
      <w:pPr>
        <w:spacing w:after="0" w:line="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Lastly, in an effort to assist customers in their post-Hurricane Helene recovery and clean-up efforts, at the end of the prior calendar year we granted payment deferrals of up to six months to provide short-term relief to impacted customers. The outstanding balance of these deferrals declined from $136.0 million at December 31, 2024 to $318,000 at September 30, 2025. To date, $27,000 in charge-offs have been recognized which were directly related to Hurricane Helene.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4" w:name="page45"/>
    <w:bookmarkEnd w:id="44"/>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on Loans. </w:t>
      </w:r>
      <w:r>
        <w:rPr>
          <w:rFonts w:ascii="Times New Roman" w:cs="Times New Roman" w:eastAsia="Times New Roman" w:hAnsi="Times New Roman"/>
          <w:sz w:val="16"/>
          <w:szCs w:val="16"/>
          <w:color w:val="auto"/>
        </w:rPr>
        <w:t>The ACL on loans was $43.1 million, or 1.18% of total loans, at September 30, 2025 compared to $45.3 million, or 1.24% of total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loans, at December 31, 2024. The drivers of this change are discussed in the "Comparison of Results of Operations for the Nine Months Ended September 30, 2025 and</w:t>
      </w:r>
    </w:p>
    <w:p>
      <w:pPr>
        <w:spacing w:after="0"/>
        <w:rPr>
          <w:sz w:val="20"/>
          <w:szCs w:val="20"/>
          <w:color w:val="auto"/>
        </w:rPr>
      </w:pPr>
      <w:r>
        <w:rPr>
          <w:rFonts w:ascii="Times New Roman" w:cs="Times New Roman" w:eastAsia="Times New Roman" w:hAnsi="Times New Roman"/>
          <w:sz w:val="16"/>
          <w:szCs w:val="16"/>
          <w:color w:val="auto"/>
        </w:rPr>
        <w:t xml:space="preserve">September 30, 2024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Provision for Credit Losses" section above.</w:t>
      </w:r>
    </w:p>
    <w:p>
      <w:pPr>
        <w:spacing w:after="0" w:line="8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color w:val="auto"/>
        </w:rPr>
        <w:t>Net loan charge-offs totaled $6.1 million for the nine months ended September 30, 2025 compared to $8.9 million for the same period last year. Annualized net charge-offs as a percentage of average loans were 0.21% for the nine months ended September 30, 2025 as compared to 0.31% for the nine months ended September 30, 2024.</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Premises and Equipment. </w:t>
      </w:r>
      <w:r>
        <w:rPr>
          <w:rFonts w:ascii="Times New Roman" w:cs="Times New Roman" w:eastAsia="Times New Roman" w:hAnsi="Times New Roman"/>
          <w:sz w:val="16"/>
          <w:szCs w:val="16"/>
          <w:color w:val="auto"/>
        </w:rPr>
        <w:t>Premises and equipment decreased by $7.4 million, or 10.5%, to $63.0 million at September 30, 2025 from $70.5 million at December 31,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majority of the change can be traced to the completion of the sale of our two Knoxville, Tennessee branches, which included the sale of $6.3 million of premises and equipment.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Deposits. </w:t>
      </w:r>
      <w:r>
        <w:rPr>
          <w:rFonts w:ascii="Times New Roman" w:cs="Times New Roman" w:eastAsia="Times New Roman" w:hAnsi="Times New Roman"/>
          <w:sz w:val="16"/>
          <w:szCs w:val="16"/>
          <w:color w:val="auto"/>
        </w:rPr>
        <w:t>The following table summarizes the composition of our deposit portfolio as of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Core deposits</w:t>
            </w:r>
          </w:p>
        </w:tc>
        <w:tc>
          <w:tcPr>
            <w:tcW w:w="1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689,352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9"/>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NOW accounts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1,343,008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core deposits</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2,743,197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2,779,476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(36,279)</w:t>
            </w:r>
          </w:p>
        </w:tc>
        <w:tc>
          <w:tcPr>
            <w:tcW w:w="10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Certificates of deposit</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955,030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3,698,227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3,779,203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(80,976)</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
        </w:trPr>
        <w:tc>
          <w:tcPr>
            <w:tcW w:w="5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Management</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these primary sources of funds, management has several secondary sources available to meet potential funding requirements. 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September 30, 2025, the Company had the ability to borrow $363.8 million through additional FHLB advances and $18.7 million through the unused portion of a line of credit with the FRB. At this same date, the Company maintained revolving lines of credit with three unaffiliated banks which totaled $165.0 million, all of which was unused.</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also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September 30, 2025, brokered deposits totaled $318.3 million, or 8.6% of total deposits.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September 30, 2025, we (on an unconsolidated basis) had liquid assets of $13.1 million.</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the Bank level, we use our sources of funds primarily to meet our ongoing commitments, pay maturing deposits and fund withdrawals and to fund loan commitments. At September 30, 2025, the total approved loan commitments and unused lines of credit outstanding amounted to $287.1 million and $858.8 million, respectively, as compared to $230.5 million and $712.3 million as of December 31, 2024. Certificates of deposit scheduled to mature in one year or less at September 30, 2025 totaled $930.5 million. It is management's policy to manage deposit rates that are competitive with other local financial institutions. Based on this strategy, we believe that a majority of maturing deposits will be retained.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Activities</w:t>
      </w:r>
    </w:p>
    <w:p>
      <w:pPr>
        <w:spacing w:after="0" w:line="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13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in this Quarterly Report on Form 10-Q.</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Resources</w:t>
      </w:r>
    </w:p>
    <w:p>
      <w:pPr>
        <w:spacing w:after="0" w:line="4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HomeTrust Bancshares, Inc. is a bank holding company subject to regulation by the Federal Reserve. As a bank holding company, we are subject to capital adequacy requirements of the Federal Reserve under the Bank Holding Company Act of 1956, as amended and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both"/>
        <w:spacing w:after="0" w:line="265" w:lineRule="auto"/>
        <w:rPr>
          <w:sz w:val="20"/>
          <w:szCs w:val="20"/>
          <w:color w:val="auto"/>
        </w:rPr>
      </w:pPr>
      <w:r>
        <w:rPr>
          <w:rFonts w:ascii="Times New Roman" w:cs="Times New Roman" w:eastAsia="Times New Roman" w:hAnsi="Times New Roman"/>
          <w:sz w:val="16"/>
          <w:szCs w:val="16"/>
          <w:color w:val="auto"/>
        </w:rPr>
        <w:t>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additional discretionary actions by bank regulators that, if undertaken, could have a direct material effect on the Company's financial statements.</w:t>
      </w:r>
    </w:p>
    <w:p>
      <w:pPr>
        <w:spacing w:after="0" w:line="2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At September 30, 2025,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September 30, 2025 under applicable regulatory requirements.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HomeTrust Bancshares, Inc. and the Bank's actual and required minimum capital amounts and ratios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Regulatory Requirements</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jc w:val="right"/>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Minimum for Capital</w:t>
            </w:r>
          </w:p>
        </w:tc>
        <w:tc>
          <w:tcPr>
            <w:tcW w:w="160" w:type="dxa"/>
            <w:vAlign w:val="bottom"/>
          </w:tcPr>
          <w:p>
            <w:pPr>
              <w:spacing w:after="0"/>
              <w:rPr>
                <w:sz w:val="13"/>
                <w:szCs w:val="13"/>
                <w:color w:val="auto"/>
              </w:rPr>
            </w:pPr>
          </w:p>
        </w:tc>
        <w:tc>
          <w:tcPr>
            <w:tcW w:w="2080" w:type="dxa"/>
            <w:vAlign w:val="bottom"/>
            <w:gridSpan w:val="3"/>
          </w:tcPr>
          <w:p>
            <w:pPr>
              <w:jc w:val="right"/>
              <w:ind w:right="499"/>
              <w:spacing w:after="0" w:line="158" w:lineRule="exact"/>
              <w:rPr>
                <w:sz w:val="20"/>
                <w:szCs w:val="20"/>
                <w:color w:val="auto"/>
              </w:rPr>
            </w:pPr>
            <w:r>
              <w:rPr>
                <w:rFonts w:ascii="Times New Roman" w:cs="Times New Roman" w:eastAsia="Times New Roman" w:hAnsi="Times New Roman"/>
                <w:sz w:val="16"/>
                <w:szCs w:val="16"/>
                <w:b w:val="1"/>
                <w:bCs w:val="1"/>
                <w:color w:val="auto"/>
              </w:rPr>
              <w:t>Minimum to Be</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160" w:type="dxa"/>
            <w:vAlign w:val="bottom"/>
          </w:tcPr>
          <w:p>
            <w:pPr>
              <w:spacing w:after="0"/>
              <w:rPr>
                <w:sz w:val="18"/>
                <w:szCs w:val="18"/>
                <w:color w:val="auto"/>
              </w:rPr>
            </w:pPr>
          </w:p>
        </w:tc>
        <w:tc>
          <w:tcPr>
            <w:tcW w:w="208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Well Capitalized</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198"/>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13.57 %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184,430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266,399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175,683</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219,604</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245,907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327,876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613,342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327,876</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409,845</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12.71 %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182,537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263,664</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176,978</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221,222</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243,382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324,509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324,509</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405,637</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60"/>
        </w:trPr>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Bank</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13.32 %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184,430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266,399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545,977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175,577</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219,472</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245,907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327,876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593,128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327,876</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409,845</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12.74 %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182,528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263,652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176,943</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221,179</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243,371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324,494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324,494</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405,618</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After two years, the cumulative amount of the transition adjustments became fixed and were phased out of the regulatory capital calculations evenly over a three-year period, with 75% recognized in year three, 50% recognized in year four, and 25% recognized in year five. Starting with the quarter ended March 31, 2025, the temporary regulatory capital benefits have been fully reversed.</w:t>
      </w:r>
    </w:p>
    <w:p>
      <w:pPr>
        <w:spacing w:after="0" w:line="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September 30, 2025, the Company's and Bank's risk-based capital exceeded the required capital contribution buffer.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paid by HomeTrust Bank are limited, without prior regulatory approval, to current year earnings and earnings less dividends paid during the preceding two years.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not been any material change in the market risk disclosures contained in our 2024 Form 10-K.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Evaluation of Disclosure Controls and Procedures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evaluation of our disclosure controls and procedures (as defined in Rule 13a-15(e) of the Securities Exchange Act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1934 (the "Act")) as of September 30, 2025,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September 30, 2025,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Changes in Internal Controls</w:t>
      </w:r>
      <w:r>
        <w:rPr>
          <w:rFonts w:ascii="Times New Roman" w:cs="Times New Roman" w:eastAsia="Times New Roman" w:hAnsi="Times New Roman"/>
          <w:sz w:val="16"/>
          <w:szCs w:val="16"/>
          <w:color w:val="auto"/>
        </w:rPr>
        <w:t>: There have been no changes in the Company’s internal control over financial reporting during the quarter ended September 30, 2025 that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materially affected, or are reasonably likely to materially affect, the Company’s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4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 xml:space="preserve">The "Litigation" section of "Note 13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to the Consolidated Financial Statements included in Part I, Item 1 is incorporated herein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the Risk Factors previously disclosed in Item 1A of the 2024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48" w:lineRule="exact"/>
        <w:rPr>
          <w:sz w:val="20"/>
          <w:szCs w:val="20"/>
          <w:color w:val="auto"/>
        </w:rPr>
      </w:pPr>
    </w:p>
    <w:p>
      <w:pPr>
        <w:ind w:left="220" w:hanging="212"/>
        <w:spacing w:after="0"/>
        <w:tabs>
          <w:tab w:leader="none" w:pos="2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4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4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provides information about repurchases of common stock by the Company during the quarter ended September 30,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 of Shares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46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Total # of 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020" w:type="dxa"/>
            <w:vAlign w:val="bottom"/>
            <w:gridSpan w:val="2"/>
            <w:vMerge w:val="continue"/>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3460" w:type="dxa"/>
            <w:vAlign w:val="bottom"/>
            <w:vMerge w:val="restart"/>
          </w:tcPr>
          <w:p>
            <w:pPr>
              <w:jc w:val="right"/>
              <w:ind w:right="2837"/>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20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Yet Be Purchased Under</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14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July 1 - July 31, 2025</w:t>
            </w: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149,944</w:t>
            </w: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August 1 - August 31, 2025</w:t>
            </w:r>
          </w:p>
        </w:tc>
        <w:tc>
          <w:tcPr>
            <w:tcW w:w="14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149,944</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September 1 - September 30, 2025</w:t>
            </w:r>
          </w:p>
        </w:tc>
        <w:tc>
          <w:tcPr>
            <w:tcW w:w="14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149,944</w:t>
            </w:r>
          </w:p>
        </w:tc>
        <w:tc>
          <w:tcPr>
            <w:tcW w:w="0" w:type="dxa"/>
            <w:vAlign w:val="bottom"/>
          </w:tcPr>
          <w:p>
            <w:pPr>
              <w:spacing w:after="0"/>
              <w:rPr>
                <w:sz w:val="1"/>
                <w:szCs w:val="1"/>
                <w:color w:val="auto"/>
              </w:rPr>
            </w:pPr>
          </w:p>
        </w:tc>
      </w:tr>
      <w:tr>
        <w:trPr>
          <w:trHeight w:val="207"/>
        </w:trPr>
        <w:tc>
          <w:tcPr>
            <w:tcW w:w="3460" w:type="dxa"/>
            <w:vAlign w:val="bottom"/>
          </w:tcPr>
          <w:p>
            <w:pPr>
              <w:jc w:val="right"/>
              <w:ind w:right="283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92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149,944</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Over the years as a public company, the Company's Board of Directors has, from time to time, authorized the repurchase of its common stock. The most recent time this was done, on February 28, 2022, 806,000 shares of common stock were authorized for repurchase representing approximately 5% of the Company's outstanding shares at the time of the announcement. As of September 30, 2025, 656,056 of these shares had been purchased at an average price of $29.76 per share, 93,212 of which were repurchased during the nine months ended September 30, 2025. The shares may be purchased in the open market or in privately negotiated transactions, from time to time depending upon market conditions and other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Nothing to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4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Trading Plans</w:t>
      </w:r>
      <w:r>
        <w:rPr>
          <w:rFonts w:ascii="Times New Roman" w:cs="Times New Roman" w:eastAsia="Times New Roman" w:hAnsi="Times New Roman"/>
          <w:sz w:val="16"/>
          <w:szCs w:val="16"/>
          <w:color w:val="auto"/>
        </w:rPr>
        <w:t>: During the quarter ended September 30, 2025, no director or officer (as defined in Rule 16a-1(f) under the Exchange Act) of the Company adopted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2"/>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27"/>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gridSpan w:val="2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200" w:type="dxa"/>
            <w:vAlign w:val="bottom"/>
            <w:tcBorders>
              <w:top w:val="single" w:sz="8" w:color="auto"/>
            </w:tcBorders>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Charter of HomeTrust Bancshares, Inc.</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Amended and Restated Bylaws of HomeTrust Bancshares, Inc.</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38"/>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HomeTrust Bancshares, Inc. Senior Leadership Incentive Plan (formerly known as Operating Committee Incentive Program)</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39"/>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Employment and Transition Agreement between HomeTrust Bancshares, Inc. and Dana L. Stonestreet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Employment Agreement between HomeTrust Bancshares, Inc. and C. Hunter Westbrook</w:t>
              </w:r>
            </w:hyperlink>
          </w:p>
        </w:tc>
        <w:tc>
          <w:tcPr>
            <w:tcW w:w="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10.3A</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Amendment No. 1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0">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6"/>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10.3B</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Amendment No. 2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1">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6"/>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10.3C</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Amendment No. 3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2">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6"/>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10.3D</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Amendment No. 4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3">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6"/>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Employment Agreement between HomeTrust Bancshares, Inc. and Tony J. VunCannon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10.4A</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1 to Amended and Restated Employment Agreement between HomeTrust Bancshares, Inc. and Tony</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58">
              <w:r>
                <w:rPr>
                  <w:rFonts w:ascii="Times New Roman" w:cs="Times New Roman" w:eastAsia="Times New Roman" w:hAnsi="Times New Roman"/>
                  <w:sz w:val="16"/>
                  <w:szCs w:val="16"/>
                  <w:color w:val="0000FF"/>
                  <w:w w:val="98"/>
                </w:rPr>
                <w:t>VunCannon</w:t>
              </w:r>
            </w:hyperlink>
          </w:p>
        </w:tc>
        <w:tc>
          <w:tcPr>
            <w:tcW w:w="6880" w:type="dxa"/>
            <w:vAlign w:val="bottom"/>
            <w:tcBorders>
              <w:top w:val="single" w:sz="8" w:color="0000FF"/>
            </w:tcBorders>
            <w:gridSpan w:val="33"/>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Executive Supplemental Retirement Income Master Agreement (“SERP”)</w:t>
              </w:r>
            </w:hyperlink>
          </w:p>
        </w:tc>
        <w:tc>
          <w:tcPr>
            <w:tcW w:w="2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SERP</w:t>
              </w:r>
            </w:hyperlink>
          </w:p>
        </w:tc>
        <w:tc>
          <w:tcPr>
            <w:tcW w:w="64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Amendment No. 2 to SERP</w:t>
              </w:r>
            </w:hyperlink>
          </w:p>
        </w:tc>
        <w:tc>
          <w:tcPr>
            <w:tcW w:w="64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10.7A</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F. Edward Broadwell, Jr.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10.7B</w:t>
            </w:r>
          </w:p>
        </w:tc>
        <w:tc>
          <w:tcPr>
            <w:tcW w:w="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Dana L. Stonestreet</w:t>
              </w:r>
            </w:hyperlink>
          </w:p>
        </w:tc>
        <w:tc>
          <w:tcPr>
            <w:tcW w:w="320" w:type="dxa"/>
            <w:vAlign w:val="bottom"/>
            <w:tcBorders>
              <w:top w:val="single" w:sz="8" w:color="0000FF"/>
            </w:tcBorders>
            <w:gridSpan w:val="3"/>
          </w:tcPr>
          <w:p>
            <w:pPr>
              <w:spacing w:after="0"/>
              <w:rPr>
                <w:sz w:val="17"/>
                <w:szCs w:val="17"/>
                <w:color w:val="auto"/>
              </w:rPr>
            </w:pPr>
          </w:p>
        </w:tc>
        <w:tc>
          <w:tcPr>
            <w:tcW w:w="46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10.7C</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Tony J. VunCannon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10.7D</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Howard L. Sellinger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10.7E</w:t>
            </w:r>
          </w:p>
        </w:tc>
        <w:tc>
          <w:tcPr>
            <w:tcW w:w="20" w:type="dxa"/>
            <w:vAlign w:val="bottom"/>
          </w:tcPr>
          <w:p>
            <w:pPr>
              <w:spacing w:after="0"/>
              <w:rPr>
                <w:sz w:val="17"/>
                <w:szCs w:val="17"/>
                <w:color w:val="auto"/>
              </w:rPr>
            </w:pPr>
          </w:p>
        </w:tc>
        <w:tc>
          <w:tcPr>
            <w:tcW w:w="3260" w:type="dxa"/>
            <w:vAlign w:val="bottom"/>
            <w:tcBorders>
              <w:top w:val="single" w:sz="8" w:color="0000FF"/>
            </w:tcBorders>
            <w:gridSpan w:val="1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Stan Allen</w:t>
              </w:r>
            </w:hyperlink>
          </w:p>
        </w:tc>
        <w:tc>
          <w:tcPr>
            <w:tcW w:w="49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10.7F</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Sidney A. Biesecker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10.7G</w:t>
            </w: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Peggy C. Melville</w:t>
              </w:r>
            </w:hyperlink>
          </w:p>
        </w:tc>
        <w:tc>
          <w:tcPr>
            <w:tcW w:w="140" w:type="dxa"/>
            <w:vAlign w:val="bottom"/>
            <w:tcBorders>
              <w:top w:val="single" w:sz="8" w:color="0000FF"/>
            </w:tcBorders>
            <w:gridSpan w:val="2"/>
          </w:tcPr>
          <w:p>
            <w:pPr>
              <w:spacing w:after="0"/>
              <w:rPr>
                <w:sz w:val="17"/>
                <w:szCs w:val="17"/>
                <w:color w:val="auto"/>
              </w:rPr>
            </w:pPr>
          </w:p>
        </w:tc>
        <w:tc>
          <w:tcPr>
            <w:tcW w:w="49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10.7H</w:t>
            </w:r>
          </w:p>
        </w:tc>
        <w:tc>
          <w:tcPr>
            <w:tcW w:w="20" w:type="dxa"/>
            <w:vAlign w:val="bottom"/>
          </w:tcPr>
          <w:p>
            <w:pPr>
              <w:spacing w:after="0"/>
              <w:rPr>
                <w:sz w:val="17"/>
                <w:szCs w:val="17"/>
                <w:color w:val="auto"/>
              </w:rPr>
            </w:pPr>
          </w:p>
        </w:tc>
        <w:tc>
          <w:tcPr>
            <w:tcW w:w="30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William T. Flynt</w:t>
              </w:r>
            </w:hyperlink>
          </w:p>
        </w:tc>
        <w:tc>
          <w:tcPr>
            <w:tcW w:w="51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10.7I</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Amended and Restated Supplemental Income Agreement between HomeTrust Bank, as successor to Industrial Federal</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8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Savings Bank, and Sidney Biesecker</w:t>
              </w:r>
            </w:hyperlink>
          </w:p>
        </w:tc>
        <w:tc>
          <w:tcPr>
            <w:tcW w:w="5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Director Emeritus Plan (“Director Emeritus Plan”)</w:t>
              </w:r>
            </w:hyperlink>
          </w:p>
        </w:tc>
        <w:tc>
          <w:tcPr>
            <w:tcW w:w="37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10.8A</w:t>
            </w:r>
          </w:p>
        </w:tc>
        <w:tc>
          <w:tcPr>
            <w:tcW w:w="20" w:type="dxa"/>
            <w:vAlign w:val="bottom"/>
          </w:tcPr>
          <w:p>
            <w:pPr>
              <w:spacing w:after="0"/>
              <w:rPr>
                <w:sz w:val="17"/>
                <w:szCs w:val="17"/>
                <w:color w:val="auto"/>
              </w:rPr>
            </w:pPr>
          </w:p>
        </w:tc>
        <w:tc>
          <w:tcPr>
            <w:tcW w:w="41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William T. Flynt</w:t>
              </w:r>
            </w:hyperlink>
          </w:p>
        </w:tc>
        <w:tc>
          <w:tcPr>
            <w:tcW w:w="40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10.8B</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J. Steven Goforth</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10.8C</w:t>
            </w:r>
          </w:p>
        </w:tc>
        <w:tc>
          <w:tcPr>
            <w:tcW w:w="20" w:type="dxa"/>
            <w:vAlign w:val="bottom"/>
          </w:tcPr>
          <w:p>
            <w:pPr>
              <w:spacing w:after="0"/>
              <w:rPr>
                <w:sz w:val="17"/>
                <w:szCs w:val="17"/>
                <w:color w:val="auto"/>
              </w:rPr>
            </w:pPr>
          </w:p>
        </w:tc>
        <w:tc>
          <w:tcPr>
            <w:tcW w:w="4180" w:type="dxa"/>
            <w:vAlign w:val="bottom"/>
            <w:tcBorders>
              <w:top w:val="single" w:sz="8" w:color="0000FF"/>
            </w:tcBorders>
            <w:gridSpan w:val="17"/>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Craig C. Koontz</w:t>
              </w:r>
            </w:hyperlink>
          </w:p>
        </w:tc>
        <w:tc>
          <w:tcPr>
            <w:tcW w:w="40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10.8D</w:t>
            </w:r>
          </w:p>
        </w:tc>
        <w:tc>
          <w:tcPr>
            <w:tcW w:w="20" w:type="dxa"/>
            <w:vAlign w:val="bottom"/>
          </w:tcPr>
          <w:p>
            <w:pPr>
              <w:spacing w:after="0"/>
              <w:rPr>
                <w:sz w:val="17"/>
                <w:szCs w:val="17"/>
                <w:color w:val="auto"/>
              </w:rPr>
            </w:pPr>
          </w:p>
        </w:tc>
        <w:tc>
          <w:tcPr>
            <w:tcW w:w="42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Larry S. McDevitt</w:t>
              </w:r>
            </w:hyperlink>
          </w:p>
        </w:tc>
        <w:tc>
          <w:tcPr>
            <w:tcW w:w="39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10.8E</w:t>
            </w:r>
          </w:p>
        </w:tc>
        <w:tc>
          <w:tcPr>
            <w:tcW w:w="20" w:type="dxa"/>
            <w:vAlign w:val="bottom"/>
          </w:tcPr>
          <w:p>
            <w:pPr>
              <w:spacing w:after="0"/>
              <w:rPr>
                <w:sz w:val="17"/>
                <w:szCs w:val="17"/>
                <w:color w:val="auto"/>
              </w:rPr>
            </w:pPr>
          </w:p>
        </w:tc>
        <w:tc>
          <w:tcPr>
            <w:tcW w:w="43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F.K. McFarland, III</w:t>
              </w:r>
            </w:hyperlink>
          </w:p>
        </w:tc>
        <w:tc>
          <w:tcPr>
            <w:tcW w:w="3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10.8F</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Peggy C. Melville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10.8G</w:t>
            </w:r>
          </w:p>
        </w:tc>
        <w:tc>
          <w:tcPr>
            <w:tcW w:w="20" w:type="dxa"/>
            <w:vAlign w:val="bottom"/>
          </w:tcPr>
          <w:p>
            <w:pPr>
              <w:spacing w:after="0"/>
              <w:rPr>
                <w:sz w:val="17"/>
                <w:szCs w:val="17"/>
                <w:color w:val="auto"/>
              </w:rPr>
            </w:pPr>
          </w:p>
        </w:tc>
        <w:tc>
          <w:tcPr>
            <w:tcW w:w="45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Robert E. Shepherd, Sr.</w:t>
              </w:r>
            </w:hyperlink>
          </w:p>
        </w:tc>
        <w:tc>
          <w:tcPr>
            <w:tcW w:w="3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Defined Contribution Executive Medical Care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0" w:type="dxa"/>
            <w:vAlign w:val="bottom"/>
            <w:gridSpan w:val="9"/>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10.9A</w:t>
            </w:r>
          </w:p>
        </w:tc>
        <w:tc>
          <w:tcPr>
            <w:tcW w:w="20" w:type="dxa"/>
            <w:vAlign w:val="bottom"/>
          </w:tcPr>
          <w:p>
            <w:pPr>
              <w:spacing w:after="0"/>
              <w:rPr>
                <w:sz w:val="17"/>
                <w:szCs w:val="17"/>
                <w:color w:val="auto"/>
              </w:rPr>
            </w:pPr>
          </w:p>
        </w:tc>
        <w:tc>
          <w:tcPr>
            <w:tcW w:w="590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HomeTrust Bank Defined Contribution Executive Medical Care Plan</w:t>
              </w:r>
            </w:hyperlink>
          </w:p>
        </w:tc>
        <w:tc>
          <w:tcPr>
            <w:tcW w:w="2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10.9B</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of Joinder Agreement Under the HomeTrust Bank Defined Contribution Executive Medical Care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10.9C</w:t>
            </w:r>
          </w:p>
        </w:tc>
        <w:tc>
          <w:tcPr>
            <w:tcW w:w="20" w:type="dxa"/>
            <w:vAlign w:val="bottom"/>
          </w:tcPr>
          <w:p>
            <w:pPr>
              <w:spacing w:after="0"/>
              <w:rPr>
                <w:sz w:val="17"/>
                <w:szCs w:val="17"/>
                <w:color w:val="auto"/>
              </w:rPr>
            </w:pPr>
          </w:p>
        </w:tc>
        <w:tc>
          <w:tcPr>
            <w:tcW w:w="5900" w:type="dxa"/>
            <w:vAlign w:val="bottom"/>
            <w:tcBorders>
              <w:top w:val="single" w:sz="8" w:color="0000FF"/>
              <w:bottom w:val="single" w:sz="8" w:color="0000FF"/>
            </w:tcBorders>
            <w:gridSpan w:val="28"/>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Amendment No. 2 to HomeTrust Bank Defined Contribution Executive Medical Care Plan</w:t>
              </w:r>
            </w:hyperlink>
          </w:p>
        </w:tc>
        <w:tc>
          <w:tcPr>
            <w:tcW w:w="1100" w:type="dxa"/>
            <w:vAlign w:val="bottom"/>
            <w:tcBorders>
              <w:top w:val="single" w:sz="8" w:color="0000FF"/>
            </w:tcBorders>
            <w:gridSpan w:val="4"/>
          </w:tcPr>
          <w:p>
            <w:pPr>
              <w:spacing w:after="0"/>
              <w:rPr>
                <w:sz w:val="17"/>
                <w:szCs w:val="17"/>
                <w:color w:val="auto"/>
              </w:rPr>
            </w:pPr>
          </w:p>
        </w:tc>
        <w:tc>
          <w:tcPr>
            <w:tcW w:w="1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10.9D</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Amendment No. 3 to HomeTrust Bank Defined Contribution Executive Medical Care Plan</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top w:val="single" w:sz="8" w:color="0000FF"/>
            </w:tcBorders>
            <w:gridSpan w:val="27"/>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2005 Deferred Compensation Plan</w:t>
              </w:r>
            </w:hyperlink>
          </w:p>
        </w:tc>
        <w:tc>
          <w:tcPr>
            <w:tcW w:w="2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10.10A</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HomeTrust Bank 2005 Deferred Compensation Plan</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Pre-2005 Deferred Compensation Plan</w:t>
              </w:r>
            </w:hyperlink>
          </w:p>
        </w:tc>
        <w:tc>
          <w:tcPr>
            <w:tcW w:w="1120" w:type="dxa"/>
            <w:vAlign w:val="bottom"/>
            <w:tcBorders>
              <w:top w:val="single" w:sz="8" w:color="0000FF"/>
            </w:tcBorders>
            <w:gridSpan w:val="11"/>
          </w:tcPr>
          <w:p>
            <w:pPr>
              <w:spacing w:after="0"/>
              <w:rPr>
                <w:sz w:val="17"/>
                <w:szCs w:val="17"/>
                <w:color w:val="auto"/>
              </w:rPr>
            </w:pPr>
          </w:p>
        </w:tc>
        <w:tc>
          <w:tcPr>
            <w:tcW w:w="34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10.11A</w:t>
            </w:r>
          </w:p>
        </w:tc>
        <w:tc>
          <w:tcPr>
            <w:tcW w:w="20" w:type="dxa"/>
            <w:vAlign w:val="bottom"/>
          </w:tcPr>
          <w:p>
            <w:pPr>
              <w:spacing w:after="0"/>
              <w:rPr>
                <w:sz w:val="17"/>
                <w:szCs w:val="17"/>
                <w:color w:val="auto"/>
              </w:rPr>
            </w:pPr>
          </w:p>
        </w:tc>
        <w:tc>
          <w:tcPr>
            <w:tcW w:w="508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HomeTrust Bank Pre-2005 Deferred Compensation Plan</w:t>
              </w:r>
            </w:hyperlink>
          </w:p>
        </w:tc>
        <w:tc>
          <w:tcPr>
            <w:tcW w:w="31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HomeTrust Bank 2025 Deferred Compensation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HomeTrust Bancshares, Inc. 2013 Omnibus Incentive Plan (“2013 Omnibus Incentive Plan”)</w:t>
              </w:r>
            </w:hyperlink>
          </w:p>
        </w:tc>
        <w:tc>
          <w:tcPr>
            <w:tcW w:w="21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10.13A</w:t>
            </w:r>
          </w:p>
        </w:tc>
        <w:tc>
          <w:tcPr>
            <w:tcW w:w="20" w:type="dxa"/>
            <w:vAlign w:val="bottom"/>
          </w:tcPr>
          <w:p>
            <w:pPr>
              <w:spacing w:after="0"/>
              <w:rPr>
                <w:sz w:val="17"/>
                <w:szCs w:val="17"/>
                <w:color w:val="auto"/>
              </w:rPr>
            </w:pPr>
          </w:p>
        </w:tc>
        <w:tc>
          <w:tcPr>
            <w:tcW w:w="56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Incentive Stock Option Award Agreement under 2013 Omnibus Incentive Plan</w:t>
              </w:r>
            </w:hyperlink>
          </w:p>
        </w:tc>
        <w:tc>
          <w:tcPr>
            <w:tcW w:w="2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10.13B</w:t>
            </w:r>
          </w:p>
        </w:tc>
        <w:tc>
          <w:tcPr>
            <w:tcW w:w="20" w:type="dxa"/>
            <w:vAlign w:val="bottom"/>
          </w:tcPr>
          <w:p>
            <w:pPr>
              <w:spacing w:after="0"/>
              <w:rPr>
                <w:sz w:val="17"/>
                <w:szCs w:val="17"/>
                <w:color w:val="auto"/>
              </w:rPr>
            </w:pPr>
          </w:p>
        </w:tc>
        <w:tc>
          <w:tcPr>
            <w:tcW w:w="602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Non-Qualified Stock Option Award Agreement under 2013 Omnibus Incentive Plan</w:t>
              </w:r>
            </w:hyperlink>
          </w:p>
        </w:tc>
        <w:tc>
          <w:tcPr>
            <w:tcW w:w="21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5"/>
          <w:szCs w:val="15"/>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-1270</wp:posOffset>
            </wp:positionV>
            <wp:extent cx="1105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(n)</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(g)</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(b)</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(h)</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(o)</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(g)</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(l)</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ectPr>
          <w:pgSz w:w="11900" w:h="16838" w:orient="portrait"/>
          <w:cols w:equalWidth="0" w:num="2">
            <w:col w:w="9400" w:space="340"/>
            <w:col w:w="1260"/>
          </w:cols>
          <w:pgMar w:left="320" w:top="893" w:right="579" w:bottom="1440" w:gutter="0" w:footer="0" w:header="0"/>
        </w:sectPr>
      </w:pPr>
    </w:p>
    <w:bookmarkStart w:id="48" w:name="page49"/>
    <w:bookmarkEnd w:id="48"/>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16"/>
                <w:szCs w:val="16"/>
                <w:color w:val="auto"/>
              </w:rPr>
            </w:pPr>
          </w:p>
        </w:tc>
        <w:tc>
          <w:tcPr>
            <w:tcW w:w="8200" w:type="dxa"/>
            <w:vAlign w:val="bottom"/>
            <w:gridSpan w:val="18"/>
            <w:vMerge w:val="restart"/>
          </w:tcPr>
          <w:p>
            <w:pPr>
              <w:ind w:left="374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20" w:type="dxa"/>
            <w:vAlign w:val="bottom"/>
          </w:tcPr>
          <w:p>
            <w:pPr>
              <w:spacing w:after="0"/>
              <w:rPr>
                <w:sz w:val="18"/>
                <w:szCs w:val="18"/>
                <w:color w:val="auto"/>
              </w:rPr>
            </w:pPr>
          </w:p>
        </w:tc>
        <w:tc>
          <w:tcPr>
            <w:tcW w:w="8200" w:type="dxa"/>
            <w:vAlign w:val="bottom"/>
            <w:gridSpan w:val="1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8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10.13C</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200" w:type="dxa"/>
            <w:vAlign w:val="bottom"/>
            <w:tcBorders>
              <w:top w:val="single" w:sz="8" w:color="auto"/>
            </w:tcBorders>
            <w:gridSpan w:val="18"/>
          </w:tcPr>
          <w:p>
            <w:pPr>
              <w:spacing w:after="0" w:line="171"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Stock Appreciation Right Award Agreement under 2013 Omnibus Incentive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10.13D</w:t>
            </w:r>
          </w:p>
        </w:tc>
        <w:tc>
          <w:tcPr>
            <w:tcW w:w="20" w:type="dxa"/>
            <w:vAlign w:val="bottom"/>
          </w:tcPr>
          <w:p>
            <w:pPr>
              <w:spacing w:after="0"/>
              <w:rPr>
                <w:sz w:val="17"/>
                <w:szCs w:val="17"/>
                <w:color w:val="auto"/>
              </w:rPr>
            </w:pPr>
          </w:p>
        </w:tc>
        <w:tc>
          <w:tcPr>
            <w:tcW w:w="5820" w:type="dxa"/>
            <w:vAlign w:val="bottom"/>
            <w:tcBorders>
              <w:top w:val="single" w:sz="8" w:color="0000FF"/>
            </w:tcBorders>
            <w:gridSpan w:val="4"/>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Restricted Stock Award Agreement under 2013 Omnibus Incentive Plan</w:t>
              </w:r>
            </w:hyperlink>
          </w:p>
        </w:tc>
        <w:tc>
          <w:tcPr>
            <w:tcW w:w="2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10.13E</w:t>
            </w:r>
          </w:p>
        </w:tc>
        <w:tc>
          <w:tcPr>
            <w:tcW w:w="20" w:type="dxa"/>
            <w:vAlign w:val="bottom"/>
          </w:tcPr>
          <w:p>
            <w:pPr>
              <w:spacing w:after="0"/>
              <w:rPr>
                <w:sz w:val="17"/>
                <w:szCs w:val="17"/>
                <w:color w:val="auto"/>
              </w:rPr>
            </w:pPr>
          </w:p>
        </w:tc>
        <w:tc>
          <w:tcPr>
            <w:tcW w:w="8200" w:type="dxa"/>
            <w:vAlign w:val="bottom"/>
            <w:gridSpan w:val="18"/>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Restricted Stock Unit Award Agreement under 2013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HomeTrust Bancshares, Inc. 2022 Omnibus Incentive Plan (“2022 Omnibus Incentive Plan”)</w:t>
              </w:r>
            </w:hyperlink>
          </w:p>
        </w:tc>
        <w:tc>
          <w:tcPr>
            <w:tcW w:w="21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10.14A</w:t>
            </w:r>
          </w:p>
        </w:tc>
        <w:tc>
          <w:tcPr>
            <w:tcW w:w="20" w:type="dxa"/>
            <w:vAlign w:val="bottom"/>
          </w:tcPr>
          <w:p>
            <w:pPr>
              <w:spacing w:after="0"/>
              <w:rPr>
                <w:sz w:val="17"/>
                <w:szCs w:val="17"/>
                <w:color w:val="auto"/>
              </w:rPr>
            </w:pPr>
          </w:p>
        </w:tc>
        <w:tc>
          <w:tcPr>
            <w:tcW w:w="70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Form of Non-Qualified Stock Option Award Agreement under the Registrant’s 2022 Omnibus Incentive Plan</w:t>
              </w:r>
            </w:hyperlink>
          </w:p>
        </w:tc>
        <w:tc>
          <w:tcPr>
            <w:tcW w:w="11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10.14B</w:t>
            </w:r>
          </w:p>
        </w:tc>
        <w:tc>
          <w:tcPr>
            <w:tcW w:w="20" w:type="dxa"/>
            <w:vAlign w:val="bottom"/>
          </w:tcPr>
          <w:p>
            <w:pPr>
              <w:spacing w:after="0"/>
              <w:rPr>
                <w:sz w:val="17"/>
                <w:szCs w:val="17"/>
                <w:color w:val="auto"/>
              </w:rPr>
            </w:pPr>
          </w:p>
        </w:tc>
        <w:tc>
          <w:tcPr>
            <w:tcW w:w="8200" w:type="dxa"/>
            <w:vAlign w:val="bottom"/>
            <w:gridSpan w:val="18"/>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Form of Restricted Stock Award Agreement for Employees under the Registrant’s 2022 Omnibus Incentive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10.14C</w:t>
            </w:r>
          </w:p>
        </w:tc>
        <w:tc>
          <w:tcPr>
            <w:tcW w:w="20" w:type="dxa"/>
            <w:vAlign w:val="bottom"/>
          </w:tcPr>
          <w:p>
            <w:pPr>
              <w:spacing w:after="0"/>
              <w:rPr>
                <w:sz w:val="17"/>
                <w:szCs w:val="17"/>
                <w:color w:val="auto"/>
              </w:rPr>
            </w:pPr>
          </w:p>
        </w:tc>
        <w:tc>
          <w:tcPr>
            <w:tcW w:w="728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Form of Restricted Stock Award Agreement for Directors under the Registrant’s 2022 Omnibus Incentive Plan</w:t>
              </w:r>
            </w:hyperlink>
          </w:p>
        </w:tc>
        <w:tc>
          <w:tcPr>
            <w:tcW w:w="9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Amended and Restated Change in Control Severance Agreement between HomeTrust Bancshares, Inc. and John Sprink</w:t>
              </w:r>
            </w:hyperlink>
          </w:p>
        </w:tc>
        <w:tc>
          <w:tcPr>
            <w:tcW w:w="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Change in Control Severance Agreement between HomeTrust Bancshares, Inc. and Kristin Powell</w:t>
              </w:r>
            </w:hyperlink>
          </w:p>
        </w:tc>
        <w:tc>
          <w:tcPr>
            <w:tcW w:w="18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10.16A</w:t>
            </w:r>
          </w:p>
        </w:tc>
        <w:tc>
          <w:tcPr>
            <w:tcW w:w="20" w:type="dxa"/>
            <w:vAlign w:val="bottom"/>
          </w:tcPr>
          <w:p>
            <w:pPr>
              <w:spacing w:after="0"/>
              <w:rPr>
                <w:sz w:val="17"/>
                <w:szCs w:val="17"/>
                <w:color w:val="auto"/>
              </w:rPr>
            </w:pPr>
          </w:p>
        </w:tc>
        <w:tc>
          <w:tcPr>
            <w:tcW w:w="8200" w:type="dxa"/>
            <w:vAlign w:val="bottom"/>
            <w:gridSpan w:val="1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1 to Change in Control Severance Agreement between HomeTrust Bancshares, Inc. and Kristin Powell</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top w:val="single" w:sz="8" w:color="0000FF"/>
            </w:tcBorders>
            <w:gridSpan w:val="17"/>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Change in Control Severance Agreement between HomeTrust Bancshares, Inc. and Megan Pelletier</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FF"/>
            </w:tcBorders>
            <w:gridSpan w:val="10"/>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Change in Control Severance Agreement between HomeTrust Bancshares, Inc. and Lora Jex</w:t>
              </w:r>
            </w:hyperlink>
          </w:p>
        </w:tc>
        <w:tc>
          <w:tcPr>
            <w:tcW w:w="17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Change in Control Severance Agreement between HomeTrust Bancshares, Inc. and Chuck Sivley</w:t>
              </w:r>
            </w:hyperlink>
          </w:p>
        </w:tc>
        <w:tc>
          <w:tcPr>
            <w:tcW w:w="18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Change in Control Severance Agreement between HomeTrust Bancshares, Inc. and Kevin Nunley</w:t>
              </w:r>
            </w:hyperlink>
          </w:p>
        </w:tc>
        <w:tc>
          <w:tcPr>
            <w:tcW w:w="1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Securities Exchange Act Rules 13a-14(a) and 15d-14(a) as adopted</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900" w:type="dxa"/>
            <w:vAlign w:val="bottom"/>
            <w:tcBorders>
              <w:top w:val="single" w:sz="8" w:color="0000FF"/>
            </w:tcBorders>
            <w:gridSpan w:val="14"/>
          </w:tcPr>
          <w:p>
            <w:pPr>
              <w:spacing w:after="0"/>
              <w:rPr>
                <w:sz w:val="12"/>
                <w:szCs w:val="12"/>
                <w:color w:val="auto"/>
              </w:rPr>
            </w:pPr>
          </w:p>
        </w:tc>
        <w:tc>
          <w:tcPr>
            <w:tcW w:w="4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Securities Exchange Act Rules 13a-14(a) and 15d-14(a) as adopted</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860" w:type="dxa"/>
            <w:vAlign w:val="bottom"/>
            <w:tcBorders>
              <w:top w:val="single" w:sz="8" w:color="0000FF"/>
            </w:tcBorders>
            <w:gridSpan w:val="13"/>
          </w:tcPr>
          <w:p>
            <w:pPr>
              <w:spacing w:after="0"/>
              <w:rPr>
                <w:sz w:val="12"/>
                <w:szCs w:val="12"/>
                <w:color w:val="auto"/>
              </w:rPr>
            </w:pPr>
          </w:p>
        </w:tc>
        <w:tc>
          <w:tcPr>
            <w:tcW w:w="5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line="253" w:lineRule="auto"/>
        <w:rPr>
          <w:sz w:val="20"/>
          <w:szCs w:val="20"/>
          <w:color w:val="auto"/>
        </w:rPr>
      </w:pPr>
      <w:r>
        <w:rPr>
          <w:rFonts w:ascii="Times New Roman" w:cs="Times New Roman" w:eastAsia="Times New Roman" w:hAnsi="Times New Roman"/>
          <w:sz w:val="15"/>
          <w:szCs w:val="15"/>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-1270</wp:posOffset>
            </wp:positionV>
            <wp:extent cx="11055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(q)</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(s)</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(v)</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31.1</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31.2</w:t>
      </w:r>
    </w:p>
    <w:p>
      <w:pPr>
        <w:spacing w:after="0" w:line="186" w:lineRule="exact"/>
        <w:rPr>
          <w:sz w:val="20"/>
          <w:szCs w:val="20"/>
          <w:color w:val="auto"/>
        </w:rPr>
      </w:pPr>
    </w:p>
    <w:p>
      <w:pPr>
        <w:sectPr>
          <w:pgSz w:w="11900" w:h="16838" w:orient="portrait"/>
          <w:cols w:equalWidth="0" w:num="2">
            <w:col w:w="9400" w:space="340"/>
            <w:col w:w="1260"/>
          </w:cols>
          <w:pgMar w:left="320" w:top="934" w:right="579" w:bottom="1440" w:gutter="0" w:footer="0" w:header="0"/>
        </w:sectPr>
      </w:pPr>
    </w:p>
    <w:tbl>
      <w:tblPr>
        <w:tblLayout w:type="fixed"/>
        <w:tblInd w:w="400" w:type="dxa"/>
        <w:tblCellMar>
          <w:top w:w="0" w:type="dxa"/>
          <w:left w:w="0" w:type="dxa"/>
          <w:bottom w:w="0" w:type="dxa"/>
          <w:right w:w="0" w:type="dxa"/>
        </w:tblCellMar>
      </w:tblPr>
      <w:tr>
        <w:trPr>
          <w:trHeight w:val="184"/>
        </w:trPr>
        <w:tc>
          <w:tcPr>
            <w:tcW w:w="80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w w:val="99"/>
              </w:rPr>
              <w:t>32.0</w:t>
            </w:r>
          </w:p>
        </w:tc>
        <w:tc>
          <w:tcPr>
            <w:tcW w:w="8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Certificate of Chief Executive Officer and Chief Financial Officer pursuant to Section 906 of the Sarbanes-Oxley Act of 2002</w:t>
            </w: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196"/>
        </w:trPr>
        <w:tc>
          <w:tcPr>
            <w:tcW w:w="80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w w:val="99"/>
              </w:rPr>
              <w:t>97</w:t>
            </w:r>
          </w:p>
        </w:tc>
        <w:tc>
          <w:tcPr>
            <w:tcW w:w="444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Policy Relating to Recovery of Erroneously Awarded Compensation</w:t>
              </w:r>
            </w:hyperlink>
          </w:p>
        </w:tc>
        <w:tc>
          <w:tcPr>
            <w:tcW w:w="4160" w:type="dxa"/>
            <w:vAlign w:val="bottom"/>
            <w:gridSpan w:val="2"/>
          </w:tcPr>
          <w:p>
            <w:pPr>
              <w:spacing w:after="0"/>
              <w:rPr>
                <w:sz w:val="17"/>
                <w:szCs w:val="17"/>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w:t>
            </w:r>
          </w:p>
        </w:tc>
      </w:tr>
      <w:tr>
        <w:trPr>
          <w:trHeight w:val="183"/>
        </w:trPr>
        <w:tc>
          <w:tcPr>
            <w:tcW w:w="800" w:type="dxa"/>
            <w:vAlign w:val="bottom"/>
          </w:tcPr>
          <w:p>
            <w:pPr>
              <w:jc w:val="center"/>
              <w:ind w:right="439"/>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86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The following materials from HomeTrust Bancshares’ Annual Report on Form 10-K for the year ended December 31, 2024,</w:t>
            </w: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101</w:t>
            </w:r>
          </w:p>
        </w:tc>
      </w:tr>
      <w:tr>
        <w:trPr>
          <w:trHeight w:val="180"/>
        </w:trPr>
        <w:tc>
          <w:tcPr>
            <w:tcW w:w="800" w:type="dxa"/>
            <w:vAlign w:val="bottom"/>
          </w:tcPr>
          <w:p>
            <w:pPr>
              <w:spacing w:after="0"/>
              <w:rPr>
                <w:sz w:val="15"/>
                <w:szCs w:val="15"/>
                <w:color w:val="auto"/>
              </w:rPr>
            </w:pPr>
          </w:p>
        </w:tc>
        <w:tc>
          <w:tcPr>
            <w:tcW w:w="860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formatted in Extensible Business Reporting Language (XBRL): (a) Consolidated Balance Sheets; (b) Consolidated</w:t>
            </w:r>
          </w:p>
        </w:tc>
        <w:tc>
          <w:tcPr>
            <w:tcW w:w="720" w:type="dxa"/>
            <w:vAlign w:val="bottom"/>
          </w:tcPr>
          <w:p>
            <w:pPr>
              <w:spacing w:after="0"/>
              <w:rPr>
                <w:sz w:val="15"/>
                <w:szCs w:val="15"/>
                <w:color w:val="auto"/>
              </w:rPr>
            </w:pPr>
          </w:p>
        </w:tc>
      </w:tr>
    </w:tbl>
    <w:p>
      <w:pPr>
        <w:ind w:left="1200" w:right="1860"/>
        <w:spacing w:after="0" w:line="231" w:lineRule="auto"/>
        <w:rPr>
          <w:sz w:val="20"/>
          <w:szCs w:val="20"/>
          <w:color w:val="auto"/>
        </w:rPr>
      </w:pPr>
      <w:r>
        <w:rPr>
          <w:rFonts w:ascii="Times New Roman" w:cs="Times New Roman" w:eastAsia="Times New Roman" w:hAnsi="Times New Roman"/>
          <w:sz w:val="16"/>
          <w:szCs w:val="16"/>
          <w:color w:val="auto"/>
        </w:rPr>
        <w:t>Statements of Income; (c) Consolidated Statements of Comprehensive Income; (d) Consolidated Statements of Changes in Stockholders' Equity; (e) Consolidated Statements of Cash Flows; and (f) Notes to Consolidated Financial Statements.</w:t>
      </w:r>
    </w:p>
    <w:p>
      <w:pPr>
        <w:spacing w:after="0" w:line="132" w:lineRule="exact"/>
        <w:rPr>
          <w:sz w:val="20"/>
          <w:szCs w:val="20"/>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2022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25, 2018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S-1 filed on December 29, 2011 (File No. 333-178817).</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May 24,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Transition Report on Form 10-KT for the-six month transition period ended December 31, 2023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11, 2018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October 28, 2020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Amendment No. 1 to HomeTrust Bancshares's Registration Statement on Form S-1 filed on March 9, 2012 (File No. 333-178817).</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December 5, 2012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filed on February 13, 2013 (File No. 333-186666).</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15,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December 31, 2024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July 28, 2021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2023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October 3,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2023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August 28, 2023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filed on February 6, 2023 (File No. 333-186666).</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June 30, 2024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11, 2025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April 1, 2025 (File No. 001-35593).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34" w:right="57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180" w:type="dxa"/>
            <w:vAlign w:val="bottom"/>
          </w:tcPr>
          <w:p>
            <w:pPr>
              <w:spacing w:after="0"/>
              <w:rPr>
                <w:sz w:val="18"/>
                <w:szCs w:val="18"/>
                <w:color w:val="auto"/>
              </w:rPr>
            </w:pPr>
          </w:p>
        </w:tc>
        <w:tc>
          <w:tcPr>
            <w:tcW w:w="802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r>
      <w:tr>
        <w:trPr>
          <w:trHeight w:val="31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6, 2025</w:t>
            </w:r>
          </w:p>
        </w:tc>
        <w:tc>
          <w:tcPr>
            <w:tcW w:w="24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 Hunter Westbrook</w:t>
            </w:r>
          </w:p>
        </w:tc>
      </w:tr>
      <w:tr>
        <w:trPr>
          <w:trHeight w:val="207"/>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 Hunter Westbrook</w:t>
            </w:r>
          </w:p>
        </w:tc>
      </w:tr>
      <w:tr>
        <w:trPr>
          <w:trHeight w:val="216"/>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6"/>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(Duly Authorized Officer)</w:t>
            </w:r>
          </w:p>
        </w:tc>
      </w:tr>
      <w:tr>
        <w:trPr>
          <w:trHeight w:val="31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6, 2025</w:t>
            </w:r>
          </w:p>
        </w:tc>
        <w:tc>
          <w:tcPr>
            <w:tcW w:w="24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Tony J. VunCannon</w:t>
            </w:r>
          </w:p>
        </w:tc>
      </w:tr>
      <w:tr>
        <w:trPr>
          <w:trHeight w:val="207"/>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Tony J. VunCannon</w:t>
            </w:r>
          </w:p>
        </w:tc>
      </w:tr>
      <w:tr>
        <w:trPr>
          <w:trHeight w:val="216"/>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tc>
      </w:tr>
      <w:tr>
        <w:trPr>
          <w:trHeight w:val="216"/>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89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 Hunter Westbrook, certify that:</w:t>
      </w:r>
    </w:p>
    <w:p>
      <w:pPr>
        <w:spacing w:after="0" w:line="16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780" w:val="left"/>
          <w:tab w:leader="none" w:pos="5780" w:val="left"/>
        </w:tabs>
        <w:rPr>
          <w:sz w:val="20"/>
          <w:szCs w:val="20"/>
          <w:color w:val="auto"/>
        </w:rPr>
      </w:pPr>
      <w:r>
        <w:rPr>
          <w:rFonts w:ascii="Times New Roman" w:cs="Times New Roman" w:eastAsia="Times New Roman" w:hAnsi="Times New Roman"/>
          <w:sz w:val="16"/>
          <w:szCs w:val="16"/>
          <w:color w:val="auto"/>
        </w:rPr>
        <w:t>November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20320</wp:posOffset>
            </wp:positionV>
            <wp:extent cx="34715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89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Tony J. VunCannon, certify that:</w:t>
      </w:r>
    </w:p>
    <w:p>
      <w:pPr>
        <w:spacing w:after="0" w:line="16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780" w:val="left"/>
          <w:tab w:leader="none" w:pos="5780" w:val="left"/>
        </w:tabs>
        <w:rPr>
          <w:sz w:val="20"/>
          <w:szCs w:val="20"/>
          <w:color w:val="auto"/>
        </w:rPr>
      </w:pPr>
      <w:r>
        <w:rPr>
          <w:rFonts w:ascii="Times New Roman" w:cs="Times New Roman" w:eastAsia="Times New Roman" w:hAnsi="Times New Roman"/>
          <w:sz w:val="16"/>
          <w:szCs w:val="16"/>
          <w:color w:val="auto"/>
        </w:rPr>
        <w:t>November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20320</wp:posOffset>
            </wp:positionV>
            <wp:extent cx="3471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p>
      <w:pPr>
        <w:sectPr>
          <w:pgSz w:w="11900" w:h="16838" w:orient="portrait"/>
          <w:cols w:equalWidth="0" w:num="1">
            <w:col w:w="11240"/>
          </w:cols>
          <w:pgMar w:left="320" w:top="89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1350 CERTIFICATION</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of the undersigned hereby certifies in his capacity as an officer of HomeTrust Bancshares, Inc. (the "Company") that the Quarterly Report of the Company on Form 10-Q for the period ended September 30, 2025,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66" w:lineRule="exact"/>
        <w:rPr>
          <w:sz w:val="20"/>
          <w:szCs w:val="20"/>
          <w:color w:val="auto"/>
        </w:rPr>
      </w:pPr>
    </w:p>
    <w:p>
      <w:pPr>
        <w:ind w:left="20"/>
        <w:spacing w:after="0"/>
        <w:tabs>
          <w:tab w:leader="none" w:pos="4780" w:val="left"/>
          <w:tab w:leader="none" w:pos="5620" w:val="left"/>
        </w:tabs>
        <w:rPr>
          <w:sz w:val="20"/>
          <w:szCs w:val="20"/>
          <w:color w:val="auto"/>
        </w:rPr>
      </w:pPr>
      <w:r>
        <w:rPr>
          <w:rFonts w:ascii="Times New Roman" w:cs="Times New Roman" w:eastAsia="Times New Roman" w:hAnsi="Times New Roman"/>
          <w:sz w:val="16"/>
          <w:szCs w:val="16"/>
          <w:color w:val="auto"/>
        </w:rPr>
        <w:t>November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780" w:val="left"/>
          <w:tab w:leader="none" w:pos="5620" w:val="left"/>
        </w:tabs>
        <w:rPr>
          <w:sz w:val="20"/>
          <w:szCs w:val="20"/>
          <w:color w:val="auto"/>
        </w:rPr>
      </w:pPr>
      <w:r>
        <w:rPr>
          <w:rFonts w:ascii="Times New Roman" w:cs="Times New Roman" w:eastAsia="Times New Roman" w:hAnsi="Times New Roman"/>
          <w:sz w:val="16"/>
          <w:szCs w:val="16"/>
          <w:color w:val="auto"/>
        </w:rPr>
        <w:t>November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0"/>
    </w:lvl>
  </w:abstractNum>
  <w:abstractNum w:abstractNumId="13">
    <w:nsid w:val="79838CB2"/>
    <w:multiLevelType w:val="hybridMultilevel"/>
    <w:lvl w:ilvl="0">
      <w:lvlJc w:val="left"/>
      <w:lvlText w:val="%1."/>
      <w:numFmt w:val="decimal"/>
      <w:start w:val="1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2"/>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4"/>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80"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55" Type="http://schemas.openxmlformats.org/officeDocument/2006/relationships/hyperlink" Target="https://www.sec.gov/Archives/edgar/data/1538263/000119312511355607/0001193125-11-355607-index.htm" TargetMode="External"/><Relationship Id="rId56" Type="http://schemas.openxmlformats.org/officeDocument/2006/relationships/hyperlink" Target="https://www.sec.gov/ix?doc=/Archives/edgar/data/1538263/000153826325000015/htbi-20250210.htm" TargetMode="External"/><Relationship Id="rId57" Type="http://schemas.openxmlformats.org/officeDocument/2006/relationships/hyperlink" Target="https://www.sec.gov/ix?doc=/Archives/edgar/data/0001538263/000153826325000040/htbi-20241231.htm" TargetMode="External"/><Relationship Id="rId58" Type="http://schemas.openxmlformats.org/officeDocument/2006/relationships/hyperlink" Target="https://www.sec.gov/ix?doc=/Archives/edgar/data/0001538263/000153826322000047/htbi-20220630.htm" TargetMode="External"/><Relationship Id="rId59" Type="http://schemas.openxmlformats.org/officeDocument/2006/relationships/hyperlink" Target="https://www.sec.gov/Archives/edgar/data/1538263/000153826318000044/htbi-20180911x8k.htm" TargetMode="External"/><Relationship Id="rId60" Type="http://schemas.openxmlformats.org/officeDocument/2006/relationships/hyperlink" Target="https://www.sec.gov/Archives/edgar/data/1538263/000153826318000049/htbi-20180925x8k.htm" TargetMode="External"/><Relationship Id="rId61" Type="http://schemas.openxmlformats.org/officeDocument/2006/relationships/hyperlink" Target="https://www.sec.gov/ix?doc=/Archives/edgar/data/0001538263/000153826320000039/htbi-20201027.htm" TargetMode="External"/><Relationship Id="rId62" Type="http://schemas.openxmlformats.org/officeDocument/2006/relationships/hyperlink" Target="https://www.sec.gov/ix?doc=/Archives/edgar/data/0001538263/000153826321000053/htbi-20210726.htm" TargetMode="External"/><Relationship Id="rId63" Type="http://schemas.openxmlformats.org/officeDocument/2006/relationships/hyperlink" Target="https://www.sec.gov/ix?doc=/Archives/edgar/data/0001538263/000153826322000024/htbi-20220523.htm" TargetMode="External"/><Relationship Id="rId64" Type="http://schemas.openxmlformats.org/officeDocument/2006/relationships/hyperlink" Target="https://www.sec.gov/ix?doc=/Archives/edgar/data/0001538263/000153826322000021/htbi-20220331.htm" TargetMode="External"/><Relationship Id="rId65" Type="http://schemas.openxmlformats.org/officeDocument/2006/relationships/hyperlink" Target="https://www.sec.gov/ix?doc=/Archives/edgar/data/0001538263/000153826322000009/htbi-20220211.htm" TargetMode="External"/><Relationship Id="rId66" Type="http://schemas.openxmlformats.org/officeDocument/2006/relationships/hyperlink" Target="https://www.sec.gov/Archives/edgar/data/1538263/000119312512107294/0001193125-12-107294-index.htm" TargetMode="External"/><Relationship Id="rId67" Type="http://schemas.openxmlformats.org/officeDocument/2006/relationships/hyperlink" Target="https://www.sec.gov/Archives/edgar/data/1538263/000153826322000058/0001538263-22-000058-index.htm" TargetMode="External"/><Relationship Id="rId68" Type="http://schemas.openxmlformats.org/officeDocument/2006/relationships/hyperlink" Target="https://www.sec.gov/ix?doc=/Archives/edgar/data/0001538263/000153826323000038/htbi-20230828.htm" TargetMode="External"/><Relationship Id="rId69" Type="http://schemas.openxmlformats.org/officeDocument/2006/relationships/hyperlink" Target="https://www.sec.gov/ix?doc=/Archives/edgar/data/0001538263/000153826325000042/htbi-20250327.htm" TargetMode="External"/><Relationship Id="rId70" Type="http://schemas.openxmlformats.org/officeDocument/2006/relationships/hyperlink" Target="https://www.sec.gov/Archives/edgar/data/1538263/000092708912000332/htbi-def14a2012.htm" TargetMode="External"/><Relationship Id="rId71" Type="http://schemas.openxmlformats.org/officeDocument/2006/relationships/hyperlink" Target="https://www.sec.gov/Archives/edgar/data/1538263/000092708913000038/0000927089-13-000038-index.htm" TargetMode="External"/><Relationship Id="rId74" Type="http://schemas.openxmlformats.org/officeDocument/2006/relationships/hyperlink" Target="https://www.sec.gov/Archives/edgar/data/1538263/000110465922104918/tm2226697d1_def14a.htm" TargetMode="External"/><Relationship Id="rId75" Type="http://schemas.openxmlformats.org/officeDocument/2006/relationships/hyperlink" Target="https://www.sec.gov/Archives/edgar/data/1538263/000110465923011174/tm235386d1_s8.htm" TargetMode="External"/><Relationship Id="rId76" Type="http://schemas.openxmlformats.org/officeDocument/2006/relationships/hyperlink" Target="https://www.sec.gov/ix?doc=/Archives/edgar/data/1538263/000153826323000047/htbi-20230630.htm" TargetMode="External"/><Relationship Id="rId77" Type="http://schemas.openxmlformats.org/officeDocument/2006/relationships/hyperlink" Target="https://www.sec.gov/ix?doc=/Archives/edgar/data/0001538263/000153826323000056/htbi-20230930.htm" TargetMode="External"/><Relationship Id="rId78" Type="http://schemas.openxmlformats.org/officeDocument/2006/relationships/hyperlink" Target="https://www.sec.gov/ix?doc=/Archives/edgar/data/1538263/000153826324000087/htbi-20240630.htm" TargetMode="External"/><Relationship Id="rId79" Type="http://schemas.openxmlformats.org/officeDocument/2006/relationships/hyperlink" Target="https://www.sec.gov/ix?doc=/Archives/edgar/data/0001538263/000153826324000105/htbi-20240930.htm" TargetMode="External"/><Relationship Id="rId81" Type="http://schemas.openxmlformats.org/officeDocument/2006/relationships/hyperlink" Target="https://www.sec.gov/ix?doc=/Archives/edgar/data/0001538263/000153826324000029/htbi-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2025-11-06T15:52:51Z</dcterms:created>
  <dcterms:modified xsi:type="dcterms:W3CDTF">2025-11-06T15:52:51Z</dcterms:modified>
</cp:coreProperties>
</file>