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July 7,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HOMETRUST BANCSHARES,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ind w:left="0" w:right="0" w:firstLine="7920"/>
        <w:jc w:val="both"/>
        <w:rPr>
          <w:color w:val="000000"/>
        </w:rPr>
      </w:pPr>
      <w:r>
        <w:rPr>
          <w:color w:val="000000"/>
        </w:rPr>
        <w:t> </w:t>
      </w:r>
    </w:p>
    <w:tbl>
      <w:tblPr>
        <w:tblW w:w="9517" w:type="dxa"/>
        <w:jc w:val="left"/>
        <w:tblInd w:w="0" w:type="dxa"/>
        <w:tblLayout w:type="fixed"/>
        <w:tblCellMar>
          <w:top w:w="28" w:type="dxa"/>
          <w:left w:w="28" w:type="dxa"/>
          <w:bottom w:w="28" w:type="dxa"/>
          <w:right w:w="28" w:type="dxa"/>
        </w:tblCellMar>
      </w:tblPr>
      <w:tblGrid>
        <w:gridCol w:w="1328"/>
        <w:gridCol w:w="1170"/>
        <w:gridCol w:w="1176"/>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001-35593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45-5055422</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930" w:type="dxa"/>
        <w:jc w:val="left"/>
        <w:tblInd w:w="0" w:type="dxa"/>
        <w:tblLayout w:type="fixed"/>
        <w:tblCellMar>
          <w:top w:w="28" w:type="dxa"/>
          <w:left w:w="28" w:type="dxa"/>
          <w:bottom w:w="28" w:type="dxa"/>
          <w:right w:w="28" w:type="dxa"/>
        </w:tblCellMar>
      </w:tblPr>
      <w:tblGrid>
        <w:gridCol w:w="1418"/>
        <w:gridCol w:w="1246"/>
        <w:gridCol w:w="1250"/>
        <w:gridCol w:w="109"/>
        <w:gridCol w:w="109"/>
        <w:gridCol w:w="109"/>
        <w:gridCol w:w="109"/>
        <w:gridCol w:w="109"/>
        <w:gridCol w:w="109"/>
        <w:gridCol w:w="109"/>
        <w:gridCol w:w="109"/>
        <w:gridCol w:w="109"/>
        <w:gridCol w:w="303"/>
        <w:gridCol w:w="303"/>
        <w:gridCol w:w="429"/>
      </w:tblGrid>
      <w:tr>
        <w:trPr/>
        <w:tc>
          <w:tcPr>
            <w:tcW w:w="1418"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 Woodfin Street, Asheville,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28801</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5700" w:type="dxa"/>
        <w:jc w:val="center"/>
        <w:tblInd w:w="0" w:type="dxa"/>
        <w:tblLayout w:type="fixed"/>
        <w:tblCellMar>
          <w:top w:w="28" w:type="dxa"/>
          <w:left w:w="28" w:type="dxa"/>
          <w:bottom w:w="28" w:type="dxa"/>
          <w:right w:w="28" w:type="dxa"/>
        </w:tblCellMar>
      </w:tblPr>
      <w:tblGrid>
        <w:gridCol w:w="1821"/>
        <w:gridCol w:w="1601"/>
        <w:gridCol w:w="2278"/>
      </w:tblGrid>
      <w:tr>
        <w:trPr/>
        <w:tc>
          <w:tcPr>
            <w:tcW w:w="1821"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rPr>
              <w:t>(828) 259-3939</w:t>
            </w:r>
          </w:p>
        </w:tc>
      </w:tr>
    </w:tbl>
    <w:tbl>
      <w:tblPr>
        <w:tblW w:w="5678" w:type="dxa"/>
        <w:jc w:val="center"/>
        <w:tblInd w:w="0" w:type="dxa"/>
        <w:tblLayout w:type="fixed"/>
        <w:tblCellMar>
          <w:top w:w="28" w:type="dxa"/>
          <w:left w:w="28" w:type="dxa"/>
          <w:bottom w:w="28" w:type="dxa"/>
          <w:right w:w="28" w:type="dxa"/>
        </w:tblCellMar>
      </w:tblPr>
      <w:tblGrid>
        <w:gridCol w:w="124"/>
        <w:gridCol w:w="109"/>
        <w:gridCol w:w="109"/>
        <w:gridCol w:w="268"/>
        <w:gridCol w:w="268"/>
        <w:gridCol w:w="268"/>
        <w:gridCol w:w="1117"/>
        <w:gridCol w:w="1117"/>
        <w:gridCol w:w="1122"/>
        <w:gridCol w:w="268"/>
        <w:gridCol w:w="268"/>
        <w:gridCol w:w="26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center"/>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947" w:type="dxa"/>
        <w:jc w:val="center"/>
        <w:tblInd w:w="0" w:type="dxa"/>
        <w:tblLayout w:type="fixed"/>
        <w:tblCellMar>
          <w:top w:w="28" w:type="dxa"/>
          <w:left w:w="28" w:type="dxa"/>
          <w:bottom w:w="28" w:type="dxa"/>
          <w:right w:w="28" w:type="dxa"/>
        </w:tblCellMar>
      </w:tblPr>
      <w:tblGrid>
        <w:gridCol w:w="1122"/>
        <w:gridCol w:w="988"/>
        <w:gridCol w:w="994"/>
        <w:gridCol w:w="454"/>
        <w:gridCol w:w="454"/>
        <w:gridCol w:w="456"/>
        <w:gridCol w:w="1019"/>
        <w:gridCol w:w="1019"/>
        <w:gridCol w:w="1441"/>
      </w:tblGrid>
      <w:tr>
        <w:trPr/>
        <w:tc>
          <w:tcPr>
            <w:tcW w:w="112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3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13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HTB</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New York Stock Exchange LLC</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3607"/>
        <w:gridCol w:w="3100"/>
        <w:gridCol w:w="3125"/>
        <w:gridCol w:w="109"/>
        <w:gridCol w:w="109"/>
        <w:gridCol w:w="155"/>
      </w:tblGrid>
      <w:tr>
        <w:trPr/>
        <w:tc>
          <w:tcPr>
            <w:tcW w:w="3607"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HomeTrust Bancshares, Inc., the holding company for HomeTrust Bank, intends to issue its second quarter 2026 earnings release before the market opens on July 23, 2026.</w:t>
      </w:r>
    </w:p>
    <w:p>
      <w:pPr>
        <w:pStyle w:val="TextBody"/>
        <w:bidi w:val="0"/>
        <w:spacing w:before="0" w:after="180"/>
        <w:jc w:val="center"/>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9310" w:type="dxa"/>
        <w:jc w:val="left"/>
        <w:tblInd w:w="0" w:type="dxa"/>
        <w:tblLayout w:type="fixed"/>
        <w:tblCellMar>
          <w:top w:w="28" w:type="dxa"/>
          <w:left w:w="28" w:type="dxa"/>
          <w:bottom w:w="28" w:type="dxa"/>
          <w:right w:w="28" w:type="dxa"/>
        </w:tblCellMar>
      </w:tblPr>
      <w:tblGrid>
        <w:gridCol w:w="580"/>
        <w:gridCol w:w="511"/>
        <w:gridCol w:w="514"/>
        <w:gridCol w:w="109"/>
        <w:gridCol w:w="109"/>
        <w:gridCol w:w="109"/>
        <w:gridCol w:w="134"/>
        <w:gridCol w:w="134"/>
        <w:gridCol w:w="136"/>
        <w:gridCol w:w="2039"/>
        <w:gridCol w:w="2039"/>
        <w:gridCol w:w="2896"/>
      </w:tblGrid>
      <w:tr>
        <w:trPr/>
        <w:tc>
          <w:tcPr>
            <w:tcW w:w="58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HOMETRUST BANCSHARES, INC.</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7,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Tony J. VunCannon</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Tony J. VunCannon</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Corporate Secretary and Treasurer</w:t>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391</Words>
  <Characters>2156</Characters>
  <CharactersWithSpaces>2500</CharactersWithSpaces>
  <Paragraphs>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