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 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QUARTERLY REPORT UNDER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 xml:space="preserve">For the quarterly period ended </w:t>
      </w:r>
      <w:r>
        <w:rPr>
          <w:rFonts w:ascii="Times New Roman;sans-serif" w:hAnsi="Times New Roman;sans-serif"/>
          <w:b/>
          <w:color w:val="000000"/>
          <w:sz w:val="18"/>
          <w:u w:val="single"/>
        </w:rPr>
        <w:t>March 31, 2025</w:t>
      </w:r>
      <w:r>
        <w:rPr>
          <w:color w:val="000000"/>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TRANSITION REPORT UNDER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 to ________</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Commission file number:     </w:t>
      </w:r>
      <w:r>
        <w:rPr>
          <w:rFonts w:ascii="Times New Roman;sans-serif" w:hAnsi="Times New Roman;sans-serif"/>
          <w:b/>
          <w:color w:val="000000"/>
          <w:sz w:val="18"/>
        </w:rPr>
        <w:t>001-35593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HOMETRUST BANCSHARES,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61" w:type="dxa"/>
        <w:jc w:val="left"/>
        <w:tblInd w:w="0" w:type="dxa"/>
        <w:tblLayout w:type="fixed"/>
        <w:tblCellMar>
          <w:top w:w="28" w:type="dxa"/>
          <w:left w:w="28" w:type="dxa"/>
          <w:bottom w:w="28" w:type="dxa"/>
          <w:right w:w="28" w:type="dxa"/>
        </w:tblCellMar>
      </w:tblPr>
      <w:tblGrid>
        <w:gridCol w:w="1564"/>
        <w:gridCol w:w="1374"/>
        <w:gridCol w:w="1382"/>
        <w:gridCol w:w="109"/>
        <w:gridCol w:w="109"/>
        <w:gridCol w:w="109"/>
        <w:gridCol w:w="794"/>
        <w:gridCol w:w="794"/>
        <w:gridCol w:w="1126"/>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45-5055422</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of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10 Woodfin Street, Asheville, North Carolina 28801</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(828) 259-3939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47" w:type="dxa"/>
        <w:jc w:val="center"/>
        <w:tblInd w:w="0" w:type="dxa"/>
        <w:tblLayout w:type="fixed"/>
        <w:tblCellMar>
          <w:top w:w="28" w:type="dxa"/>
          <w:left w:w="28" w:type="dxa"/>
          <w:bottom w:w="28" w:type="dxa"/>
          <w:right w:w="28" w:type="dxa"/>
        </w:tblCellMar>
      </w:tblPr>
      <w:tblGrid>
        <w:gridCol w:w="1122"/>
        <w:gridCol w:w="988"/>
        <w:gridCol w:w="994"/>
        <w:gridCol w:w="454"/>
        <w:gridCol w:w="454"/>
        <w:gridCol w:w="456"/>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HTB</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New York Stock Exchange LLC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and 15(d) of the Exchange Act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24"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109"/>
        <w:gridCol w:w="109"/>
        <w:gridCol w:w="109"/>
        <w:gridCol w:w="109"/>
        <w:gridCol w:w="109"/>
        <w:gridCol w:w="109"/>
        <w:gridCol w:w="665"/>
        <w:gridCol w:w="665"/>
        <w:gridCol w:w="949"/>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 ☐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62"/>
        <w:gridCol w:w="3129"/>
        <w:gridCol w:w="3140"/>
        <w:gridCol w:w="109"/>
        <w:gridCol w:w="109"/>
        <w:gridCol w:w="156"/>
      </w:tblGrid>
      <w:tr>
        <w:trPr/>
        <w:tc>
          <w:tcPr>
            <w:tcW w:w="3562"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260" w:after="283"/>
        <w:jc w:val="left"/>
        <w:rPr/>
      </w:pPr>
      <w:r>
        <w:rPr>
          <w:rFonts w:ascii="Times New Roman;sans-serif" w:hAnsi="Times New Roman;sans-serif"/>
          <w:b w:val="false"/>
          <w:color w:val="000000"/>
          <w:sz w:val="18"/>
        </w:rPr>
        <w:t>There were 17,548,426</w:t>
      </w:r>
      <w:r>
        <w:rPr>
          <w:color w:val="BF2115"/>
        </w:rPr>
        <w:t xml:space="preserve"> </w:t>
      </w:r>
      <w:r>
        <w:rPr>
          <w:rFonts w:ascii="Times New Roman;sans-serif" w:hAnsi="Times New Roman;sans-serif"/>
          <w:b w:val="false"/>
          <w:color w:val="000000"/>
          <w:sz w:val="18"/>
        </w:rPr>
        <w:t>shares of common stock, par value of $0.01 per share, issued and outstanding as of May 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HOMETRUST BANCSHARES,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60"/>
        <w:gridCol w:w="314"/>
        <w:gridCol w:w="314"/>
        <w:gridCol w:w="314"/>
        <w:gridCol w:w="314"/>
        <w:gridCol w:w="314"/>
        <w:gridCol w:w="2583"/>
        <w:gridCol w:w="2533"/>
        <w:gridCol w:w="2641"/>
        <w:gridCol w:w="149"/>
        <w:gridCol w:w="149"/>
        <w:gridCol w:w="220"/>
      </w:tblGrid>
      <w:tr>
        <w:trPr/>
        <w:tc>
          <w:tcPr>
            <w:tcW w:w="3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68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3">
              <w:r>
                <w:rPr>
                  <w:rStyle w:val="InternetLink"/>
                  <w:rFonts w:ascii="Times New Roman;sans-serif" w:hAnsi="Times New Roman;sans-serif"/>
                  <w:b/>
                  <w:color w:val="0000FF"/>
                  <w:sz w:val="18"/>
                  <w:u w:val="single"/>
                </w:rPr>
                <w:t>PART I FINANCIAL INFORMATION</w:t>
              </w:r>
            </w:hyperlink>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6">
              <w:r>
                <w:rPr>
                  <w:rStyle w:val="InternetLink"/>
                  <w:rFonts w:ascii="Times New Roman;sans-serif" w:hAnsi="Times New Roman;sans-serif"/>
                  <w:b w:val="false"/>
                  <w:color w:val="0000FF"/>
                  <w:sz w:val="18"/>
                  <w:u w:val="single"/>
                </w:rPr>
                <w:t>Financial Statements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5e7434f854b4816b084929b39f58254_19">
              <w:r>
                <w:rPr>
                  <w:rStyle w:val="InternetLink"/>
                  <w:rFonts w:ascii="Times New Roman;sans-serif" w:hAnsi="Times New Roman;sans-serif"/>
                  <w:b w:val="false"/>
                  <w:color w:val="0000FF"/>
                  <w:sz w:val="18"/>
                  <w:u w:val="single"/>
                </w:rPr>
                <w:t>Consolidated Balance Sheets at March 31, 2025 (Unaudited) and December 31, 2024</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9">
              <w:r>
                <w:rPr>
                  <w:rStyle w:val="InternetLink"/>
                  <w:rFonts w:ascii="Times New Roman;sans-serif" w:hAnsi="Times New Roman;sans-serif"/>
                  <w:b w:val="false"/>
                  <w:color w:val="0000FF"/>
                  <w:sz w:val="18"/>
                  <w:u w:val="single"/>
                </w:rPr>
                <w:t>3</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5e7434f854b4816b084929b39f58254_25">
              <w:r>
                <w:rPr>
                  <w:rStyle w:val="InternetLink"/>
                  <w:rFonts w:ascii="Times New Roman;sans-serif" w:hAnsi="Times New Roman;sans-serif"/>
                  <w:b w:val="false"/>
                  <w:color w:val="0000FF"/>
                  <w:sz w:val="18"/>
                  <w:u w:val="single"/>
                </w:rPr>
                <w:t>Consolidated Statements of Income (Unaudited) for the Three Months Ended March 31, 2025 and 2024</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25">
              <w:r>
                <w:rPr>
                  <w:rStyle w:val="InternetLink"/>
                  <w:rFonts w:ascii="Times New Roman;sans-serif" w:hAnsi="Times New Roman;sans-serif"/>
                  <w:b w:val="false"/>
                  <w:color w:val="0000FF"/>
                  <w:sz w:val="18"/>
                  <w:u w:val="single"/>
                </w:rPr>
                <w:t>4</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28">
              <w:r>
                <w:rPr>
                  <w:rStyle w:val="InternetLink"/>
                  <w:rFonts w:ascii="Times New Roman;sans-serif" w:hAnsi="Times New Roman;sans-serif"/>
                  <w:b w:val="false"/>
                  <w:color w:val="000080"/>
                  <w:sz w:val="18"/>
                  <w:u w:val="single"/>
                </w:rPr>
                <w:t xml:space="preserve">Consolidated Statements of Comprehensive Income (Unaudited) for the </w:t>
              </w:r>
            </w:hyperlink>
            <w:hyperlink w:anchor="i55e7434f854b4816b084929b39f58254_25">
              <w:r>
                <w:rPr>
                  <w:rStyle w:val="InternetLink"/>
                  <w:rFonts w:ascii="Times New Roman;sans-serif" w:hAnsi="Times New Roman;sans-serif"/>
                  <w:b w:val="false"/>
                  <w:color w:val="000080"/>
                  <w:sz w:val="18"/>
                  <w:u w:val="single"/>
                </w:rPr>
                <w:t>Three Months Ended March 31, 2025 and 2024</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28">
              <w:r>
                <w:rPr>
                  <w:rStyle w:val="InternetLink"/>
                  <w:rFonts w:ascii="Times New Roman;sans-serif" w:hAnsi="Times New Roman;sans-serif"/>
                  <w:b w:val="false"/>
                  <w:color w:val="0000FF"/>
                  <w:sz w:val="18"/>
                  <w:u w:val="single"/>
                </w:rPr>
                <w:t>5</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5e7434f854b4816b084929b39f58254_31">
              <w:r>
                <w:rPr>
                  <w:rStyle w:val="InternetLink"/>
                  <w:rFonts w:ascii="Times New Roman;sans-serif" w:hAnsi="Times New Roman;sans-serif"/>
                  <w:b w:val="false"/>
                  <w:color w:val="000080"/>
                  <w:sz w:val="18"/>
                  <w:u w:val="single"/>
                </w:rPr>
                <w:t xml:space="preserve">Consolidated Statements of Changes in Stockholders' Equity (Unaudited) for the </w:t>
              </w:r>
            </w:hyperlink>
            <w:hyperlink w:anchor="i55e7434f854b4816b084929b39f58254_25">
              <w:r>
                <w:rPr>
                  <w:rStyle w:val="InternetLink"/>
                  <w:rFonts w:ascii="Times New Roman;sans-serif" w:hAnsi="Times New Roman;sans-serif"/>
                  <w:b w:val="false"/>
                  <w:color w:val="000080"/>
                  <w:sz w:val="18"/>
                  <w:u w:val="single"/>
                </w:rPr>
                <w:t>Three Months Ended March 31, 2025 and 2024</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31">
              <w:r>
                <w:rPr>
                  <w:rStyle w:val="InternetLink"/>
                  <w:rFonts w:ascii="Times New Roman;sans-serif" w:hAnsi="Times New Roman;sans-serif"/>
                  <w:b w:val="false"/>
                  <w:color w:val="0000FF"/>
                  <w:sz w:val="18"/>
                  <w:u w:val="single"/>
                </w:rPr>
                <w:t>6</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5e7434f854b4816b084929b39f58254_40">
              <w:r>
                <w:rPr>
                  <w:rStyle w:val="InternetLink"/>
                  <w:rFonts w:ascii="Times New Roman;sans-serif" w:hAnsi="Times New Roman;sans-serif"/>
                  <w:b w:val="false"/>
                  <w:color w:val="0000FF"/>
                  <w:sz w:val="18"/>
                  <w:u w:val="single"/>
                </w:rPr>
                <w:t>Consolidated Statements of Cash Flows (Unaudited) for the Three Months Ended March 31, 2025 and 2024</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40">
              <w:r>
                <w:rPr>
                  <w:rStyle w:val="InternetLink"/>
                  <w:rFonts w:ascii="Times New Roman;sans-serif" w:hAnsi="Times New Roman;sans-serif"/>
                  <w:b w:val="false"/>
                  <w:color w:val="0000FF"/>
                  <w:sz w:val="18"/>
                  <w:u w:val="single"/>
                </w:rPr>
                <w:t>7</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5e7434f854b4816b084929b39f58254_43">
              <w:r>
                <w:rPr>
                  <w:rStyle w:val="InternetLink"/>
                  <w:rFonts w:ascii="Times New Roman;sans-serif" w:hAnsi="Times New Roman;sans-serif"/>
                  <w:b w:val="false"/>
                  <w:color w:val="0000FF"/>
                  <w:sz w:val="18"/>
                  <w:u w:val="single"/>
                </w:rPr>
                <w:t>Notes to Consolidated Financial Statements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43">
              <w:r>
                <w:rPr>
                  <w:rStyle w:val="InternetLink"/>
                  <w:rFonts w:ascii="Times New Roman;sans-serif" w:hAnsi="Times New Roman;sans-serif"/>
                  <w:b w:val="false"/>
                  <w:color w:val="0000FF"/>
                  <w:sz w:val="18"/>
                  <w:u w:val="single"/>
                </w:rPr>
                <w:t>9</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18">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18">
              <w:r>
                <w:rPr>
                  <w:rStyle w:val="InternetLink"/>
                  <w:rFonts w:ascii="Times New Roman;sans-serif" w:hAnsi="Times New Roman;sans-serif"/>
                  <w:b w:val="false"/>
                  <w:color w:val="0000FF"/>
                  <w:sz w:val="18"/>
                  <w:u w:val="single"/>
                </w:rPr>
                <w:t>31</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66">
              <w:r>
                <w:rPr>
                  <w:rStyle w:val="InternetLink"/>
                  <w:rFonts w:ascii="Times New Roman;sans-serif" w:hAnsi="Times New Roman;sans-serif"/>
                  <w:b w:val="false"/>
                  <w:color w:val="0000FF"/>
                  <w:sz w:val="18"/>
                  <w:u w:val="single"/>
                </w:rPr>
                <w:t>Quantitative and Qualitative Disclosures about Market Risk</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66">
              <w:r>
                <w:rPr>
                  <w:rStyle w:val="InternetLink"/>
                  <w:rFonts w:ascii="Times New Roman;sans-serif" w:hAnsi="Times New Roman;sans-serif"/>
                  <w:b w:val="false"/>
                  <w:color w:val="0000FF"/>
                  <w:sz w:val="18"/>
                  <w:u w:val="single"/>
                </w:rPr>
                <w:t>39</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69">
              <w:r>
                <w:rPr>
                  <w:rStyle w:val="InternetLink"/>
                  <w:rFonts w:ascii="Times New Roman;sans-serif" w:hAnsi="Times New Roman;sans-serif"/>
                  <w:b w:val="false"/>
                  <w:color w:val="0000FF"/>
                  <w:sz w:val="18"/>
                  <w:u w:val="single"/>
                </w:rPr>
                <w:t>Controls and Procedures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69">
              <w:r>
                <w:rPr>
                  <w:rStyle w:val="InternetLink"/>
                  <w:rFonts w:ascii="Times New Roman;sans-serif" w:hAnsi="Times New Roman;sans-serif"/>
                  <w:b w:val="false"/>
                  <w:color w:val="0000FF"/>
                  <w:sz w:val="18"/>
                  <w:u w:val="single"/>
                </w:rPr>
                <w:t>39</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72">
              <w:r>
                <w:rPr>
                  <w:rStyle w:val="InternetLink"/>
                  <w:rFonts w:ascii="Times New Roman;sans-serif" w:hAnsi="Times New Roman;sans-serif"/>
                  <w:b/>
                  <w:color w:val="0000FF"/>
                  <w:sz w:val="18"/>
                  <w:u w:val="single"/>
                </w:rPr>
                <w:t>PART II OTHER INFORMATION</w:t>
              </w:r>
            </w:hyperlink>
            <w:r>
              <w:rPr>
                <w:color w:val="000000"/>
              </w:rPr>
              <w:t> </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75">
              <w:r>
                <w:rPr>
                  <w:rStyle w:val="InternetLink"/>
                  <w:rFonts w:ascii="Times New Roman;sans-serif" w:hAnsi="Times New Roman;sans-serif"/>
                  <w:b w:val="false"/>
                  <w:color w:val="0000FF"/>
                  <w:sz w:val="18"/>
                  <w:u w:val="single"/>
                </w:rPr>
                <w:t>Legal Proceedings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75">
              <w:r>
                <w:rPr>
                  <w:rStyle w:val="InternetLink"/>
                  <w:rFonts w:ascii="Times New Roman;sans-serif" w:hAnsi="Times New Roman;sans-serif"/>
                  <w:b w:val="false"/>
                  <w:color w:val="0000FF"/>
                  <w:sz w:val="18"/>
                  <w:u w:val="single"/>
                </w:rPr>
                <w:t>40</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78">
              <w:r>
                <w:rPr>
                  <w:rStyle w:val="InternetLink"/>
                  <w:rFonts w:ascii="Times New Roman;sans-serif" w:hAnsi="Times New Roman;sans-serif"/>
                  <w:b w:val="false"/>
                  <w:color w:val="0000FF"/>
                  <w:sz w:val="18"/>
                  <w:u w:val="single"/>
                </w:rPr>
                <w:t>Risk Factors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78">
              <w:r>
                <w:rPr>
                  <w:rStyle w:val="InternetLink"/>
                  <w:rFonts w:ascii="Times New Roman;sans-serif" w:hAnsi="Times New Roman;sans-serif"/>
                  <w:b w:val="false"/>
                  <w:color w:val="0000FF"/>
                  <w:sz w:val="18"/>
                  <w:u w:val="single"/>
                </w:rPr>
                <w:t>40</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81">
              <w:r>
                <w:rPr>
                  <w:rStyle w:val="InternetLink"/>
                  <w:rFonts w:ascii="Times New Roman;sans-serif" w:hAnsi="Times New Roman;sans-serif"/>
                  <w:b w:val="false"/>
                  <w:color w:val="0000FF"/>
                  <w:sz w:val="18"/>
                  <w:u w:val="single"/>
                </w:rPr>
                <w:t>Unregistered Sales of Equity Securities and Use of Proceeds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81">
              <w:r>
                <w:rPr>
                  <w:rStyle w:val="InternetLink"/>
                  <w:rFonts w:ascii="Times New Roman;sans-serif" w:hAnsi="Times New Roman;sans-serif"/>
                  <w:b w:val="false"/>
                  <w:color w:val="0000FF"/>
                  <w:sz w:val="18"/>
                  <w:u w:val="single"/>
                </w:rPr>
                <w:t>40</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84">
              <w:r>
                <w:rPr>
                  <w:rStyle w:val="InternetLink"/>
                  <w:rFonts w:ascii="Times New Roman;sans-serif" w:hAnsi="Times New Roman;sans-serif"/>
                  <w:b w:val="false"/>
                  <w:color w:val="0000FF"/>
                  <w:sz w:val="18"/>
                  <w:u w:val="single"/>
                </w:rPr>
                <w:t>Defaults Upon Senior Securities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84">
              <w:r>
                <w:rPr>
                  <w:rStyle w:val="InternetLink"/>
                  <w:rFonts w:ascii="Times New Roman;sans-serif" w:hAnsi="Times New Roman;sans-serif"/>
                  <w:b w:val="false"/>
                  <w:color w:val="0000FF"/>
                  <w:sz w:val="18"/>
                  <w:u w:val="single"/>
                </w:rPr>
                <w:t>40</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87">
              <w:r>
                <w:rPr>
                  <w:rStyle w:val="InternetLink"/>
                  <w:rFonts w:ascii="Times New Roman;sans-serif" w:hAnsi="Times New Roman;sans-serif"/>
                  <w:b w:val="false"/>
                  <w:color w:val="0000FF"/>
                  <w:sz w:val="18"/>
                  <w:u w:val="single"/>
                </w:rPr>
                <w:t>Mine Safety Disclosures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87">
              <w:r>
                <w:rPr>
                  <w:rStyle w:val="InternetLink"/>
                  <w:rFonts w:ascii="Times New Roman;sans-serif" w:hAnsi="Times New Roman;sans-serif"/>
                  <w:b w:val="false"/>
                  <w:color w:val="0000FF"/>
                  <w:sz w:val="18"/>
                  <w:u w:val="single"/>
                </w:rPr>
                <w:t>40</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90">
              <w:r>
                <w:rPr>
                  <w:rStyle w:val="InternetLink"/>
                  <w:rFonts w:ascii="Times New Roman;sans-serif" w:hAnsi="Times New Roman;sans-serif"/>
                  <w:b w:val="false"/>
                  <w:color w:val="0000FF"/>
                  <w:sz w:val="18"/>
                  <w:u w:val="single"/>
                </w:rPr>
                <w:t>Other Information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90">
              <w:r>
                <w:rPr>
                  <w:rStyle w:val="InternetLink"/>
                  <w:rFonts w:ascii="Times New Roman;sans-serif" w:hAnsi="Times New Roman;sans-serif"/>
                  <w:b w:val="false"/>
                  <w:color w:val="0000FF"/>
                  <w:sz w:val="18"/>
                  <w:u w:val="single"/>
                </w:rPr>
                <w:t>40</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8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93">
              <w:r>
                <w:rPr>
                  <w:rStyle w:val="InternetLink"/>
                  <w:rFonts w:ascii="Times New Roman;sans-serif" w:hAnsi="Times New Roman;sans-serif"/>
                  <w:b w:val="false"/>
                  <w:color w:val="0000FF"/>
                  <w:sz w:val="18"/>
                  <w:u w:val="single"/>
                </w:rPr>
                <w:t>Exhibits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93">
              <w:r>
                <w:rPr>
                  <w:rStyle w:val="InternetLink"/>
                  <w:rFonts w:ascii="Times New Roman;sans-serif" w:hAnsi="Times New Roman;sans-serif"/>
                  <w:b w:val="false"/>
                  <w:color w:val="0000FF"/>
                  <w:sz w:val="18"/>
                  <w:u w:val="single"/>
                </w:rPr>
                <w:t>40</w:t>
              </w:r>
            </w:hyperlink>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8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5e7434f854b4816b084929b39f58254_199">
              <w:r>
                <w:rPr>
                  <w:rStyle w:val="InternetLink"/>
                  <w:rFonts w:ascii="Times New Roman;sans-serif" w:hAnsi="Times New Roman;sans-serif"/>
                  <w:b w:val="false"/>
                  <w:color w:val="0000FF"/>
                  <w:sz w:val="18"/>
                  <w:u w:val="single"/>
                </w:rPr>
                <w:t>SIGNATURES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e7434f854b4816b084929b39f58254_199">
              <w:r>
                <w:rPr>
                  <w:rStyle w:val="InternetLink"/>
                  <w:rFonts w:ascii="Times New Roman;sans-serif" w:hAnsi="Times New Roman;sans-serif"/>
                  <w:b w:val="false"/>
                  <w:color w:val="0000FF"/>
                  <w:sz w:val="18"/>
                  <w:u w:val="single"/>
                </w:rPr>
                <w:t>43</w:t>
              </w:r>
            </w:hyperlink>
          </w:p>
        </w:tc>
      </w:tr>
      <w:tr>
        <w:trPr/>
        <w:tc>
          <w:tcPr>
            <w:tcW w:w="98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775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r>
      <w:tr>
        <w:trPr/>
        <w:tc>
          <w:tcPr>
            <w:tcW w:w="988"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8275"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Glossary of Defined Terms</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terms may be used throughout this Form 10-Q, including the Notes to Consolidated Financial Statements in Item 1 and Management's Discussion and Analysis of Financial Condition and Results of Operations in Item 2 of this Form 10-Q.</w:t>
      </w:r>
    </w:p>
    <w:tbl>
      <w:tblPr>
        <w:tblW w:w="8336" w:type="dxa"/>
        <w:jc w:val="center"/>
        <w:tblInd w:w="0" w:type="dxa"/>
        <w:tblLayout w:type="fixed"/>
        <w:tblCellMar>
          <w:top w:w="28" w:type="dxa"/>
          <w:left w:w="28" w:type="dxa"/>
          <w:bottom w:w="28" w:type="dxa"/>
          <w:right w:w="28" w:type="dxa"/>
        </w:tblCellMar>
      </w:tblPr>
      <w:tblGrid>
        <w:gridCol w:w="735"/>
        <w:gridCol w:w="644"/>
        <w:gridCol w:w="660"/>
        <w:gridCol w:w="109"/>
        <w:gridCol w:w="109"/>
        <w:gridCol w:w="109"/>
        <w:gridCol w:w="1746"/>
        <w:gridCol w:w="1746"/>
        <w:gridCol w:w="2478"/>
      </w:tblGrid>
      <w:tr>
        <w:trPr/>
        <w:tc>
          <w:tcPr>
            <w:tcW w:w="7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Definition</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Allowance for Credit Losses </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Codification</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Update</w:t>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Owned Life Insurance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Certificate of Deposit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Collateral Dependent Asset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Current Expected Credit Losses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Common Equity Tier 1</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COVID-19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Coronavirus Disease 2019</w:t>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Credit Losses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Ownership Plan</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Accounting Standards Board</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FDIC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Deposit Insurance Corporation</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Board of Governors of the Federal Reserve System</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or FHLB of Atlanta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Home Loan Bank of Atlanta</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Reserve Bank of Richmond</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Government-Sponsored Enterprises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 Line of Credit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Interest Rate Lock Commitments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Mortgage-Backed Security</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NCCOB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North Carolina Office of the Commissioner of Banks</w:t>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Financial Assets with Credit Deterioration</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Quantum Capital Corp. and its wholly owned subsidiary, Quantum National Bank</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on Assets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on Equity</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Small Business Administration</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 Business Investment Companies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and Exchange Commission</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Overnight Financing Rate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To-be-announced</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Generally Accepted Accounting Principles in the United States</w:t>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18"/>
        </w:rPr>
      </w:pPr>
      <w:r>
        <w:rPr>
          <w:rFonts w:ascii="Times New Roman;sans-serif" w:hAnsi="Times New Roman;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Balance Sheets</w:t>
      </w:r>
    </w:p>
    <w:p>
      <w:pPr>
        <w:pStyle w:val="TextBody"/>
        <w:bidi w:val="0"/>
        <w:spacing w:lineRule="auto" w:line="288" w:before="0" w:after="18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2601"/>
        <w:gridCol w:w="2288"/>
        <w:gridCol w:w="2309"/>
        <w:gridCol w:w="207"/>
        <w:gridCol w:w="920"/>
        <w:gridCol w:w="114"/>
        <w:gridCol w:w="109"/>
        <w:gridCol w:w="109"/>
        <w:gridCol w:w="109"/>
        <w:gridCol w:w="230"/>
        <w:gridCol w:w="1024"/>
        <w:gridCol w:w="185"/>
      </w:tblGrid>
      <w:tr>
        <w:trPr/>
        <w:tc>
          <w:tcPr>
            <w:tcW w:w="2601"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deposits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279,219 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 in other banks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at fair value (amortized cost of $151,356 and $154,199 at March 31, 2025 and December 31, 2024, respectively)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152,011 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and FRB stock</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13,630 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SBIC investments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15,117 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fair value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the lower of cost or fair value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 of deferred loan fees and costs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3,648,299 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 – loans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(44,742)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3,603,867 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3,603,014 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Premises and equipment, at the lower of cost or fair value</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Premises and equipment,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69,872 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10,735 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90,868 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34,111 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6,595 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4,558,060 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4,595,430 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3,736,360 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3,779,203 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10,120 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3,992,611 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4,043,672 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 See Note 12</w:t>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10,000,000 shares authorized, none issued or outstanding</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60,000,000 shares authorized, 17,552,626 shares issued and outstanding at March 31, 2025; 17,527,709 at December 31, 2024</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176,693 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380,541 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ESOP shares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551,758 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4,558,060 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4,595,430 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Income</w:t>
      </w:r>
    </w:p>
    <w:p>
      <w:pPr>
        <w:pStyle w:val="TextBody"/>
        <w:bidi w:val="0"/>
        <w:spacing w:lineRule="auto" w:line="288" w:before="0" w:after="18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7049" w:type="dxa"/>
        <w:jc w:val="left"/>
        <w:tblInd w:w="0" w:type="dxa"/>
        <w:tblLayout w:type="fixed"/>
        <w:tblCellMar>
          <w:top w:w="28" w:type="dxa"/>
          <w:left w:w="28" w:type="dxa"/>
          <w:bottom w:w="28" w:type="dxa"/>
          <w:right w:w="28" w:type="dxa"/>
        </w:tblCellMar>
      </w:tblPr>
      <w:tblGrid>
        <w:gridCol w:w="1443"/>
        <w:gridCol w:w="1268"/>
        <w:gridCol w:w="1279"/>
        <w:gridCol w:w="226"/>
        <w:gridCol w:w="748"/>
        <w:gridCol w:w="126"/>
        <w:gridCol w:w="126"/>
        <w:gridCol w:w="126"/>
        <w:gridCol w:w="126"/>
        <w:gridCol w:w="226"/>
        <w:gridCol w:w="748"/>
        <w:gridCol w:w="126"/>
        <w:gridCol w:w="109"/>
        <w:gridCol w:w="109"/>
        <w:gridCol w:w="109"/>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and dividend income</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 and interest-bearing deposits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and dividend income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expense</w:t>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 after provision for credit losses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charges and fees on deposit accounts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income and fees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held for sale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 income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premises and equipment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income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 net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services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depreciation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Telephone, postage and supplies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advertising</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 insurance premiums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 amortization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expense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 data</w:t>
            </w:r>
          </w:p>
        </w:tc>
        <w:tc>
          <w:tcPr>
            <w:tcW w:w="110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shares outstanding</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17,011,359 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16,859,738 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17,113,424 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16,872,840 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Comprehensive Income</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8054" w:type="dxa"/>
        <w:jc w:val="left"/>
        <w:tblInd w:w="0" w:type="dxa"/>
        <w:tblLayout w:type="fixed"/>
        <w:tblCellMar>
          <w:top w:w="28" w:type="dxa"/>
          <w:left w:w="28" w:type="dxa"/>
          <w:bottom w:w="28" w:type="dxa"/>
          <w:right w:w="28" w:type="dxa"/>
        </w:tblCellMar>
      </w:tblPr>
      <w:tblGrid>
        <w:gridCol w:w="1803"/>
        <w:gridCol w:w="1584"/>
        <w:gridCol w:w="1608"/>
        <w:gridCol w:w="226"/>
        <w:gridCol w:w="748"/>
        <w:gridCol w:w="126"/>
        <w:gridCol w:w="126"/>
        <w:gridCol w:w="126"/>
        <w:gridCol w:w="126"/>
        <w:gridCol w:w="226"/>
        <w:gridCol w:w="748"/>
        <w:gridCol w:w="126"/>
        <w:gridCol w:w="109"/>
        <w:gridCol w:w="109"/>
        <w:gridCol w:w="109"/>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 (loss)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holding gains (losses) on debt securities available for sale</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arising during the period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Changes in Stockholders' Equity</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10536" w:type="dxa"/>
        <w:jc w:val="left"/>
        <w:tblInd w:w="0" w:type="dxa"/>
        <w:tblLayout w:type="fixed"/>
        <w:tblCellMar>
          <w:top w:w="28" w:type="dxa"/>
          <w:left w:w="28" w:type="dxa"/>
          <w:bottom w:w="28" w:type="dxa"/>
          <w:right w:w="28" w:type="dxa"/>
        </w:tblCellMar>
      </w:tblPr>
      <w:tblGrid>
        <w:gridCol w:w="621"/>
        <w:gridCol w:w="282"/>
        <w:gridCol w:w="283"/>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92"/>
        <w:gridCol w:w="851"/>
        <w:gridCol w:w="163"/>
        <w:gridCol w:w="109"/>
        <w:gridCol w:w="109"/>
        <w:gridCol w:w="109"/>
        <w:gridCol w:w="216"/>
        <w:gridCol w:w="813"/>
        <w:gridCol w:w="172"/>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17,527,709 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551,758 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on common stock, $0.12/common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17,552,626 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565,449 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17,387,069 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499,893 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on common stock, $0.11/common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17,444,787 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513,173 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9309" w:type="dxa"/>
        <w:jc w:val="center"/>
        <w:tblInd w:w="0" w:type="dxa"/>
        <w:tblLayout w:type="fixed"/>
        <w:tblCellMar>
          <w:top w:w="28" w:type="dxa"/>
          <w:left w:w="28" w:type="dxa"/>
          <w:bottom w:w="28" w:type="dxa"/>
          <w:right w:w="28" w:type="dxa"/>
        </w:tblCellMar>
      </w:tblPr>
      <w:tblGrid>
        <w:gridCol w:w="2422"/>
        <w:gridCol w:w="2130"/>
        <w:gridCol w:w="2138"/>
        <w:gridCol w:w="226"/>
        <w:gridCol w:w="745"/>
        <w:gridCol w:w="125"/>
        <w:gridCol w:w="125"/>
        <w:gridCol w:w="125"/>
        <w:gridCol w:w="125"/>
        <w:gridCol w:w="226"/>
        <w:gridCol w:w="745"/>
        <w:gridCol w:w="177"/>
      </w:tblGrid>
      <w:tr>
        <w:trPr/>
        <w:tc>
          <w:tcPr>
            <w:tcW w:w="2422"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15,067 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premises and equipment and equipment for operating leases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of purchase accounting adjustments on loans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 and accretion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SBIC investments income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premises and equipment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repossessed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previously leased equipment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 income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held for sale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Origination of loans held for sale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(63,087)</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loans held for sale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deferred loan origination costs (fees),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8"/>
              </w:rPr>
              <w:t>Decrease (increase)</w:t>
            </w:r>
            <w:r>
              <w:rPr>
                <w:color w:val="EE2724"/>
              </w:rPr>
              <w:t xml:space="preserve"> </w:t>
            </w:r>
            <w:r>
              <w:rPr>
                <w:rFonts w:ascii="Times New Roman;sans-serif" w:hAnsi="Times New Roman;sans-serif"/>
                <w:b w:val="false"/>
                <w:color w:val="000000"/>
                <w:sz w:val="18"/>
              </w:rPr>
              <w:t>in accrued interest receivable and other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ESOP compensation expense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other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71,689 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debt securities available for sale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(12,034)</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calls and paydowns of debt securities available for sale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CDs in other banks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CDs in other banks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redemptions of FHLB and FRB stock</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4,702 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capital contributions in SBIC investments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loans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BOLI</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redemption of BOLI policies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equipment for operating leases - lessor</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premises and equipment and assets held for sale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premises and equipment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repossessed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9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5,648 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48,147 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 (continued)</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bl>
      <w:tblPr>
        <w:tblW w:w="6534" w:type="dxa"/>
        <w:jc w:val="left"/>
        <w:tblInd w:w="0" w:type="dxa"/>
        <w:tblLayout w:type="fixed"/>
        <w:tblCellMar>
          <w:top w:w="28" w:type="dxa"/>
          <w:left w:w="28" w:type="dxa"/>
          <w:bottom w:w="28" w:type="dxa"/>
          <w:right w:w="28" w:type="dxa"/>
        </w:tblCellMar>
      </w:tblPr>
      <w:tblGrid>
        <w:gridCol w:w="1418"/>
        <w:gridCol w:w="1246"/>
        <w:gridCol w:w="1250"/>
        <w:gridCol w:w="209"/>
        <w:gridCol w:w="787"/>
        <w:gridCol w:w="116"/>
        <w:gridCol w:w="116"/>
        <w:gridCol w:w="116"/>
        <w:gridCol w:w="116"/>
        <w:gridCol w:w="209"/>
        <w:gridCol w:w="787"/>
        <w:gridCol w:w="164"/>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color w:val="EE2724"/>
              </w:rPr>
            </w:pPr>
            <w:r>
              <w:rPr>
                <w:color w:val="EE2724"/>
              </w:rPr>
              <w:t> </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deposits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138,434 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revolving line of credit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short-term borrowings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Retired stock</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stock options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(56,731)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in cash and cash equivalents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beginning of period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end of period</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299,825 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380,493 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3" w:type="dxa"/>
        <w:jc w:val="left"/>
        <w:tblInd w:w="0" w:type="dxa"/>
        <w:tblLayout w:type="fixed"/>
        <w:tblCellMar>
          <w:top w:w="28" w:type="dxa"/>
          <w:left w:w="28" w:type="dxa"/>
          <w:bottom w:w="28" w:type="dxa"/>
          <w:right w:w="28" w:type="dxa"/>
        </w:tblCellMar>
      </w:tblPr>
      <w:tblGrid>
        <w:gridCol w:w="2251"/>
        <w:gridCol w:w="1975"/>
        <w:gridCol w:w="1983"/>
        <w:gridCol w:w="196"/>
        <w:gridCol w:w="646"/>
        <w:gridCol w:w="109"/>
        <w:gridCol w:w="109"/>
        <w:gridCol w:w="109"/>
        <w:gridCol w:w="109"/>
        <w:gridCol w:w="196"/>
        <w:gridCol w:w="646"/>
        <w:gridCol w:w="154"/>
      </w:tblGrid>
      <w:tr>
        <w:trPr/>
        <w:tc>
          <w:tcPr>
            <w:tcW w:w="2251"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transactions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in value of debt securities available for sale, net of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loans held for sale to loans held for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Establish receivable for death benefit proceeds from BOLI policies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loans held for investment to repossessed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 and lease liabilities for operating lease accounting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premises and equipment to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1.    </w:t>
      </w:r>
      <w:r>
        <w:rPr>
          <w:rFonts w:ascii="Times New Roman;sans-serif" w:hAnsi="Times New Roman;sans-serif"/>
          <w:b/>
          <w:color w:val="000000"/>
          <w:sz w:val="18"/>
          <w:u w:val="single"/>
        </w:rPr>
        <w:t>Summary of Significant Accounting Policies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Knoxville and Morristown), Southwest Virginia (the Roanoke Valley) and Georgia (Greater Atlanta). The Company operates under a single set of corporate policies and procedures and its operations are considered to be aggregated in one reportable operating segment for financial reporting purposes.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pStyle w:val="TextBody"/>
        <w:bidi w:val="0"/>
        <w:spacing w:lineRule="auto" w:line="288" w:before="0" w:after="80"/>
        <w:jc w:val="both"/>
        <w:rPr/>
      </w:pPr>
      <w:r>
        <w:rPr>
          <w:rFonts w:ascii="Times New Roman;sans-serif" w:hAnsi="Times New Roman;sans-serif"/>
          <w:b w:val="false"/>
          <w:color w:val="000000"/>
          <w:sz w:val="18"/>
        </w:rPr>
        <w:t xml:space="preserve">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w:t>
      </w:r>
      <w:r>
        <w:rPr>
          <w:rFonts w:ascii="Times New Roman;sans-serif" w:hAnsi="Times New Roman;sans-serif"/>
          <w:b w:val="false"/>
          <w:color w:val="000000"/>
          <w:sz w:val="18"/>
          <w:shd w:fill="FFFFFF" w:val="clear"/>
        </w:rPr>
        <w:t>December 31, 2024</w:t>
      </w:r>
      <w:r>
        <w:rPr>
          <w:color w:val="000000"/>
        </w:rPr>
        <w:t xml:space="preserve"> </w:t>
      </w:r>
      <w:r>
        <w:rPr>
          <w:rFonts w:ascii="Times New Roman;sans-serif" w:hAnsi="Times New Roman;sans-serif"/>
          <w:b w:val="false"/>
          <w:color w:val="000000"/>
          <w:sz w:val="18"/>
        </w:rPr>
        <w:t>("2024 Form 10-K") filed with the SEC on March 13, 2025. The results of operations for the three months ended March 31, 2025 are not necessarily indicative of results that may be expected for the fiscal year ending December 31, 2025, the period which will be covered on a Report on Form 10-K.</w:t>
      </w:r>
    </w:p>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the policy, is critical to an understanding of the Company's financial statements. This policy and the related judgments, estimates and assumptions are described in greater detail in the notes to the Consolidated Financial Statements and Management's Discussion and Analysis of Financial Condition and Results of Operations (Critical Accounting Policies and Estimates) in the 2024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2.    </w:t>
      </w:r>
      <w:r>
        <w:rPr>
          <w:rFonts w:ascii="Times New Roman;sans-serif" w:hAnsi="Times New Roman;sans-serif"/>
          <w:b/>
          <w:color w:val="000000"/>
          <w:sz w:val="18"/>
          <w:u w:val="single"/>
        </w:rPr>
        <w:t>Recent Accounting Pronouncements</w:t>
      </w:r>
    </w:p>
    <w:p>
      <w:pPr>
        <w:pStyle w:val="TextBody"/>
        <w:bidi w:val="0"/>
        <w:spacing w:lineRule="auto" w:line="288" w:before="0" w:after="40"/>
        <w:jc w:val="both"/>
        <w:rPr>
          <w:rFonts w:ascii="Times New Roman;sans-serif" w:hAnsi="Times New Roman;sans-serif"/>
          <w:b/>
          <w:i/>
          <w:color w:val="000000"/>
          <w:sz w:val="18"/>
        </w:rPr>
      </w:pPr>
      <w:r>
        <w:rPr>
          <w:rFonts w:ascii="Times New Roman;sans-serif" w:hAnsi="Times New Roman;sans-serif"/>
          <w:b/>
          <w:i/>
          <w:color w:val="000000"/>
          <w:sz w:val="18"/>
        </w:rPr>
        <w:t>Newly Issued but Not Yet Effective Accounting Standards</w:t>
      </w:r>
    </w:p>
    <w:p>
      <w:pPr>
        <w:pStyle w:val="TextBody"/>
        <w:bidi w:val="0"/>
        <w:spacing w:lineRule="auto" w:line="288" w:before="0" w:after="80"/>
        <w:jc w:val="both"/>
        <w:rPr/>
      </w:pPr>
      <w:r>
        <w:rPr>
          <w:rFonts w:ascii="Times New Roman;sans-serif" w:hAnsi="Times New Roman;sans-serif"/>
          <w:b w:val="false"/>
          <w:i/>
          <w:color w:val="000000"/>
          <w:sz w:val="18"/>
        </w:rPr>
        <w:t xml:space="preserve">ASU 2023-09, "Income Taxes (Topic 740): Improvements to Income Tax Disclosures." </w:t>
      </w:r>
      <w:r>
        <w:rPr>
          <w:rFonts w:ascii="Times New Roman;sans-serif" w:hAnsi="Times New Roman;sans-serif"/>
          <w:b w:val="false"/>
          <w:color w:val="000000"/>
          <w:sz w:val="18"/>
        </w:rPr>
        <w:t>In December 2023, the FASB issued ASU 2023-09 which requires entities to disclose more detailed information in the reconciliation of their statutory tax rate to their effective tax rate. The ASU also requires entities to disclose more detailed information about income taxes paid, including by jurisdiction. This ASU is effective for public business entities for annual reporting periods beginning after December 15, 2024. The Company will update its income tax disclosures upon adoption of the ASU.</w:t>
      </w:r>
    </w:p>
    <w:p>
      <w:pPr>
        <w:pStyle w:val="TextBody"/>
        <w:bidi w:val="0"/>
        <w:spacing w:lineRule="auto" w:line="288" w:before="0" w:after="160"/>
        <w:jc w:val="both"/>
        <w:rPr/>
      </w:pPr>
      <w:r>
        <w:rPr>
          <w:rFonts w:ascii="Times New Roman;sans-serif" w:hAnsi="Times New Roman;sans-serif"/>
          <w:b w:val="false"/>
          <w:i/>
          <w:color w:val="000000"/>
          <w:sz w:val="18"/>
        </w:rPr>
        <w:t>ASU 2024-03, "Income Statement—Reporting Comprehensive Income—Expense Disaggregation Disclosures (Subtopic 220-40):</w:t>
      </w:r>
      <w:r>
        <w:rPr>
          <w:color w:val="000000"/>
        </w:rPr>
        <w:t xml:space="preserve"> </w:t>
      </w:r>
      <w:r>
        <w:rPr>
          <w:rFonts w:ascii="Times New Roman;sans-serif" w:hAnsi="Times New Roman;sans-serif"/>
          <w:b w:val="false"/>
          <w:i/>
          <w:color w:val="000000"/>
          <w:sz w:val="18"/>
        </w:rPr>
        <w:t xml:space="preserve">Disaggregation of Income Statement Expenses." </w:t>
      </w:r>
      <w:r>
        <w:rPr>
          <w:rFonts w:ascii="Times New Roman;sans-serif" w:hAnsi="Times New Roman;sans-serif"/>
          <w:b w:val="false"/>
          <w:color w:val="000000"/>
          <w:sz w:val="18"/>
        </w:rPr>
        <w:t>In November 2024, the FASB issued ASU 2024-03 which requires entities to disclose more detailed information about certain costs and expenses related to purchases of inventory, employee compensation, depreciation and intangible asset amortization among other items. This ASU is effective for public business entities for annual reporting periods beginning after December 15, 2026 and interim periods beginning after December 15, 2027. The adoption of the provisions of ASU 2024-03 is not expected to have an impact on the Company's financial results, but will impact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ind w:left="0" w:right="0" w:hanging="180"/>
        <w:jc w:val="left"/>
        <w:rPr/>
      </w:pPr>
      <w:r>
        <w:rPr>
          <w:rFonts w:ascii="Times New Roman;sans-serif" w:hAnsi="Times New Roman;sans-serif"/>
          <w:b/>
          <w:color w:val="000000"/>
          <w:sz w:val="18"/>
        </w:rPr>
        <w:t>3.    </w:t>
      </w:r>
      <w:r>
        <w:rPr>
          <w:rFonts w:ascii="Times New Roman;sans-serif" w:hAnsi="Times New Roman;sans-serif"/>
          <w:b/>
          <w:color w:val="000000"/>
          <w:sz w:val="18"/>
          <w:u w:val="single"/>
        </w:rPr>
        <w:t>Debt Securities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consist of the following at the dates indicated:</w:t>
      </w:r>
    </w:p>
    <w:tbl>
      <w:tblPr>
        <w:tblW w:w="6294" w:type="dxa"/>
        <w:jc w:val="left"/>
        <w:tblInd w:w="0" w:type="dxa"/>
        <w:tblLayout w:type="fixed"/>
        <w:tblCellMar>
          <w:top w:w="28" w:type="dxa"/>
          <w:left w:w="28" w:type="dxa"/>
          <w:bottom w:w="28" w:type="dxa"/>
          <w:right w:w="28" w:type="dxa"/>
        </w:tblCellMar>
      </w:tblPr>
      <w:tblGrid>
        <w:gridCol w:w="477"/>
        <w:gridCol w:w="420"/>
        <w:gridCol w:w="422"/>
        <w:gridCol w:w="196"/>
        <w:gridCol w:w="736"/>
        <w:gridCol w:w="109"/>
        <w:gridCol w:w="109"/>
        <w:gridCol w:w="109"/>
        <w:gridCol w:w="109"/>
        <w:gridCol w:w="211"/>
        <w:gridCol w:w="601"/>
        <w:gridCol w:w="119"/>
        <w:gridCol w:w="109"/>
        <w:gridCol w:w="109"/>
        <w:gridCol w:w="109"/>
        <w:gridCol w:w="196"/>
        <w:gridCol w:w="631"/>
        <w:gridCol w:w="109"/>
        <w:gridCol w:w="109"/>
        <w:gridCol w:w="109"/>
        <w:gridCol w:w="109"/>
        <w:gridCol w:w="196"/>
        <w:gridCol w:w="73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w:t>
              <w:br/>
              <w:t>Value</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94" w:type="dxa"/>
        <w:jc w:val="left"/>
        <w:tblInd w:w="0" w:type="dxa"/>
        <w:tblLayout w:type="fixed"/>
        <w:tblCellMar>
          <w:top w:w="28" w:type="dxa"/>
          <w:left w:w="28" w:type="dxa"/>
          <w:bottom w:w="28" w:type="dxa"/>
          <w:right w:w="28" w:type="dxa"/>
        </w:tblCellMar>
      </w:tblPr>
      <w:tblGrid>
        <w:gridCol w:w="477"/>
        <w:gridCol w:w="420"/>
        <w:gridCol w:w="422"/>
        <w:gridCol w:w="196"/>
        <w:gridCol w:w="736"/>
        <w:gridCol w:w="109"/>
        <w:gridCol w:w="109"/>
        <w:gridCol w:w="109"/>
        <w:gridCol w:w="109"/>
        <w:gridCol w:w="251"/>
        <w:gridCol w:w="539"/>
        <w:gridCol w:w="141"/>
        <w:gridCol w:w="109"/>
        <w:gridCol w:w="109"/>
        <w:gridCol w:w="109"/>
        <w:gridCol w:w="196"/>
        <w:gridCol w:w="631"/>
        <w:gridCol w:w="109"/>
        <w:gridCol w:w="109"/>
        <w:gridCol w:w="109"/>
        <w:gridCol w:w="109"/>
        <w:gridCol w:w="196"/>
        <w:gridCol w:w="73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w:t>
              <w:br/>
              <w:t>Value</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by contractual maturity at March 31, 2025 and December 31, 2024 are shown below. MBS are not included in the maturity categories because the borrowers in the underlying pools may prepay without penalty; therefore, it is unlikely that the securities will pay at their stated maturity schedule.</w:t>
      </w:r>
    </w:p>
    <w:tbl>
      <w:tblPr>
        <w:tblW w:w="5244" w:type="dxa"/>
        <w:jc w:val="left"/>
        <w:tblInd w:w="0" w:type="dxa"/>
        <w:tblLayout w:type="fixed"/>
        <w:tblCellMar>
          <w:top w:w="28" w:type="dxa"/>
          <w:left w:w="28" w:type="dxa"/>
          <w:bottom w:w="28" w:type="dxa"/>
          <w:right w:w="28" w:type="dxa"/>
        </w:tblCellMar>
      </w:tblPr>
      <w:tblGrid>
        <w:gridCol w:w="1011"/>
        <w:gridCol w:w="884"/>
        <w:gridCol w:w="895"/>
        <w:gridCol w:w="196"/>
        <w:gridCol w:w="736"/>
        <w:gridCol w:w="109"/>
        <w:gridCol w:w="109"/>
        <w:gridCol w:w="109"/>
        <w:gridCol w:w="109"/>
        <w:gridCol w:w="196"/>
        <w:gridCol w:w="73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within one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80" w:type="dxa"/>
        <w:jc w:val="left"/>
        <w:tblInd w:w="0" w:type="dxa"/>
        <w:tblLayout w:type="fixed"/>
        <w:tblCellMar>
          <w:top w:w="28" w:type="dxa"/>
          <w:left w:w="28" w:type="dxa"/>
          <w:bottom w:w="28" w:type="dxa"/>
          <w:right w:w="28" w:type="dxa"/>
        </w:tblCellMar>
      </w:tblPr>
      <w:tblGrid>
        <w:gridCol w:w="1011"/>
        <w:gridCol w:w="884"/>
        <w:gridCol w:w="895"/>
        <w:gridCol w:w="196"/>
        <w:gridCol w:w="736"/>
        <w:gridCol w:w="109"/>
        <w:gridCol w:w="109"/>
        <w:gridCol w:w="109"/>
        <w:gridCol w:w="109"/>
        <w:gridCol w:w="196"/>
        <w:gridCol w:w="736"/>
        <w:gridCol w:w="109"/>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within one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had no sales of debt securities available for sale and no gross realized gains or losses were recognized during the three months ended March 31, 2025 or 2024.</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with amortized costs totaling $27,531 and $24,718 and market values of $27,262 and $24,358 at March 31, 2025 and December 31, 2024, respectively, were pledged as collateral to secure various public deposits and other borrowings.</w:t>
      </w:r>
    </w:p>
    <w:p>
      <w:pPr>
        <w:pStyle w:val="TextBody"/>
        <w:bidi w:val="0"/>
        <w:spacing w:before="0" w:after="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gross unrealized losses and the fair value for debt securities available for sale aggregated by the length of time that individual securities have been in a continuous unrealized loss position as of March 31, 2025 and December 31, 2024 were as follows:</w:t>
      </w:r>
    </w:p>
    <w:tbl>
      <w:tblPr>
        <w:tblW w:w="8655" w:type="dxa"/>
        <w:jc w:val="left"/>
        <w:tblInd w:w="0" w:type="dxa"/>
        <w:tblLayout w:type="fixed"/>
        <w:tblCellMar>
          <w:top w:w="28" w:type="dxa"/>
          <w:left w:w="28" w:type="dxa"/>
          <w:bottom w:w="28" w:type="dxa"/>
          <w:right w:w="28" w:type="dxa"/>
        </w:tblCellMar>
      </w:tblPr>
      <w:tblGrid>
        <w:gridCol w:w="477"/>
        <w:gridCol w:w="420"/>
        <w:gridCol w:w="422"/>
        <w:gridCol w:w="196"/>
        <w:gridCol w:w="646"/>
        <w:gridCol w:w="109"/>
        <w:gridCol w:w="109"/>
        <w:gridCol w:w="109"/>
        <w:gridCol w:w="109"/>
        <w:gridCol w:w="246"/>
        <w:gridCol w:w="547"/>
        <w:gridCol w:w="138"/>
        <w:gridCol w:w="109"/>
        <w:gridCol w:w="109"/>
        <w:gridCol w:w="109"/>
        <w:gridCol w:w="196"/>
        <w:gridCol w:w="646"/>
        <w:gridCol w:w="109"/>
        <w:gridCol w:w="109"/>
        <w:gridCol w:w="109"/>
        <w:gridCol w:w="109"/>
        <w:gridCol w:w="196"/>
        <w:gridCol w:w="631"/>
        <w:gridCol w:w="109"/>
        <w:gridCol w:w="109"/>
        <w:gridCol w:w="109"/>
        <w:gridCol w:w="109"/>
        <w:gridCol w:w="196"/>
        <w:gridCol w:w="646"/>
        <w:gridCol w:w="109"/>
        <w:gridCol w:w="109"/>
        <w:gridCol w:w="109"/>
        <w:gridCol w:w="109"/>
        <w:gridCol w:w="196"/>
        <w:gridCol w:w="63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55" w:type="dxa"/>
        <w:jc w:val="left"/>
        <w:tblInd w:w="0" w:type="dxa"/>
        <w:tblLayout w:type="fixed"/>
        <w:tblCellMar>
          <w:top w:w="28" w:type="dxa"/>
          <w:left w:w="28" w:type="dxa"/>
          <w:bottom w:w="28" w:type="dxa"/>
          <w:right w:w="28" w:type="dxa"/>
        </w:tblCellMar>
      </w:tblPr>
      <w:tblGrid>
        <w:gridCol w:w="477"/>
        <w:gridCol w:w="420"/>
        <w:gridCol w:w="422"/>
        <w:gridCol w:w="196"/>
        <w:gridCol w:w="646"/>
        <w:gridCol w:w="109"/>
        <w:gridCol w:w="109"/>
        <w:gridCol w:w="109"/>
        <w:gridCol w:w="109"/>
        <w:gridCol w:w="246"/>
        <w:gridCol w:w="547"/>
        <w:gridCol w:w="138"/>
        <w:gridCol w:w="109"/>
        <w:gridCol w:w="109"/>
        <w:gridCol w:w="109"/>
        <w:gridCol w:w="196"/>
        <w:gridCol w:w="646"/>
        <w:gridCol w:w="109"/>
        <w:gridCol w:w="109"/>
        <w:gridCol w:w="109"/>
        <w:gridCol w:w="109"/>
        <w:gridCol w:w="196"/>
        <w:gridCol w:w="631"/>
        <w:gridCol w:w="109"/>
        <w:gridCol w:w="109"/>
        <w:gridCol w:w="109"/>
        <w:gridCol w:w="109"/>
        <w:gridCol w:w="196"/>
        <w:gridCol w:w="646"/>
        <w:gridCol w:w="109"/>
        <w:gridCol w:w="109"/>
        <w:gridCol w:w="109"/>
        <w:gridCol w:w="109"/>
        <w:gridCol w:w="196"/>
        <w:gridCol w:w="63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total number of securities with unrealized losses at March 31, 2025 and December 31, 2024 were 153 and 168, respectively.</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March 31, 2025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2024 Form 10-K for further discussion.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Management excludes the accrued interest receivable balance from the amortized cost basis in measuring ECLs on investment securities and does not record an ACL on accrued interest receivable. As of March 31, 2025 and December 31, 2024, the accrued interest receivable for debt securities available for sale was $531 and $606,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4.    </w:t>
      </w:r>
      <w:r>
        <w:rPr>
          <w:rFonts w:ascii="Times New Roman;sans-serif" w:hAnsi="Times New Roman;sans-serif"/>
          <w:b/>
          <w:color w:val="000000"/>
          <w:sz w:val="18"/>
          <w:u w:val="single"/>
        </w:rPr>
        <w:t>Loans Held For Sale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the lower of cost or fair value, consist of the following as of the dates indicated:</w:t>
      </w:r>
    </w:p>
    <w:tbl>
      <w:tblPr>
        <w:tblW w:w="7661" w:type="dxa"/>
        <w:jc w:val="left"/>
        <w:tblInd w:w="0" w:type="dxa"/>
        <w:tblLayout w:type="fixed"/>
        <w:tblCellMar>
          <w:top w:w="28" w:type="dxa"/>
          <w:left w:w="28" w:type="dxa"/>
          <w:bottom w:w="28" w:type="dxa"/>
          <w:right w:w="28" w:type="dxa"/>
        </w:tblCellMar>
      </w:tblPr>
      <w:tblGrid>
        <w:gridCol w:w="1612"/>
        <w:gridCol w:w="1418"/>
        <w:gridCol w:w="1424"/>
        <w:gridCol w:w="243"/>
        <w:gridCol w:w="912"/>
        <w:gridCol w:w="135"/>
        <w:gridCol w:w="109"/>
        <w:gridCol w:w="109"/>
        <w:gridCol w:w="109"/>
        <w:gridCol w:w="287"/>
        <w:gridCol w:w="1078"/>
        <w:gridCol w:w="225"/>
      </w:tblGrid>
      <w:tr>
        <w:trPr/>
        <w:tc>
          <w:tcPr>
            <w:tcW w:w="1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 held for sale, at the lower of cost or fair value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151,164 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The carrying balance of loans held for sale, at fair value, was $2,175 and $4,144 at March 31, 2025 and December 31, 2024, respectively, while the amortized cost of these loans was $2,142 and $4,062, respectively, at the same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ind w:left="0" w:right="0" w:hanging="180"/>
        <w:jc w:val="left"/>
        <w:rPr/>
      </w:pPr>
      <w:r>
        <w:rPr>
          <w:rFonts w:ascii="Times New Roman;sans-serif" w:hAnsi="Times New Roman;sans-serif"/>
          <w:b/>
          <w:color w:val="000000"/>
          <w:sz w:val="18"/>
        </w:rPr>
        <w:t>5.    </w:t>
      </w:r>
      <w:r>
        <w:rPr>
          <w:rFonts w:ascii="Times New Roman;sans-serif" w:hAnsi="Times New Roman;sans-serif"/>
          <w:b/>
          <w:color w:val="000000"/>
          <w:sz w:val="18"/>
          <w:u w:val="single"/>
        </w:rPr>
        <w:t>Loans and Allowance for Credit Losses on Loans</w:t>
      </w:r>
    </w:p>
    <w:p>
      <w:pPr>
        <w:pStyle w:val="TextBody"/>
        <w:bidi w:val="0"/>
        <w:spacing w:lineRule="auto" w:line="288" w:before="0" w:after="0"/>
        <w:jc w:val="both"/>
        <w:rPr/>
      </w:pPr>
      <w:r>
        <w:rPr>
          <w:rFonts w:ascii="Times New Roman;sans-serif" w:hAnsi="Times New Roman;sans-serif"/>
          <w:b w:val="false"/>
          <w:color w:val="000000"/>
          <w:sz w:val="18"/>
        </w:rPr>
        <w:t>Loans consist of the following at the dates indicated</w:t>
      </w:r>
      <w:r>
        <w:rPr>
          <w:rFonts w:ascii="Times New Roman;sans-serif" w:hAnsi="Times New Roman;sans-serif"/>
          <w:b w:val="false"/>
          <w:color w:val="000000"/>
          <w:sz w:val="13"/>
        </w:rPr>
        <w:t>(1)</w:t>
      </w:r>
      <w:r>
        <w:rPr>
          <w:rFonts w:ascii="Times New Roman;sans-serif" w:hAnsi="Times New Roman;sans-serif"/>
          <w:b w:val="false"/>
          <w:color w:val="000000"/>
          <w:sz w:val="18"/>
        </w:rPr>
        <w:t>:</w:t>
      </w:r>
    </w:p>
    <w:tbl>
      <w:tblPr>
        <w:tblW w:w="6865" w:type="dxa"/>
        <w:jc w:val="left"/>
        <w:tblInd w:w="0" w:type="dxa"/>
        <w:tblLayout w:type="fixed"/>
        <w:tblCellMar>
          <w:top w:w="28" w:type="dxa"/>
          <w:left w:w="28" w:type="dxa"/>
          <w:bottom w:w="28" w:type="dxa"/>
          <w:right w:w="28" w:type="dxa"/>
        </w:tblCellMar>
      </w:tblPr>
      <w:tblGrid>
        <w:gridCol w:w="1327"/>
        <w:gridCol w:w="1163"/>
        <w:gridCol w:w="1169"/>
        <w:gridCol w:w="215"/>
        <w:gridCol w:w="956"/>
        <w:gridCol w:w="119"/>
        <w:gridCol w:w="109"/>
        <w:gridCol w:w="109"/>
        <w:gridCol w:w="109"/>
        <w:gridCol w:w="255"/>
        <w:gridCol w:w="1134"/>
        <w:gridCol w:w="200"/>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274,356 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545,490 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866,094 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1,803,494 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1,806,365 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892,805 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888,543 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879,362 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 net of deferred loan fees and costs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3,648,609 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3,648,299 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 - loans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Loans, net</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3,603,867 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3,603,014 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At March 31, 2025 and December 31, 2024 accrued interest receivable of $17,450 and $17,569, respectively, was accounted for separately from the amortized cost basis.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All qualifying one-to-four family loans, HELOCs, multifamily, commercial real estate loans and FHLB of Atlanta stock are pledged as collateral by a blanket pledge to secure outstanding FHLB advances.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Loans are made to the Company's executive officers, directors and their associates during the ordinary course of business. No balance was outstanding on loans to these related parties as of either March 31, 2025 or December 31, 2024. In relation to these loans, unfunded commitments totaled approximately $3 at both March 31, 2025 and December 31, 2024, respectively.</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pStyle w:val="TextBody"/>
        <w:bidi w:val="0"/>
        <w:spacing w:lineRule="auto" w:line="288" w:before="0" w:after="40"/>
        <w:jc w:val="both"/>
        <w:rPr/>
      </w:pPr>
      <w:r>
        <w:rPr>
          <w:rFonts w:ascii="Times New Roman;sans-serif" w:hAnsi="Times New Roman;sans-serif"/>
          <w:b w:val="false"/>
          <w:color w:val="000000"/>
          <w:sz w:val="18"/>
          <w:u w:val="single"/>
        </w:rPr>
        <w:t>Pass</w:t>
      </w:r>
      <w:r>
        <w:rPr>
          <w:color w:val="000000"/>
        </w:rPr>
        <w:t xml:space="preserve"> – </w:t>
      </w:r>
      <w:r>
        <w:rPr>
          <w:rFonts w:ascii="Times New Roman;sans-serif" w:hAnsi="Times New Roman;sans-serif"/>
          <w:b w:val="false"/>
          <w:color w:val="000000"/>
          <w:sz w:val="18"/>
        </w:rPr>
        <w:t>A pass rated loan is not adversely classified because it does not display any of the characteristics for adverse classification.</w:t>
      </w:r>
    </w:p>
    <w:p>
      <w:pPr>
        <w:pStyle w:val="TextBody"/>
        <w:bidi w:val="0"/>
        <w:spacing w:lineRule="auto" w:line="288" w:before="0" w:after="40"/>
        <w:jc w:val="both"/>
        <w:rPr/>
      </w:pPr>
      <w:r>
        <w:rPr>
          <w:rFonts w:ascii="Times New Roman;sans-serif" w:hAnsi="Times New Roman;sans-serif"/>
          <w:b w:val="false"/>
          <w:color w:val="000000"/>
          <w:sz w:val="18"/>
          <w:u w:val="single"/>
        </w:rPr>
        <w:t>Special Mention</w:t>
      </w:r>
      <w:r>
        <w:rPr>
          <w:color w:val="000000"/>
        </w:rPr>
        <w:t xml:space="preserve"> – </w:t>
      </w:r>
      <w:r>
        <w:rPr>
          <w:rFonts w:ascii="Times New Roman;sans-serif" w:hAnsi="Times New Roman;sans-serif"/>
          <w:b w:val="false"/>
          <w:color w:val="000000"/>
          <w:sz w:val="18"/>
        </w:rPr>
        <w:t>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pStyle w:val="TextBody"/>
        <w:bidi w:val="0"/>
        <w:spacing w:lineRule="auto" w:line="288" w:before="0" w:after="40"/>
        <w:jc w:val="both"/>
        <w:rPr/>
      </w:pPr>
      <w:r>
        <w:rPr>
          <w:rFonts w:ascii="Times New Roman;sans-serif" w:hAnsi="Times New Roman;sans-serif"/>
          <w:b w:val="false"/>
          <w:color w:val="000000"/>
          <w:sz w:val="18"/>
          <w:u w:val="single"/>
        </w:rPr>
        <w:t>Substandard</w:t>
      </w:r>
      <w:r>
        <w:rPr>
          <w:color w:val="000000"/>
        </w:rPr>
        <w:t xml:space="preserve"> – </w:t>
      </w:r>
      <w:r>
        <w:rPr>
          <w:rFonts w:ascii="Times New Roman;sans-serif" w:hAnsi="Times New Roman;sans-serif"/>
          <w:b w:val="false"/>
          <w:color w:val="000000"/>
          <w:sz w:val="18"/>
        </w:rPr>
        <w:t>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pStyle w:val="TextBody"/>
        <w:bidi w:val="0"/>
        <w:spacing w:lineRule="auto" w:line="288" w:before="0" w:after="40"/>
        <w:jc w:val="both"/>
        <w:rPr/>
      </w:pPr>
      <w:r>
        <w:rPr>
          <w:rFonts w:ascii="Times New Roman;sans-serif" w:hAnsi="Times New Roman;sans-serif"/>
          <w:b w:val="false"/>
          <w:color w:val="000000"/>
          <w:sz w:val="18"/>
          <w:u w:val="single"/>
        </w:rPr>
        <w:t>Doubtful</w:t>
      </w:r>
      <w:r>
        <w:rPr>
          <w:color w:val="000000"/>
        </w:rPr>
        <w:t xml:space="preserve"> – </w:t>
      </w:r>
      <w:r>
        <w:rPr>
          <w:rFonts w:ascii="Times New Roman;sans-serif" w:hAnsi="Times New Roman;sans-serif"/>
          <w:b w:val="false"/>
          <w:color w:val="000000"/>
          <w:sz w:val="18"/>
        </w:rPr>
        <w:t>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pStyle w:val="TextBody"/>
        <w:bidi w:val="0"/>
        <w:spacing w:lineRule="auto" w:line="288" w:before="0" w:after="80"/>
        <w:jc w:val="both"/>
        <w:rPr/>
      </w:pPr>
      <w:r>
        <w:rPr>
          <w:rFonts w:ascii="Times New Roman;sans-serif" w:hAnsi="Times New Roman;sans-serif"/>
          <w:b w:val="false"/>
          <w:color w:val="000000"/>
          <w:sz w:val="18"/>
          <w:u w:val="single"/>
        </w:rPr>
        <w:t>Loss</w:t>
      </w:r>
      <w:r>
        <w:rPr>
          <w:color w:val="000000"/>
        </w:rPr>
        <w:t xml:space="preserve"> – </w:t>
      </w:r>
      <w:r>
        <w:rPr>
          <w:rFonts w:ascii="Times New Roman;sans-serif" w:hAnsi="Times New Roman;sans-serif"/>
          <w:b w:val="false"/>
          <w:color w:val="000000"/>
          <w:sz w:val="18"/>
        </w:rPr>
        <w:t>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credit risk profile by risk grade for commercial real estate, commercial, residential real estate and consumer loans by origination year as of March 31, 2025. Also included in the table detailing loan balances are gross charge-offs for the three months ended March 31, 2025.</w:t>
      </w:r>
    </w:p>
    <w:tbl>
      <w:tblPr>
        <w:tblW w:w="11593" w:type="dxa"/>
        <w:jc w:val="left"/>
        <w:tblInd w:w="0" w:type="dxa"/>
        <w:tblLayout w:type="fixed"/>
        <w:tblCellMar>
          <w:top w:w="28" w:type="dxa"/>
          <w:left w:w="28" w:type="dxa"/>
          <w:bottom w:w="28" w:type="dxa"/>
          <w:right w:w="28" w:type="dxa"/>
        </w:tblCellMar>
      </w:tblPr>
      <w:tblGrid>
        <w:gridCol w:w="460"/>
        <w:gridCol w:w="405"/>
        <w:gridCol w:w="201"/>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Commercial real estate – owner occupied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 – 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570,150 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real estate – non-owner occupied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 – non-owner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Multifamily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multifamily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commercial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1,757,102 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270"/>
        <w:jc w:val="both"/>
        <w:rPr>
          <w:rFonts w:ascii="Times New Roman;sans-serif" w:hAnsi="Times New Roman;sans-serif"/>
          <w:b w:val="false"/>
          <w:color w:val="000000"/>
          <w:sz w:val="14"/>
        </w:rPr>
      </w:pPr>
      <w:r>
        <w:rPr>
          <w:rFonts w:ascii="Times New Roman;sans-serif" w:hAnsi="Times New Roman;sans-serif"/>
          <w:b w:val="false"/>
          <w:color w:val="000000"/>
          <w:sz w:val="14"/>
        </w:rPr>
        <w:t>(1)As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pStyle w:val="TextBody"/>
        <w:bidi w:val="0"/>
        <w:spacing w:before="0" w:after="80"/>
        <w:ind w:left="0" w:right="0" w:hanging="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1578" w:type="dxa"/>
        <w:jc w:val="left"/>
        <w:tblInd w:w="0" w:type="dxa"/>
        <w:tblLayout w:type="fixed"/>
        <w:tblCellMar>
          <w:top w:w="28" w:type="dxa"/>
          <w:left w:w="28" w:type="dxa"/>
          <w:bottom w:w="28" w:type="dxa"/>
          <w:right w:w="28" w:type="dxa"/>
        </w:tblCellMar>
      </w:tblPr>
      <w:tblGrid>
        <w:gridCol w:w="460"/>
        <w:gridCol w:w="353"/>
        <w:gridCol w:w="19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Equipment finance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Municipal leases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municipal leases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commercial</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1458" w:type="dxa"/>
        <w:jc w:val="left"/>
        <w:tblInd w:w="0" w:type="dxa"/>
        <w:tblLayout w:type="fixed"/>
        <w:tblCellMar>
          <w:top w:w="28" w:type="dxa"/>
          <w:left w:w="28" w:type="dxa"/>
          <w:bottom w:w="28" w:type="dxa"/>
          <w:right w:w="28" w:type="dxa"/>
        </w:tblCellMar>
      </w:tblPr>
      <w:tblGrid>
        <w:gridCol w:w="460"/>
        <w:gridCol w:w="405"/>
        <w:gridCol w:w="20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One-to-four 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one-to-four 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HELOCs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HELOCs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residential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13" w:type="dxa"/>
        <w:jc w:val="left"/>
        <w:tblInd w:w="0" w:type="dxa"/>
        <w:tblLayout w:type="fixed"/>
        <w:tblCellMar>
          <w:top w:w="28" w:type="dxa"/>
          <w:left w:w="28" w:type="dxa"/>
          <w:bottom w:w="28" w:type="dxa"/>
          <w:right w:w="28" w:type="dxa"/>
        </w:tblCellMar>
      </w:tblPr>
      <w:tblGrid>
        <w:gridCol w:w="460"/>
        <w:gridCol w:w="323"/>
        <w:gridCol w:w="193"/>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27"/>
        <w:gridCol w:w="487"/>
        <w:gridCol w:w="127"/>
        <w:gridCol w:w="109"/>
        <w:gridCol w:w="109"/>
        <w:gridCol w:w="109"/>
        <w:gridCol w:w="196"/>
        <w:gridCol w:w="646"/>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consumer</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jc w:val="both"/>
        <w:rPr/>
      </w:pPr>
      <w:r>
        <w:rPr>
          <w:rFonts w:ascii="Times New Roman;sans-serif" w:hAnsi="Times New Roman;sans-serif"/>
          <w:b w:val="false"/>
          <w:color w:val="000000"/>
          <w:sz w:val="18"/>
        </w:rPr>
        <w:t>The following table presents the credit risk profile by risk grade for commercial real estate, commercial, residential real estate and consumer loans by origination year as of December 31, 2024.</w:t>
      </w:r>
      <w:r>
        <w:rPr>
          <w:color w:val="000000"/>
        </w:rPr>
        <w:t xml:space="preserve"> </w:t>
      </w:r>
      <w:r>
        <w:rPr>
          <w:rFonts w:ascii="Times New Roman;sans-serif" w:hAnsi="Times New Roman;sans-serif"/>
          <w:b w:val="false"/>
          <w:color w:val="000000"/>
          <w:sz w:val="18"/>
        </w:rPr>
        <w:t>Also included in the table detailing loan balances are gross charge-offs for the year ended December 31, 2024.</w:t>
      </w:r>
    </w:p>
    <w:tbl>
      <w:tblPr>
        <w:tblW w:w="11683" w:type="dxa"/>
        <w:jc w:val="left"/>
        <w:tblInd w:w="0" w:type="dxa"/>
        <w:tblLayout w:type="fixed"/>
        <w:tblCellMar>
          <w:top w:w="28" w:type="dxa"/>
          <w:left w:w="28" w:type="dxa"/>
          <w:bottom w:w="28" w:type="dxa"/>
          <w:right w:w="28" w:type="dxa"/>
        </w:tblCellMar>
      </w:tblPr>
      <w:tblGrid>
        <w:gridCol w:w="529"/>
        <w:gridCol w:w="268"/>
        <w:gridCol w:w="26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Commercial real estate</w:t>
            </w:r>
            <w:r>
              <w:rPr>
                <w:color w:val="000000"/>
              </w:rPr>
              <w:t xml:space="preserve"> – </w:t>
            </w:r>
            <w:r>
              <w:rPr>
                <w:rFonts w:ascii="Times New Roman;sans-serif" w:hAnsi="Times New Roman;sans-serif"/>
                <w:b/>
                <w:color w:val="000000"/>
                <w:sz w:val="16"/>
              </w:rPr>
              <w:t xml:space="preserve">owner occupied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 – 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16"/>
              </w:rPr>
              <w:t>Commercial real estate</w:t>
            </w:r>
            <w:r>
              <w:rPr>
                <w:color w:val="000000"/>
              </w:rPr>
              <w:t xml:space="preserve"> – </w:t>
            </w:r>
            <w:r>
              <w:rPr>
                <w:rFonts w:ascii="Times New Roman;sans-serif" w:hAnsi="Times New Roman;sans-serif"/>
                <w:b/>
                <w:color w:val="000000"/>
                <w:sz w:val="16"/>
              </w:rPr>
              <w:t>non-owner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 – non-owner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multifamily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1,806,365 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ans-serif" w:hAnsi="Times New Roman;sans-serif"/>
          <w:b w:val="false"/>
          <w:color w:val="000000"/>
          <w:sz w:val="14"/>
        </w:rPr>
      </w:pPr>
      <w:r>
        <w:rPr>
          <w:rFonts w:ascii="Times New Roman;sans-serif" w:hAnsi="Times New Roman;sans-serif"/>
          <w:b w:val="false"/>
          <w:color w:val="000000"/>
          <w:sz w:val="14"/>
        </w:rPr>
        <w:t>(1)As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1398" w:type="dxa"/>
        <w:jc w:val="left"/>
        <w:tblInd w:w="0" w:type="dxa"/>
        <w:tblLayout w:type="fixed"/>
        <w:tblCellMar>
          <w:top w:w="28" w:type="dxa"/>
          <w:left w:w="28" w:type="dxa"/>
          <w:bottom w:w="28" w:type="dxa"/>
          <w:right w:w="28" w:type="dxa"/>
        </w:tblCellMar>
      </w:tblPr>
      <w:tblGrid>
        <w:gridCol w:w="469"/>
        <w:gridCol w:w="268"/>
        <w:gridCol w:w="26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Equipment finance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Municipal leases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municipal leases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commercial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hanging="9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1458" w:type="dxa"/>
        <w:jc w:val="left"/>
        <w:tblInd w:w="0" w:type="dxa"/>
        <w:tblLayout w:type="fixed"/>
        <w:tblCellMar>
          <w:top w:w="28" w:type="dxa"/>
          <w:left w:w="28" w:type="dxa"/>
          <w:bottom w:w="28" w:type="dxa"/>
          <w:right w:w="28" w:type="dxa"/>
        </w:tblCellMar>
      </w:tblPr>
      <w:tblGrid>
        <w:gridCol w:w="529"/>
        <w:gridCol w:w="268"/>
        <w:gridCol w:w="26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One-to-four 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one-to-four 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HELOCs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HELOCs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residential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879,362 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48" w:type="dxa"/>
        <w:jc w:val="left"/>
        <w:tblInd w:w="0" w:type="dxa"/>
        <w:tblLayout w:type="fixed"/>
        <w:tblCellMar>
          <w:top w:w="28" w:type="dxa"/>
          <w:left w:w="28" w:type="dxa"/>
          <w:bottom w:w="28" w:type="dxa"/>
          <w:right w:w="28" w:type="dxa"/>
        </w:tblCellMar>
      </w:tblPr>
      <w:tblGrid>
        <w:gridCol w:w="439"/>
        <w:gridCol w:w="268"/>
        <w:gridCol w:w="26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27"/>
        <w:gridCol w:w="487"/>
        <w:gridCol w:w="127"/>
        <w:gridCol w:w="109"/>
        <w:gridCol w:w="109"/>
        <w:gridCol w:w="109"/>
        <w:gridCol w:w="196"/>
        <w:gridCol w:w="64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consumer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rating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aging analyses of past due loans (including nonaccrual loans) by segment and class as of the dates indicated:</w:t>
      </w:r>
    </w:p>
    <w:tbl>
      <w:tblPr>
        <w:tblW w:w="10130" w:type="dxa"/>
        <w:jc w:val="left"/>
        <w:tblInd w:w="0" w:type="dxa"/>
        <w:tblLayout w:type="fixed"/>
        <w:tblCellMar>
          <w:top w:w="28" w:type="dxa"/>
          <w:left w:w="28" w:type="dxa"/>
          <w:bottom w:w="28" w:type="dxa"/>
          <w:right w:w="28" w:type="dxa"/>
        </w:tblCellMar>
      </w:tblPr>
      <w:tblGrid>
        <w:gridCol w:w="1207"/>
        <w:gridCol w:w="1066"/>
        <w:gridCol w:w="1072"/>
        <w:gridCol w:w="198"/>
        <w:gridCol w:w="652"/>
        <w:gridCol w:w="110"/>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911" w:type="dxa"/>
        <w:jc w:val="left"/>
        <w:tblInd w:w="0" w:type="dxa"/>
        <w:tblLayout w:type="fixed"/>
        <w:tblCellMar>
          <w:top w:w="28" w:type="dxa"/>
          <w:left w:w="28" w:type="dxa"/>
          <w:bottom w:w="28" w:type="dxa"/>
          <w:right w:w="28" w:type="dxa"/>
        </w:tblCellMar>
      </w:tblPr>
      <w:tblGrid>
        <w:gridCol w:w="1212"/>
        <w:gridCol w:w="1064"/>
        <w:gridCol w:w="1068"/>
        <w:gridCol w:w="198"/>
        <w:gridCol w:w="652"/>
        <w:gridCol w:w="110"/>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On September 26, 2024, Hurricane Helene made landfall causing significant property damage across certain parts of the Company's market areas, particularly in Western North Carolina. In an effort to assist customers in their post-Hurricane Helene recovery and clean-up efforts, in the fourth quarter of the year ended December 31, 2024 we granted payment deferrals of up to six months to provide short-term relief to impacted customers. The outstanding balance of these deferrals was $109.9 million and $136.0 million at March 31, 2025 and December 31, 2024, respectively.</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before="0" w:after="18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recorded investment in loans on nonaccrual status, by segment and class, including restructured loans. It also includes interest income recognized on nonaccrual loans for the three months ended March 31, 2025.</w:t>
      </w:r>
    </w:p>
    <w:tbl>
      <w:tblPr>
        <w:tblW w:w="10205" w:type="dxa"/>
        <w:jc w:val="left"/>
        <w:tblInd w:w="0" w:type="dxa"/>
        <w:tblLayout w:type="fixed"/>
        <w:tblCellMar>
          <w:top w:w="28" w:type="dxa"/>
          <w:left w:w="28" w:type="dxa"/>
          <w:bottom w:w="28" w:type="dxa"/>
          <w:right w:w="28" w:type="dxa"/>
        </w:tblCellMar>
      </w:tblPr>
      <w:tblGrid>
        <w:gridCol w:w="594"/>
        <w:gridCol w:w="521"/>
        <w:gridCol w:w="524"/>
        <w:gridCol w:w="109"/>
        <w:gridCol w:w="109"/>
        <w:gridCol w:w="109"/>
        <w:gridCol w:w="213"/>
        <w:gridCol w:w="705"/>
        <w:gridCol w:w="118"/>
        <w:gridCol w:w="109"/>
        <w:gridCol w:w="109"/>
        <w:gridCol w:w="109"/>
        <w:gridCol w:w="227"/>
        <w:gridCol w:w="749"/>
        <w:gridCol w:w="126"/>
        <w:gridCol w:w="109"/>
        <w:gridCol w:w="109"/>
        <w:gridCol w:w="109"/>
        <w:gridCol w:w="109"/>
        <w:gridCol w:w="109"/>
        <w:gridCol w:w="362"/>
        <w:gridCol w:w="752"/>
        <w:gridCol w:w="203"/>
        <w:gridCol w:w="109"/>
        <w:gridCol w:w="109"/>
        <w:gridCol w:w="109"/>
        <w:gridCol w:w="347"/>
        <w:gridCol w:w="1148"/>
        <w:gridCol w:w="194"/>
        <w:gridCol w:w="109"/>
        <w:gridCol w:w="109"/>
        <w:gridCol w:w="109"/>
        <w:gridCol w:w="349"/>
        <w:gridCol w:w="752"/>
        <w:gridCol w:w="196"/>
        <w:gridCol w:w="109"/>
        <w:gridCol w:w="163"/>
      </w:tblGrid>
      <w:tr>
        <w:trPr/>
        <w:tc>
          <w:tcPr>
            <w:tcW w:w="59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90 Days+ &amp;</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Still Accruing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Nonaccrual with No ACL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Income Recognized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12,173 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12,069 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10,020 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6,368 </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7,038 </w:t>
            </w:r>
          </w:p>
        </w:tc>
        <w:tc>
          <w:tcPr>
            <w:tcW w:w="12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11,114 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analyses of the ACL on loans by segment for the periods indicated below. In addition to the provision for credit losses on loans presented below, provisions of $740 and $20 for off-balance sheet credit exposures were recorded during the three months ended March 31, 2025 and 2024, respectively.</w:t>
      </w:r>
    </w:p>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08"/>
        <w:gridCol w:w="591"/>
        <w:gridCol w:w="117"/>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19,284 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15,267 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(charge-offs) recoveries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19,565 </w:t>
            </w:r>
          </w:p>
        </w:tc>
        <w:tc>
          <w:tcPr>
            <w:tcW w:w="1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14,863 </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9,330 </w:t>
            </w:r>
          </w:p>
        </w:tc>
        <w:tc>
          <w:tcPr>
            <w:tcW w:w="1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1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44,742 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08"/>
        <w:gridCol w:w="591"/>
        <w:gridCol w:w="117"/>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20,323 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17,025 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9,285 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(charge-offs) recoveries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19,953 </w:t>
            </w:r>
          </w:p>
        </w:tc>
        <w:tc>
          <w:tcPr>
            <w:tcW w:w="1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16,620 </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9,157 </w:t>
            </w:r>
          </w:p>
        </w:tc>
        <w:tc>
          <w:tcPr>
            <w:tcW w:w="1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1,772 </w:t>
            </w:r>
          </w:p>
        </w:tc>
        <w:tc>
          <w:tcPr>
            <w:tcW w:w="11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pStyle w:val="TextBody"/>
        <w:bidi w:val="0"/>
        <w:spacing w:before="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loan is considered to be collateral dependent when the borrower is experiencing financial difficulty and the repayment is expected to be provided substantially through the operation or sale of collateral. The following tables provide a breakdown between loans identified as CDAs and non-CDAs, by segment and class, as well as collateral coverage for those loans as of the dates indicated below:</w:t>
      </w:r>
    </w:p>
    <w:tbl>
      <w:tblPr>
        <w:tblW w:w="10205" w:type="dxa"/>
        <w:jc w:val="left"/>
        <w:tblInd w:w="0" w:type="dxa"/>
        <w:tblLayout w:type="fixed"/>
        <w:tblCellMar>
          <w:top w:w="28" w:type="dxa"/>
          <w:left w:w="28" w:type="dxa"/>
          <w:bottom w:w="28" w:type="dxa"/>
          <w:right w:w="28" w:type="dxa"/>
        </w:tblCellMar>
      </w:tblPr>
      <w:tblGrid>
        <w:gridCol w:w="501"/>
        <w:gridCol w:w="406"/>
        <w:gridCol w:w="237"/>
        <w:gridCol w:w="224"/>
        <w:gridCol w:w="639"/>
        <w:gridCol w:w="126"/>
        <w:gridCol w:w="109"/>
        <w:gridCol w:w="109"/>
        <w:gridCol w:w="109"/>
        <w:gridCol w:w="277"/>
        <w:gridCol w:w="573"/>
        <w:gridCol w:w="154"/>
        <w:gridCol w:w="109"/>
        <w:gridCol w:w="109"/>
        <w:gridCol w:w="109"/>
        <w:gridCol w:w="219"/>
        <w:gridCol w:w="723"/>
        <w:gridCol w:w="123"/>
        <w:gridCol w:w="109"/>
        <w:gridCol w:w="109"/>
        <w:gridCol w:w="109"/>
        <w:gridCol w:w="200"/>
        <w:gridCol w:w="568"/>
        <w:gridCol w:w="111"/>
        <w:gridCol w:w="109"/>
        <w:gridCol w:w="976"/>
        <w:gridCol w:w="109"/>
        <w:gridCol w:w="109"/>
        <w:gridCol w:w="109"/>
        <w:gridCol w:w="196"/>
        <w:gridCol w:w="871"/>
        <w:gridCol w:w="109"/>
        <w:gridCol w:w="109"/>
        <w:gridCol w:w="109"/>
        <w:gridCol w:w="109"/>
        <w:gridCol w:w="196"/>
        <w:gridCol w:w="871"/>
        <w:gridCol w:w="161"/>
      </w:tblGrid>
      <w:tr>
        <w:trPr/>
        <w:tc>
          <w:tcPr>
            <w:tcW w:w="5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and Extent of Collateral Securing CDAs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Non-CDAs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6"/>
            <w:tcBorders/>
          </w:tcPr>
          <w:p>
            <w:pPr>
              <w:pStyle w:val="TableContents"/>
              <w:bidi w:val="0"/>
              <w:spacing w:before="0" w:after="283"/>
              <w:jc w:val="left"/>
              <w:rPr>
                <w:sz w:val="4"/>
                <w:szCs w:val="4"/>
              </w:rPr>
            </w:pPr>
            <w:r>
              <w:rPr>
                <w:sz w:val="4"/>
                <w:szCs w:val="4"/>
              </w:rPr>
            </w:r>
          </w:p>
        </w:tc>
      </w:tr>
      <w:tr>
        <w:trPr/>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Business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1,803,494 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892,805 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888,142 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3,633,812 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3,648,609 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collateral value</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14,682 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
        <w:gridCol w:w="314"/>
        <w:gridCol w:w="315"/>
        <w:gridCol w:w="272"/>
        <w:gridCol w:w="564"/>
        <w:gridCol w:w="153"/>
        <w:gridCol w:w="109"/>
        <w:gridCol w:w="109"/>
        <w:gridCol w:w="109"/>
        <w:gridCol w:w="277"/>
        <w:gridCol w:w="573"/>
        <w:gridCol w:w="154"/>
        <w:gridCol w:w="109"/>
        <w:gridCol w:w="109"/>
        <w:gridCol w:w="109"/>
        <w:gridCol w:w="219"/>
        <w:gridCol w:w="723"/>
        <w:gridCol w:w="123"/>
        <w:gridCol w:w="109"/>
        <w:gridCol w:w="109"/>
        <w:gridCol w:w="109"/>
        <w:gridCol w:w="200"/>
        <w:gridCol w:w="568"/>
        <w:gridCol w:w="111"/>
        <w:gridCol w:w="109"/>
        <w:gridCol w:w="976"/>
        <w:gridCol w:w="109"/>
        <w:gridCol w:w="109"/>
        <w:gridCol w:w="109"/>
        <w:gridCol w:w="196"/>
        <w:gridCol w:w="871"/>
        <w:gridCol w:w="109"/>
        <w:gridCol w:w="109"/>
        <w:gridCol w:w="109"/>
        <w:gridCol w:w="109"/>
        <w:gridCol w:w="196"/>
        <w:gridCol w:w="871"/>
        <w:gridCol w:w="160"/>
      </w:tblGrid>
      <w:tr>
        <w:trPr/>
        <w:tc>
          <w:tcPr>
            <w:tcW w:w="5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and Extent of Collateral Securing CDAs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Non-CDAs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6"/>
            <w:tcBorders/>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Business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866,094 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1,806,365 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888,543 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Consumer</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3,636,801 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3,648,299 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collateral value</w:t>
            </w:r>
          </w:p>
        </w:tc>
        <w:tc>
          <w:tcPr>
            <w:tcW w:w="2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13,938 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Modifications to Borrowers Experiencing Financial Difficulty</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the amortized cost basis of loans that were both experiencing financial difficulty and modified during the periods indicated, by class and type of modification. The percentage of the amortized cost basis of loans that were modified to borrowers in financial difficulty as compared to the amortized cost basis of each class of financing receivable is also presented. The Hurricane Helene-related deferrals previously referenced did not meet this definition and, therefore, were not included.</w:t>
      </w:r>
    </w:p>
    <w:tbl>
      <w:tblPr>
        <w:tblW w:w="10827" w:type="dxa"/>
        <w:jc w:val="left"/>
        <w:tblInd w:w="0" w:type="dxa"/>
        <w:tblLayout w:type="fixed"/>
        <w:tblCellMar>
          <w:top w:w="28" w:type="dxa"/>
          <w:left w:w="28" w:type="dxa"/>
          <w:bottom w:w="28" w:type="dxa"/>
          <w:right w:w="28" w:type="dxa"/>
        </w:tblCellMar>
      </w:tblPr>
      <w:tblGrid>
        <w:gridCol w:w="674"/>
        <w:gridCol w:w="386"/>
        <w:gridCol w:w="336"/>
        <w:gridCol w:w="277"/>
        <w:gridCol w:w="574"/>
        <w:gridCol w:w="155"/>
        <w:gridCol w:w="109"/>
        <w:gridCol w:w="109"/>
        <w:gridCol w:w="109"/>
        <w:gridCol w:w="196"/>
        <w:gridCol w:w="556"/>
        <w:gridCol w:w="109"/>
        <w:gridCol w:w="109"/>
        <w:gridCol w:w="109"/>
        <w:gridCol w:w="109"/>
        <w:gridCol w:w="235"/>
        <w:gridCol w:w="505"/>
        <w:gridCol w:w="131"/>
        <w:gridCol w:w="109"/>
        <w:gridCol w:w="109"/>
        <w:gridCol w:w="109"/>
        <w:gridCol w:w="279"/>
        <w:gridCol w:w="600"/>
        <w:gridCol w:w="157"/>
        <w:gridCol w:w="109"/>
        <w:gridCol w:w="109"/>
        <w:gridCol w:w="109"/>
        <w:gridCol w:w="310"/>
        <w:gridCol w:w="642"/>
        <w:gridCol w:w="174"/>
        <w:gridCol w:w="109"/>
        <w:gridCol w:w="109"/>
        <w:gridCol w:w="109"/>
        <w:gridCol w:w="310"/>
        <w:gridCol w:w="642"/>
        <w:gridCol w:w="174"/>
        <w:gridCol w:w="109"/>
        <w:gridCol w:w="109"/>
        <w:gridCol w:w="109"/>
        <w:gridCol w:w="256"/>
        <w:gridCol w:w="210"/>
        <w:gridCol w:w="496"/>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Combination Term Extension &amp;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Combination Term Extension &amp;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owner-occupied</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157" w:type="dxa"/>
        <w:jc w:val="left"/>
        <w:tblInd w:w="0" w:type="dxa"/>
        <w:tblLayout w:type="fixed"/>
        <w:tblCellMar>
          <w:top w:w="28" w:type="dxa"/>
          <w:left w:w="28" w:type="dxa"/>
          <w:bottom w:w="28" w:type="dxa"/>
          <w:right w:w="28" w:type="dxa"/>
        </w:tblCellMar>
      </w:tblPr>
      <w:tblGrid>
        <w:gridCol w:w="674"/>
        <w:gridCol w:w="591"/>
        <w:gridCol w:w="461"/>
        <w:gridCol w:w="277"/>
        <w:gridCol w:w="574"/>
        <w:gridCol w:w="155"/>
        <w:gridCol w:w="109"/>
        <w:gridCol w:w="109"/>
        <w:gridCol w:w="109"/>
        <w:gridCol w:w="196"/>
        <w:gridCol w:w="556"/>
        <w:gridCol w:w="109"/>
        <w:gridCol w:w="109"/>
        <w:gridCol w:w="109"/>
        <w:gridCol w:w="109"/>
        <w:gridCol w:w="240"/>
        <w:gridCol w:w="497"/>
        <w:gridCol w:w="134"/>
        <w:gridCol w:w="109"/>
        <w:gridCol w:w="109"/>
        <w:gridCol w:w="109"/>
        <w:gridCol w:w="285"/>
        <w:gridCol w:w="591"/>
        <w:gridCol w:w="160"/>
        <w:gridCol w:w="109"/>
        <w:gridCol w:w="109"/>
        <w:gridCol w:w="109"/>
        <w:gridCol w:w="310"/>
        <w:gridCol w:w="642"/>
        <w:gridCol w:w="174"/>
        <w:gridCol w:w="109"/>
        <w:gridCol w:w="109"/>
        <w:gridCol w:w="109"/>
        <w:gridCol w:w="310"/>
        <w:gridCol w:w="642"/>
        <w:gridCol w:w="174"/>
        <w:gridCol w:w="109"/>
        <w:gridCol w:w="109"/>
        <w:gridCol w:w="109"/>
        <w:gridCol w:w="256"/>
        <w:gridCol w:w="210"/>
        <w:gridCol w:w="496"/>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Combination Term Extension &amp;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Combination Term Extension &amp;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non-owner-occupied</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financial effect of the loan modifications presented above to borrowers experiencing financial difficulty for the period indicated below:</w:t>
      </w:r>
    </w:p>
    <w:tbl>
      <w:tblPr>
        <w:tblW w:w="10205" w:type="dxa"/>
        <w:jc w:val="left"/>
        <w:tblInd w:w="0" w:type="dxa"/>
        <w:tblLayout w:type="fixed"/>
        <w:tblCellMar>
          <w:top w:w="28" w:type="dxa"/>
          <w:left w:w="28" w:type="dxa"/>
          <w:bottom w:w="28" w:type="dxa"/>
          <w:right w:w="28" w:type="dxa"/>
        </w:tblCellMar>
      </w:tblPr>
      <w:tblGrid>
        <w:gridCol w:w="615"/>
        <w:gridCol w:w="539"/>
        <w:gridCol w:w="541"/>
        <w:gridCol w:w="417"/>
        <w:gridCol w:w="865"/>
        <w:gridCol w:w="233"/>
        <w:gridCol w:w="137"/>
        <w:gridCol w:w="137"/>
        <w:gridCol w:w="137"/>
        <w:gridCol w:w="653"/>
        <w:gridCol w:w="653"/>
        <w:gridCol w:w="1536"/>
        <w:gridCol w:w="137"/>
        <w:gridCol w:w="137"/>
        <w:gridCol w:w="137"/>
        <w:gridCol w:w="947"/>
        <w:gridCol w:w="947"/>
        <w:gridCol w:w="948"/>
        <w:gridCol w:w="109"/>
        <w:gridCol w:w="109"/>
        <w:gridCol w:w="109"/>
        <w:gridCol w:w="162"/>
      </w:tblGrid>
      <w:tr>
        <w:trPr/>
        <w:tc>
          <w:tcPr>
            <w:tcW w:w="61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489" w:type="dxa"/>
            <w:gridSpan w:val="4"/>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Forgiveness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Interest Rate Reduction</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Term Extension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loans that had a payment default during the period indicated that had previously been modified within the prior twelve months. For purposes of this table, a loan is considered to be in default when it becomes 30 days contractually past due under the modified terms.</w:t>
      </w:r>
    </w:p>
    <w:tbl>
      <w:tblPr>
        <w:tblW w:w="10205" w:type="dxa"/>
        <w:jc w:val="left"/>
        <w:tblInd w:w="0" w:type="dxa"/>
        <w:tblLayout w:type="fixed"/>
        <w:tblCellMar>
          <w:top w:w="28" w:type="dxa"/>
          <w:left w:w="28" w:type="dxa"/>
          <w:bottom w:w="28" w:type="dxa"/>
          <w:right w:w="28" w:type="dxa"/>
        </w:tblCellMar>
      </w:tblPr>
      <w:tblGrid>
        <w:gridCol w:w="1029"/>
        <w:gridCol w:w="869"/>
        <w:gridCol w:w="865"/>
        <w:gridCol w:w="446"/>
        <w:gridCol w:w="925"/>
        <w:gridCol w:w="249"/>
        <w:gridCol w:w="109"/>
        <w:gridCol w:w="109"/>
        <w:gridCol w:w="109"/>
        <w:gridCol w:w="318"/>
        <w:gridCol w:w="684"/>
        <w:gridCol w:w="180"/>
        <w:gridCol w:w="109"/>
        <w:gridCol w:w="109"/>
        <w:gridCol w:w="109"/>
        <w:gridCol w:w="339"/>
        <w:gridCol w:w="730"/>
        <w:gridCol w:w="188"/>
        <w:gridCol w:w="109"/>
        <w:gridCol w:w="109"/>
        <w:gridCol w:w="109"/>
        <w:gridCol w:w="515"/>
        <w:gridCol w:w="1109"/>
        <w:gridCol w:w="290"/>
        <w:gridCol w:w="109"/>
        <w:gridCol w:w="109"/>
        <w:gridCol w:w="109"/>
        <w:gridCol w:w="161"/>
      </w:tblGrid>
      <w:tr>
        <w:trPr/>
        <w:tc>
          <w:tcPr>
            <w:tcW w:w="102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488" w:type="dxa"/>
            <w:gridSpan w:val="4"/>
            <w:tcBorders/>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owner-occupied</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There were no loans that had a payment default during the three months ended March 31, 2024 that had previously been modified within the prior twelve months.</w:t>
      </w:r>
    </w:p>
    <w:p>
      <w:pPr>
        <w:pStyle w:val="TextBody"/>
        <w:bidi w:val="0"/>
        <w:spacing w:lineRule="auto" w:line="288" w:before="0" w:after="40"/>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Off-Balance Sheet Credit Exposure</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120"/>
        <w:jc w:val="both"/>
        <w:rPr/>
      </w:pPr>
      <w:r>
        <w:rPr>
          <w:rFonts w:ascii="Times New Roman;sans-serif" w:hAnsi="Times New Roman;sans-serif"/>
          <w:b w:val="false"/>
          <w:color w:val="000000"/>
          <w:sz w:val="18"/>
        </w:rPr>
        <w:t xml:space="preserve">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March 31, 2025 and </w:t>
      </w:r>
      <w:r>
        <w:rPr>
          <w:rFonts w:ascii="Times New Roman;sans-serif" w:hAnsi="Times New Roman;sans-serif"/>
          <w:b w:val="false"/>
          <w:color w:val="000000"/>
          <w:sz w:val="18"/>
          <w:shd w:fill="FFFFFF" w:val="clear"/>
        </w:rPr>
        <w:t>December 31, 2024</w:t>
      </w:r>
      <w:r>
        <w:rPr>
          <w:rFonts w:ascii="Times New Roman;sans-serif" w:hAnsi="Times New Roman;sans-serif"/>
          <w:b w:val="false"/>
          <w:color w:val="000000"/>
          <w:sz w:val="18"/>
        </w:rPr>
        <w:t>, the ACL on off-balance sheet credit exposures included in other liabilities was $3,412 and $2,672,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ans-serif" w:hAnsi="Times New Roman;sans-serif"/>
          <w:b/>
          <w:color w:val="000000"/>
          <w:sz w:val="18"/>
        </w:rPr>
        <w:t xml:space="preserve">6. </w:t>
      </w:r>
      <w:r>
        <w:rPr>
          <w:rFonts w:ascii="Times New Roman;sans-serif" w:hAnsi="Times New Roman;sans-serif"/>
          <w:b/>
          <w:color w:val="000000"/>
          <w:sz w:val="18"/>
          <w:u w:val="single"/>
        </w:rPr>
        <w:t>Premises and Equipment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Premises and equipment as of the dates indicated consist of the following:</w:t>
      </w:r>
    </w:p>
    <w:tbl>
      <w:tblPr>
        <w:tblW w:w="5695" w:type="dxa"/>
        <w:jc w:val="left"/>
        <w:tblInd w:w="0" w:type="dxa"/>
        <w:tblLayout w:type="fixed"/>
        <w:tblCellMar>
          <w:top w:w="28" w:type="dxa"/>
          <w:left w:w="28" w:type="dxa"/>
          <w:bottom w:w="28" w:type="dxa"/>
          <w:right w:w="28" w:type="dxa"/>
        </w:tblCellMar>
      </w:tblPr>
      <w:tblGrid>
        <w:gridCol w:w="898"/>
        <w:gridCol w:w="791"/>
        <w:gridCol w:w="801"/>
        <w:gridCol w:w="266"/>
        <w:gridCol w:w="876"/>
        <w:gridCol w:w="147"/>
        <w:gridCol w:w="109"/>
        <w:gridCol w:w="109"/>
        <w:gridCol w:w="109"/>
        <w:gridCol w:w="313"/>
        <w:gridCol w:w="1031"/>
        <w:gridCol w:w="245"/>
      </w:tblGrid>
      <w:tr>
        <w:trPr/>
        <w:tc>
          <w:tcPr>
            <w:tcW w:w="89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Office buildings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Furniture, fixtures and equipment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110,900 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121,148 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(48,553)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Premises and equipment, net</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62,347 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69,872 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carrying balance of premises and equipment held for sale, at the lower of cost or fair value, was $8,240 and $616 at March 31, 2025 and December 31, 2024, respectively. The majority of the change can be traced to the reclassification of the $6,310 of premises and equipment associated with our two Knoxville, Tennessee branches, consistent with the announced sale of those locations expected to close in the second quarter of 2025.</w:t>
      </w:r>
    </w:p>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Depreciation expense associated with premises and equipment was $925 and $911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80"/>
        <w:jc w:val="left"/>
        <w:rPr/>
      </w:pPr>
      <w:r>
        <w:rPr>
          <w:rFonts w:ascii="Times New Roman;sans-serif" w:hAnsi="Times New Roman;sans-serif"/>
          <w:b/>
          <w:color w:val="000000"/>
          <w:sz w:val="18"/>
        </w:rPr>
        <w:t xml:space="preserve">7. </w:t>
      </w:r>
      <w:r>
        <w:rPr>
          <w:rFonts w:ascii="Times New Roman;sans-serif" w:hAnsi="Times New Roman;sans-serif"/>
          <w:b/>
          <w:color w:val="000000"/>
          <w:sz w:val="18"/>
          <w:u w:val="single"/>
        </w:rPr>
        <w:t>Deposit Accounts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Deposit accounts at the dates indicated consist of the following:</w:t>
      </w:r>
    </w:p>
    <w:tbl>
      <w:tblPr>
        <w:tblW w:w="6268" w:type="dxa"/>
        <w:jc w:val="left"/>
        <w:tblInd w:w="0" w:type="dxa"/>
        <w:tblLayout w:type="fixed"/>
        <w:tblCellMar>
          <w:top w:w="28" w:type="dxa"/>
          <w:left w:w="28" w:type="dxa"/>
          <w:bottom w:w="28" w:type="dxa"/>
          <w:right w:w="28" w:type="dxa"/>
        </w:tblCellMar>
      </w:tblPr>
      <w:tblGrid>
        <w:gridCol w:w="794"/>
        <w:gridCol w:w="696"/>
        <w:gridCol w:w="699"/>
        <w:gridCol w:w="215"/>
        <w:gridCol w:w="956"/>
        <w:gridCol w:w="119"/>
        <w:gridCol w:w="109"/>
        <w:gridCol w:w="109"/>
        <w:gridCol w:w="109"/>
        <w:gridCol w:w="257"/>
        <w:gridCol w:w="1145"/>
        <w:gridCol w:w="143"/>
        <w:gridCol w:w="109"/>
        <w:gridCol w:w="109"/>
        <w:gridCol w:w="109"/>
        <w:gridCol w:w="109"/>
        <w:gridCol w:w="109"/>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accounts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680,926 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accounts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573,745 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575,238 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1,341,995 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898,444 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3,736,360 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3,779,203 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an estimated $42,408 in customer deposit accounts are expected to be assumed by the purchaser of our two Knoxville, Tennessee branches. As noted above, the sale of those locations is expected to close in the second quarter of 2025.</w:t>
      </w:r>
    </w:p>
    <w:p>
      <w:pPr>
        <w:pStyle w:val="TextBody"/>
        <w:bidi w:val="0"/>
        <w:spacing w:lineRule="auto" w:line="288" w:before="0" w:after="80"/>
        <w:jc w:val="both"/>
        <w:rPr/>
      </w:pPr>
      <w:r>
        <w:rPr>
          <w:rFonts w:ascii="Times New Roman;sans-serif" w:hAnsi="Times New Roman;sans-serif"/>
          <w:b w:val="false"/>
          <w:color w:val="000000"/>
          <w:sz w:val="18"/>
        </w:rPr>
        <w:t xml:space="preserve">Deposits received from executive officers, directors and their associates totaled approximately $1,404 and $1,223 at March 31, 2025 and </w:t>
      </w:r>
      <w:r>
        <w:rPr>
          <w:rFonts w:ascii="Times New Roman;sans-serif" w:hAnsi="Times New Roman;sans-serif"/>
          <w:b w:val="false"/>
          <w:color w:val="000000"/>
          <w:sz w:val="18"/>
          <w:shd w:fill="FFFFFF" w:val="clear"/>
        </w:rPr>
        <w:t>December 31, 2024</w:t>
      </w:r>
      <w:r>
        <w:rPr>
          <w:rFonts w:ascii="Times New Roman;sans-serif" w:hAnsi="Times New Roman;sans-serif"/>
          <w:b w:val="false"/>
          <w:color w:val="000000"/>
          <w:sz w:val="18"/>
        </w:rPr>
        <w:t>, respectively.</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scheduled maturities of certificates of deposit were as follows:</w:t>
      </w:r>
    </w:p>
    <w:tbl>
      <w:tblPr>
        <w:tblW w:w="2788" w:type="dxa"/>
        <w:jc w:val="left"/>
        <w:tblInd w:w="0" w:type="dxa"/>
        <w:tblLayout w:type="fixed"/>
        <w:tblCellMar>
          <w:top w:w="28" w:type="dxa"/>
          <w:left w:w="28" w:type="dxa"/>
          <w:bottom w:w="28" w:type="dxa"/>
          <w:right w:w="28" w:type="dxa"/>
        </w:tblCellMar>
      </w:tblPr>
      <w:tblGrid>
        <w:gridCol w:w="538"/>
        <w:gridCol w:w="472"/>
        <w:gridCol w:w="474"/>
        <w:gridCol w:w="196"/>
        <w:gridCol w:w="736"/>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ans-serif" w:hAnsi="Times New Roman;sans-serif"/>
          <w:b w:val="false"/>
          <w:color w:val="000000"/>
          <w:sz w:val="18"/>
        </w:rPr>
        <w:t xml:space="preserve">Certificates of deposit with balances of $250 or greater totaled $165,372 and $168,089 at March 31, 2025 and </w:t>
      </w:r>
      <w:r>
        <w:rPr>
          <w:rFonts w:ascii="Times New Roman;sans-serif" w:hAnsi="Times New Roman;sans-serif"/>
          <w:b w:val="false"/>
          <w:color w:val="000000"/>
          <w:sz w:val="18"/>
          <w:shd w:fill="FFFFFF" w:val="clear"/>
        </w:rPr>
        <w:t>December 31, 2024</w:t>
      </w:r>
      <w:r>
        <w:rPr>
          <w:rFonts w:ascii="Times New Roman;sans-serif" w:hAnsi="Times New Roman;sans-serif"/>
          <w:b w:val="false"/>
          <w:color w:val="000000"/>
          <w:sz w:val="18"/>
        </w:rPr>
        <w:t>, respectively. Generally, deposit amounts in excess of $250 are not federally insured.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left"/>
        <w:rPr/>
      </w:pPr>
      <w:r>
        <w:rPr>
          <w:rFonts w:ascii="Times New Roman;sans-serif" w:hAnsi="Times New Roman;sans-serif"/>
          <w:b/>
          <w:color w:val="000000"/>
          <w:sz w:val="18"/>
        </w:rPr>
        <w:t xml:space="preserve">8. </w:t>
      </w:r>
      <w:r>
        <w:rPr>
          <w:rFonts w:ascii="Times New Roman;sans-serif" w:hAnsi="Times New Roman;sans-serif"/>
          <w:b/>
          <w:color w:val="000000"/>
          <w:sz w:val="18"/>
          <w:u w:val="single"/>
        </w:rPr>
        <w:t>Borrowings</w:t>
      </w:r>
    </w:p>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Junior Subordinated Debentures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trust preferred securities accrue and pay quarterly distributions at a floating rate of 3-month Term SOFR plus 2.20%, which was 6.49% at March 31, 2025. The Company has guaranteed distributions and other payments due on the trust preferred securities to the extent the Trust has insufficient funds with which to make the distributions and other payments. The net combined effect of all documents entered into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connection with the trust preferred securities is that the Company is liable to make the distributions and other payments required on the trust preferred securities.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trust preferred securities are mandatorily redeemable upon maturity of the debentures on March 15, 2037, or upon earlier redemption as provided in the indenture. The debentures purchased by the Trust have been redeemable, in whole or in part, since March 15, 2012. As specified in the indenture, if the debentures are redeemed prior to maturity, the redemption price will be the principal amount and any accrued but unpaid interest.</w:t>
      </w:r>
    </w:p>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Other Borrowings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Borrowings, outside of junior subordinated debt, consist of the following at the dates indicated:</w:t>
      </w:r>
    </w:p>
    <w:tbl>
      <w:tblPr>
        <w:tblW w:w="7441" w:type="dxa"/>
        <w:jc w:val="left"/>
        <w:tblInd w:w="0" w:type="dxa"/>
        <w:tblLayout w:type="fixed"/>
        <w:tblCellMar>
          <w:top w:w="28" w:type="dxa"/>
          <w:left w:w="28" w:type="dxa"/>
          <w:bottom w:w="28" w:type="dxa"/>
          <w:right w:w="28" w:type="dxa"/>
        </w:tblCellMar>
      </w:tblPr>
      <w:tblGrid>
        <w:gridCol w:w="745"/>
        <w:gridCol w:w="653"/>
        <w:gridCol w:w="657"/>
        <w:gridCol w:w="196"/>
        <w:gridCol w:w="736"/>
        <w:gridCol w:w="109"/>
        <w:gridCol w:w="109"/>
        <w:gridCol w:w="109"/>
        <w:gridCol w:w="109"/>
        <w:gridCol w:w="261"/>
        <w:gridCol w:w="261"/>
        <w:gridCol w:w="617"/>
        <w:gridCol w:w="109"/>
        <w:gridCol w:w="109"/>
        <w:gridCol w:w="109"/>
        <w:gridCol w:w="196"/>
        <w:gridCol w:w="736"/>
        <w:gridCol w:w="109"/>
        <w:gridCol w:w="109"/>
        <w:gridCol w:w="109"/>
        <w:gridCol w:w="109"/>
        <w:gridCol w:w="248"/>
        <w:gridCol w:w="248"/>
        <w:gridCol w:w="688"/>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Rate</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FRB advances (short-term)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ans-serif" w:hAnsi="Times New Roman;sans-serif"/>
          <w:b w:val="false"/>
          <w:color w:val="000000"/>
          <w:sz w:val="18"/>
        </w:rPr>
        <w:t xml:space="preserve">All qualifying one-to-four family loans, HELOCs, commercial real estate loans, multifamily loans and FHLB of Atlanta stock are pledged as collateral to secure outstanding FHLB advances while commercial construction loans, indirect auto loans, and equipment and municipal leases are pledged as collateral to secure outstanding FRB advances. At March 31, 2025 and </w:t>
      </w:r>
      <w:r>
        <w:rPr>
          <w:rFonts w:ascii="Times New Roman;sans-serif" w:hAnsi="Times New Roman;sans-serif"/>
          <w:b w:val="false"/>
          <w:color w:val="000000"/>
          <w:sz w:val="18"/>
          <w:shd w:fill="FFFFFF" w:val="clear"/>
        </w:rPr>
        <w:t>December 31, 2024</w:t>
      </w:r>
      <w:r>
        <w:rPr>
          <w:rFonts w:ascii="Times New Roman;sans-serif" w:hAnsi="Times New Roman;sans-serif"/>
          <w:b w:val="false"/>
          <w:color w:val="000000"/>
          <w:sz w:val="18"/>
        </w:rPr>
        <w:t>, the Company had the ability to borrow $295,344 and $315,468, respectively, through additional FHLB advances and $97,955 and $106,592, respectively, through the unused portion of a line of credit with the FRB.</w:t>
      </w:r>
    </w:p>
    <w:p>
      <w:pPr>
        <w:pStyle w:val="TextBody"/>
        <w:bidi w:val="0"/>
        <w:spacing w:lineRule="auto" w:line="288" w:before="0" w:after="160"/>
        <w:jc w:val="both"/>
        <w:rPr/>
      </w:pPr>
      <w:r>
        <w:rPr>
          <w:rFonts w:ascii="Times New Roman;sans-serif" w:hAnsi="Times New Roman;sans-serif"/>
          <w:b w:val="false"/>
          <w:color w:val="000000"/>
          <w:sz w:val="18"/>
        </w:rPr>
        <w:t xml:space="preserve">At both March 31, 2025 and </w:t>
      </w:r>
      <w:r>
        <w:rPr>
          <w:rFonts w:ascii="Times New Roman;sans-serif" w:hAnsi="Times New Roman;sans-serif"/>
          <w:b w:val="false"/>
          <w:color w:val="000000"/>
          <w:sz w:val="18"/>
          <w:shd w:fill="FFFFFF" w:val="clear"/>
        </w:rPr>
        <w:t>December 31</w:t>
      </w:r>
      <w:r>
        <w:rPr>
          <w:rFonts w:ascii="Times New Roman;sans-serif" w:hAnsi="Times New Roman;sans-serif"/>
          <w:b w:val="false"/>
          <w:color w:val="000000"/>
          <w:sz w:val="18"/>
        </w:rPr>
        <w:t>, 2024</w:t>
      </w:r>
      <w:r>
        <w:rPr>
          <w:rFonts w:ascii="Times New Roman;sans-serif" w:hAnsi="Times New Roman;sans-serif"/>
          <w:b w:val="false"/>
          <w:color w:val="000000"/>
          <w:sz w:val="18"/>
          <w:shd w:fill="FFFFFF" w:val="clear"/>
        </w:rPr>
        <w:t>, the Company maintai</w:t>
      </w:r>
      <w:r>
        <w:rPr>
          <w:rFonts w:ascii="Times New Roman;sans-serif" w:hAnsi="Times New Roman;sans-serif"/>
          <w:b w:val="false"/>
          <w:color w:val="000000"/>
          <w:sz w:val="18"/>
        </w:rPr>
        <w:t>ned revolving lines of credit with three unaffiliated banks, the unused portions of which totaled $165,000.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left"/>
        <w:rPr/>
      </w:pPr>
      <w:r>
        <w:rPr>
          <w:rFonts w:ascii="Times New Roman;sans-serif" w:hAnsi="Times New Roman;sans-serif"/>
          <w:b/>
          <w:color w:val="000000"/>
          <w:sz w:val="18"/>
        </w:rPr>
        <w:t xml:space="preserve">9. </w:t>
      </w:r>
      <w:r>
        <w:rPr>
          <w:rFonts w:ascii="Times New Roman;sans-serif" w:hAnsi="Times New Roman;sans-serif"/>
          <w:b/>
          <w:color w:val="000000"/>
          <w:sz w:val="18"/>
          <w:u w:val="single"/>
        </w:rPr>
        <w:t>Leases</w:t>
      </w:r>
    </w:p>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Lessee - Operating Leases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supplemental balance sheet information related to operating leases. ROU assets are included in other assets and lease liabilities are included in other liabilities.</w:t>
      </w:r>
    </w:p>
    <w:tbl>
      <w:tblPr>
        <w:tblW w:w="6717" w:type="dxa"/>
        <w:jc w:val="left"/>
        <w:tblInd w:w="0" w:type="dxa"/>
        <w:tblLayout w:type="fixed"/>
        <w:tblCellMar>
          <w:top w:w="28" w:type="dxa"/>
          <w:left w:w="28" w:type="dxa"/>
          <w:bottom w:w="28" w:type="dxa"/>
          <w:right w:w="28" w:type="dxa"/>
        </w:tblCellMar>
      </w:tblPr>
      <w:tblGrid>
        <w:gridCol w:w="1273"/>
        <w:gridCol w:w="1115"/>
        <w:gridCol w:w="1122"/>
        <w:gridCol w:w="251"/>
        <w:gridCol w:w="712"/>
        <w:gridCol w:w="327"/>
        <w:gridCol w:w="109"/>
        <w:gridCol w:w="109"/>
        <w:gridCol w:w="109"/>
        <w:gridCol w:w="296"/>
        <w:gridCol w:w="840"/>
        <w:gridCol w:w="454"/>
      </w:tblGrid>
      <w:tr>
        <w:trPr/>
        <w:tc>
          <w:tcPr>
            <w:tcW w:w="127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balance sheet information</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terms (years)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schedule summarizes aggregate future minimum lease payments under these operating leases at March 31, 2025:</w:t>
      </w:r>
    </w:p>
    <w:tbl>
      <w:tblPr>
        <w:tblW w:w="4205" w:type="dxa"/>
        <w:jc w:val="left"/>
        <w:tblInd w:w="0" w:type="dxa"/>
        <w:tblLayout w:type="fixed"/>
        <w:tblCellMar>
          <w:top w:w="28" w:type="dxa"/>
          <w:left w:w="28" w:type="dxa"/>
          <w:bottom w:w="28" w:type="dxa"/>
          <w:right w:w="28" w:type="dxa"/>
        </w:tblCellMar>
      </w:tblPr>
      <w:tblGrid>
        <w:gridCol w:w="1196"/>
        <w:gridCol w:w="1049"/>
        <w:gridCol w:w="1054"/>
        <w:gridCol w:w="196"/>
        <w:gridCol w:w="55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undiscounted minimum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 representing interest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components of operating lease expense for the periods indicated:</w:t>
      </w:r>
    </w:p>
    <w:tbl>
      <w:tblPr>
        <w:tblW w:w="7259" w:type="dxa"/>
        <w:jc w:val="left"/>
        <w:tblInd w:w="0" w:type="dxa"/>
        <w:tblLayout w:type="fixed"/>
        <w:tblCellMar>
          <w:top w:w="28" w:type="dxa"/>
          <w:left w:w="28" w:type="dxa"/>
          <w:bottom w:w="28" w:type="dxa"/>
          <w:right w:w="28" w:type="dxa"/>
        </w:tblCellMar>
      </w:tblPr>
      <w:tblGrid>
        <w:gridCol w:w="1519"/>
        <w:gridCol w:w="1336"/>
        <w:gridCol w:w="1345"/>
        <w:gridCol w:w="284"/>
        <w:gridCol w:w="610"/>
        <w:gridCol w:w="158"/>
        <w:gridCol w:w="158"/>
        <w:gridCol w:w="158"/>
        <w:gridCol w:w="158"/>
        <w:gridCol w:w="284"/>
        <w:gridCol w:w="610"/>
        <w:gridCol w:w="158"/>
        <w:gridCol w:w="109"/>
        <w:gridCol w:w="109"/>
        <w:gridCol w:w="10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cost (included in occupancy expense, net)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Variable lease cost (included in occupancy expense, net)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Sublease income (included in other noninterest income)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lease expense, net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supplemental operating lease cash flow information for the periods indicated:</w:t>
      </w:r>
    </w:p>
    <w:tbl>
      <w:tblPr>
        <w:tblW w:w="7663" w:type="dxa"/>
        <w:jc w:val="left"/>
        <w:tblInd w:w="0" w:type="dxa"/>
        <w:tblLayout w:type="fixed"/>
        <w:tblCellMar>
          <w:top w:w="28" w:type="dxa"/>
          <w:left w:w="28" w:type="dxa"/>
          <w:bottom w:w="28" w:type="dxa"/>
          <w:right w:w="28" w:type="dxa"/>
        </w:tblCellMar>
      </w:tblPr>
      <w:tblGrid>
        <w:gridCol w:w="1828"/>
        <w:gridCol w:w="1603"/>
        <w:gridCol w:w="1609"/>
        <w:gridCol w:w="296"/>
        <w:gridCol w:w="637"/>
        <w:gridCol w:w="165"/>
        <w:gridCol w:w="165"/>
        <w:gridCol w:w="165"/>
        <w:gridCol w:w="165"/>
        <w:gridCol w:w="296"/>
        <w:gridCol w:w="501"/>
        <w:gridCol w:w="233"/>
      </w:tblGrid>
      <w:tr>
        <w:trPr/>
        <w:tc>
          <w:tcPr>
            <w:tcW w:w="182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ROU assets - noncash additions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Lessor - General</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Lessor - Operating Leases</w:t>
      </w:r>
    </w:p>
    <w:p>
      <w:pPr>
        <w:pStyle w:val="TextBody"/>
        <w:bidi w:val="0"/>
        <w:spacing w:lineRule="auto" w:line="288" w:before="0" w:after="80"/>
        <w:jc w:val="both"/>
        <w:rPr/>
      </w:pPr>
      <w:r>
        <w:rPr>
          <w:rFonts w:ascii="Times New Roman;sans-serif" w:hAnsi="Times New Roman;sans-serif"/>
          <w:b w:val="false"/>
          <w:color w:val="000000"/>
          <w:sz w:val="18"/>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$31,020 and $31,572 with a residual value of $13,959 and $13,662 as of March 31, 2025 and December 31</w:t>
      </w:r>
      <w:r>
        <w:rPr>
          <w:rFonts w:ascii="Times New Roman;sans-serif" w:hAnsi="Times New Roman;sans-serif"/>
          <w:b w:val="false"/>
          <w:color w:val="000000"/>
          <w:sz w:val="18"/>
          <w:shd w:fill="FFFFFF" w:val="clear"/>
        </w:rPr>
        <w:t>, 2024</w:t>
      </w:r>
      <w:r>
        <w:rPr>
          <w:rFonts w:ascii="Times New Roman;sans-serif" w:hAnsi="Times New Roman;sans-serif"/>
          <w:b w:val="false"/>
          <w:color w:val="000000"/>
          <w:sz w:val="18"/>
        </w:rPr>
        <w:t xml:space="preserve">, respectively.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schedule summarizes aggregate future minimum lease payments to be received at March 31, 2025:</w:t>
      </w:r>
    </w:p>
    <w:tbl>
      <w:tblPr>
        <w:tblW w:w="3831" w:type="dxa"/>
        <w:jc w:val="left"/>
        <w:tblInd w:w="0" w:type="dxa"/>
        <w:tblLayout w:type="fixed"/>
        <w:tblCellMar>
          <w:top w:w="28" w:type="dxa"/>
          <w:left w:w="28" w:type="dxa"/>
          <w:bottom w:w="28" w:type="dxa"/>
          <w:right w:w="28" w:type="dxa"/>
        </w:tblCellMar>
      </w:tblPr>
      <w:tblGrid>
        <w:gridCol w:w="1028"/>
        <w:gridCol w:w="902"/>
        <w:gridCol w:w="905"/>
        <w:gridCol w:w="196"/>
        <w:gridCol w:w="646"/>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of future minimum payments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i/>
          <w:color w:val="000000"/>
          <w:sz w:val="18"/>
        </w:rPr>
      </w:pPr>
      <w:r>
        <w:rPr>
          <w:rFonts w:ascii="Times New Roman;sans-serif" w:hAnsi="Times New Roman;sans-serif"/>
          <w:b w:val="false"/>
          <w:i/>
          <w:color w:val="000000"/>
          <w:sz w:val="18"/>
        </w:rPr>
        <w:t>As Lessor - Financing Leases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March 31, 2025 and 2024, interest income on equipment finance leases totaled $1,218 and $1,055, respectively. </w:t>
      </w:r>
    </w:p>
    <w:p>
      <w:pPr>
        <w:pStyle w:val="TextBody"/>
        <w:bidi w:val="0"/>
        <w:spacing w:lineRule="auto" w:line="288" w:before="0" w:after="80"/>
        <w:jc w:val="both"/>
        <w:rPr/>
      </w:pPr>
      <w:r>
        <w:rPr>
          <w:rFonts w:ascii="Times New Roman;sans-serif" w:hAnsi="Times New Roman;sans-serif"/>
          <w:b w:val="false"/>
          <w:color w:val="000000"/>
          <w:sz w:val="18"/>
        </w:rPr>
        <w:t>The lease receivable component of finance lease net investment included within the equipment finance class of financing receivables was $71,922 and $70,420 at March 31, 2025 and December 31</w:t>
      </w:r>
      <w:r>
        <w:rPr>
          <w:rFonts w:ascii="Times New Roman;sans-serif" w:hAnsi="Times New Roman;sans-serif"/>
          <w:b w:val="false"/>
          <w:color w:val="000000"/>
          <w:sz w:val="18"/>
          <w:shd w:fill="FFFFFF" w:val="clear"/>
        </w:rPr>
        <w:t>, 2024</w:t>
      </w:r>
      <w:r>
        <w:rPr>
          <w:rFonts w:ascii="Times New Roman;sans-serif" w:hAnsi="Times New Roman;sans-serif"/>
          <w:b w:val="false"/>
          <w:color w:val="000000"/>
          <w:sz w:val="18"/>
        </w:rPr>
        <w:t>, respectively.</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schedule summarizes, as of March 31, 2025, aggregate future minimum finance lease payments to be received:</w:t>
      </w:r>
    </w:p>
    <w:tbl>
      <w:tblPr>
        <w:tblW w:w="4295" w:type="dxa"/>
        <w:jc w:val="left"/>
        <w:tblInd w:w="0" w:type="dxa"/>
        <w:tblLayout w:type="fixed"/>
        <w:tblCellMar>
          <w:top w:w="28" w:type="dxa"/>
          <w:left w:w="28" w:type="dxa"/>
          <w:bottom w:w="28" w:type="dxa"/>
          <w:right w:w="28" w:type="dxa"/>
        </w:tblCellMar>
      </w:tblPr>
      <w:tblGrid>
        <w:gridCol w:w="1196"/>
        <w:gridCol w:w="1049"/>
        <w:gridCol w:w="1054"/>
        <w:gridCol w:w="196"/>
        <w:gridCol w:w="64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undiscounted minimum lease payments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 representing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receivable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ans-serif" w:hAnsi="Times New Roman;sans-serif"/>
          <w:b/>
          <w:color w:val="000000"/>
          <w:sz w:val="18"/>
        </w:rPr>
        <w:t>10.    </w:t>
      </w:r>
      <w:r>
        <w:rPr>
          <w:rFonts w:ascii="Times New Roman;sans-serif" w:hAnsi="Times New Roman;sans-serif"/>
          <w:b/>
          <w:color w:val="000000"/>
          <w:sz w:val="18"/>
          <w:u w:val="single"/>
        </w:rPr>
        <w:t>Equity Incentive Plan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table below presents share-based compensation expense and the estimated related tax benefit for stock options and restricted stock for the periods indicated below:</w:t>
      </w:r>
    </w:p>
    <w:tbl>
      <w:tblPr>
        <w:tblW w:w="5684" w:type="dxa"/>
        <w:jc w:val="left"/>
        <w:tblInd w:w="0" w:type="dxa"/>
        <w:tblLayout w:type="fixed"/>
        <w:tblCellMar>
          <w:top w:w="28" w:type="dxa"/>
          <w:left w:w="28" w:type="dxa"/>
          <w:bottom w:w="28" w:type="dxa"/>
          <w:right w:w="28" w:type="dxa"/>
        </w:tblCellMar>
      </w:tblPr>
      <w:tblGrid>
        <w:gridCol w:w="951"/>
        <w:gridCol w:w="836"/>
        <w:gridCol w:w="838"/>
        <w:gridCol w:w="284"/>
        <w:gridCol w:w="610"/>
        <w:gridCol w:w="158"/>
        <w:gridCol w:w="158"/>
        <w:gridCol w:w="158"/>
        <w:gridCol w:w="158"/>
        <w:gridCol w:w="284"/>
        <w:gridCol w:w="610"/>
        <w:gridCol w:w="158"/>
        <w:gridCol w:w="109"/>
        <w:gridCol w:w="109"/>
        <w:gridCol w:w="109"/>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table below presents stock option activity and related information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1053"/>
        <w:gridCol w:w="923"/>
        <w:gridCol w:w="929"/>
        <w:gridCol w:w="368"/>
        <w:gridCol w:w="368"/>
        <w:gridCol w:w="241"/>
        <w:gridCol w:w="109"/>
        <w:gridCol w:w="109"/>
        <w:gridCol w:w="109"/>
        <w:gridCol w:w="544"/>
        <w:gridCol w:w="1548"/>
        <w:gridCol w:w="305"/>
        <w:gridCol w:w="109"/>
        <w:gridCol w:w="109"/>
        <w:gridCol w:w="109"/>
        <w:gridCol w:w="669"/>
        <w:gridCol w:w="669"/>
        <w:gridCol w:w="671"/>
        <w:gridCol w:w="109"/>
        <w:gridCol w:w="109"/>
        <w:gridCol w:w="109"/>
        <w:gridCol w:w="201"/>
        <w:gridCol w:w="571"/>
        <w:gridCol w:w="164"/>
      </w:tblGrid>
      <w:tr>
        <w:trPr/>
        <w:tc>
          <w:tcPr>
            <w:tcW w:w="105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Contractual 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outstanding at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534,350 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outstanding at March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Exercisable at March 31, 2024</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475,380 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25.86 </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March 31, 2024</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48,970 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27.77 </w:t>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outstanding at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outstanding at March 31,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408,737 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Exercisable at March 31, 2025</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382,557 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25.90 </w:t>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March 31, 2025</w:t>
            </w:r>
          </w:p>
        </w:tc>
        <w:tc>
          <w:tcPr>
            <w:tcW w:w="73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26,180 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28.28 </w:t>
            </w:r>
          </w:p>
        </w:tc>
        <w:tc>
          <w:tcPr>
            <w:tcW w:w="30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There were no options granted during the three months ended March 31, 2025 or 2024.</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At March 31, 2025, the Company had $187 of unrecognized compensation expense related to 26,180 stock options originally scheduled to vest over a five-year period. The weighted average period over which compensation cost related to non-vested awards is expected to be recognized was 1.2 years at March 31, 2025. At March 31, 2024, the Company had $340 of unrecognized compensation expense related to 48,970 stock options originally scheduled to vest over a five-year period. The weighted average period over which compensation cost related to non-vested awards is expected to be recognized was 1.5 years at March 31, 2024.</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table below presents restricted stock award activity and related information:</w:t>
      </w:r>
    </w:p>
    <w:tbl>
      <w:tblPr>
        <w:tblW w:w="9679" w:type="dxa"/>
        <w:jc w:val="left"/>
        <w:tblInd w:w="0" w:type="dxa"/>
        <w:tblLayout w:type="fixed"/>
        <w:tblCellMar>
          <w:top w:w="28" w:type="dxa"/>
          <w:left w:w="28" w:type="dxa"/>
          <w:bottom w:w="28" w:type="dxa"/>
          <w:right w:w="28" w:type="dxa"/>
        </w:tblCellMar>
      </w:tblPr>
      <w:tblGrid>
        <w:gridCol w:w="967"/>
        <w:gridCol w:w="849"/>
        <w:gridCol w:w="854"/>
        <w:gridCol w:w="449"/>
        <w:gridCol w:w="449"/>
        <w:gridCol w:w="451"/>
        <w:gridCol w:w="109"/>
        <w:gridCol w:w="109"/>
        <w:gridCol w:w="109"/>
        <w:gridCol w:w="809"/>
        <w:gridCol w:w="809"/>
        <w:gridCol w:w="811"/>
        <w:gridCol w:w="109"/>
        <w:gridCol w:w="109"/>
        <w:gridCol w:w="109"/>
        <w:gridCol w:w="300"/>
        <w:gridCol w:w="851"/>
        <w:gridCol w:w="168"/>
        <w:gridCol w:w="109"/>
        <w:gridCol w:w="109"/>
        <w:gridCol w:w="109"/>
        <w:gridCol w:w="201"/>
        <w:gridCol w:w="571"/>
        <w:gridCol w:w="159"/>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Restricted</w:t>
            </w:r>
          </w:p>
          <w:p>
            <w:pPr>
              <w:pStyle w:val="TableContents"/>
              <w:bidi w:val="0"/>
              <w:spacing w:lineRule="auto" w:line="240" w:before="0" w:after="0"/>
              <w:jc w:val="center"/>
              <w:rPr/>
            </w:pPr>
            <w:r>
              <w:rPr>
                <w:rFonts w:ascii="Times New Roman;sans-serif" w:hAnsi="Times New Roman;sans-serif"/>
                <w:b/>
                <w:color w:val="000000"/>
                <w:sz w:val="18"/>
              </w:rPr>
              <w:t>Stock Awards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Performance-Based Restricted</w:t>
            </w:r>
          </w:p>
          <w:p>
            <w:pPr>
              <w:pStyle w:val="TableContents"/>
              <w:bidi w:val="0"/>
              <w:spacing w:lineRule="auto" w:line="240" w:before="0" w:after="0"/>
              <w:jc w:val="center"/>
              <w:rPr/>
            </w:pPr>
            <w:r>
              <w:rPr>
                <w:rFonts w:ascii="Times New Roman;sans-serif" w:hAnsi="Times New Roman;sans-serif"/>
                <w:b/>
                <w:color w:val="000000"/>
                <w:sz w:val="18"/>
              </w:rPr>
              <w:t>Stock Units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December 31, 2023</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106,143 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25,001 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56,480 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15,899 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(36,637)</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March 31, 2024</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125,986 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40,900 </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December 31, 2024</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138,582 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30,001 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15,444 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March 31, 2025</w:t>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150,030 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45,445 </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(1)Restricted stock awards are scheduled to vest over 1.0 year for director awards and 5.0 years for employee awards.</w:t>
      </w:r>
    </w:p>
    <w:p>
      <w:pPr>
        <w:pStyle w:val="TextBody"/>
        <w:bidi w:val="0"/>
        <w:spacing w:lineRule="auto" w:line="288" w:before="0" w:after="10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(2)Performance-based restricted stock units are scheduled to vest over 3.0 years assuming the applicable financial goals are met.</w:t>
      </w:r>
    </w:p>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At March 31, 2025, unrecognized compensation expense was $4,952 related to 195,475 shares of restricted stock. The weighted average period over which compensation cost related to non-vested awards is expected to be recognized was 2.0 years at March 31, 2025. At March 31, 2024, unrecognized compensation expense was $3,966 related to 166,886 shares of restricted stock. The weighted average period over which compensation cost related to non-vested awards is expected to be recognized was 2.2 years at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40"/>
        <w:ind w:left="0" w:right="0" w:hanging="270"/>
        <w:jc w:val="left"/>
        <w:rPr/>
      </w:pPr>
      <w:r>
        <w:rPr>
          <w:rFonts w:ascii="Times New Roman;sans-serif" w:hAnsi="Times New Roman;sans-serif"/>
          <w:b/>
          <w:color w:val="000000"/>
          <w:sz w:val="18"/>
        </w:rPr>
        <w:t xml:space="preserve">11. </w:t>
      </w:r>
      <w:r>
        <w:rPr>
          <w:rFonts w:ascii="Times New Roman;sans-serif" w:hAnsi="Times New Roman;sans-serif"/>
          <w:b/>
          <w:color w:val="000000"/>
          <w:sz w:val="18"/>
          <w:u w:val="single"/>
        </w:rPr>
        <w:t>Net Income per Share</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is a reconciliation of the numerator and denominator of basic and diluted net income per common share for the periods indicated:</w:t>
      </w:r>
    </w:p>
    <w:tbl>
      <w:tblPr>
        <w:tblW w:w="9149" w:type="dxa"/>
        <w:jc w:val="left"/>
        <w:tblInd w:w="0" w:type="dxa"/>
        <w:tblLayout w:type="fixed"/>
        <w:tblCellMar>
          <w:top w:w="28" w:type="dxa"/>
          <w:left w:w="28" w:type="dxa"/>
          <w:bottom w:w="28" w:type="dxa"/>
          <w:right w:w="28" w:type="dxa"/>
        </w:tblCellMar>
      </w:tblPr>
      <w:tblGrid>
        <w:gridCol w:w="2200"/>
        <w:gridCol w:w="1936"/>
        <w:gridCol w:w="1954"/>
        <w:gridCol w:w="226"/>
        <w:gridCol w:w="748"/>
        <w:gridCol w:w="126"/>
        <w:gridCol w:w="126"/>
        <w:gridCol w:w="126"/>
        <w:gridCol w:w="126"/>
        <w:gridCol w:w="226"/>
        <w:gridCol w:w="748"/>
        <w:gridCol w:w="126"/>
        <w:gridCol w:w="109"/>
        <w:gridCol w:w="109"/>
        <w:gridCol w:w="109"/>
        <w:gridCol w:w="154"/>
      </w:tblGrid>
      <w:tr>
        <w:trPr/>
        <w:tc>
          <w:tcPr>
            <w:tcW w:w="220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earnings to participating securities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 for basic and diluted EPS - net income available to common stockholders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10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17,011,359 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16,859,738 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assumed exercise of stock options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17,113,424 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16,872,840 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 basic</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 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18"/>
        </w:rPr>
      </w:pPr>
      <w:r>
        <w:rPr>
          <w:rFonts w:ascii="Times New Roman;sans-serif" w:hAnsi="Times New Roman;sans-serif"/>
          <w:b w:val="false"/>
          <w:color w:val="000000"/>
          <w:sz w:val="18"/>
        </w:rPr>
        <w:t>Potential dilutive shares are excluded from the computation of earnings per share if their effect is anti-dilutive. There were 111,350 stock options that were anti-dilutive as of March 31, 2024. No options were anti-dilutive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ans-serif" w:hAnsi="Times New Roman;sans-serif"/>
          <w:b/>
          <w:color w:val="000000"/>
          <w:sz w:val="18"/>
        </w:rPr>
        <w:t>12.    </w:t>
      </w:r>
      <w:r>
        <w:rPr>
          <w:rFonts w:ascii="Times New Roman;sans-serif" w:hAnsi="Times New Roman;sans-serif"/>
          <w:b/>
          <w:color w:val="000000"/>
          <w:sz w:val="18"/>
          <w:u w:val="single"/>
        </w:rPr>
        <w:t>Commitments and Contingencies</w:t>
      </w:r>
    </w:p>
    <w:p>
      <w:pPr>
        <w:pStyle w:val="TextBody"/>
        <w:bidi w:val="0"/>
        <w:spacing w:lineRule="auto" w:line="288" w:before="0" w:after="80"/>
        <w:jc w:val="both"/>
        <w:rPr/>
      </w:pPr>
      <w:r>
        <w:rPr>
          <w:rFonts w:ascii="Times New Roman;sans-serif" w:hAnsi="Times New Roman;sans-serif"/>
          <w:b w:val="false"/>
          <w:color w:val="000000"/>
          <w:sz w:val="18"/>
          <w:u w:val="single"/>
        </w:rPr>
        <w:t>Loan Commitments</w:t>
      </w:r>
      <w:r>
        <w:rPr>
          <w:color w:val="000000"/>
        </w:rPr>
        <w:t xml:space="preserve"> – </w:t>
      </w:r>
      <w:r>
        <w:rPr>
          <w:rFonts w:ascii="Times New Roman;sans-serif" w:hAnsi="Times New Roman;sans-serif"/>
          <w:b w:val="false"/>
          <w:color w:val="000000"/>
          <w:sz w:val="18"/>
        </w:rPr>
        <w:t>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w:t>
      </w:r>
    </w:p>
    <w:p>
      <w:pPr>
        <w:pStyle w:val="TextBody"/>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The table below presents details of loan commitments outstanding as of the dates indicated:</w:t>
      </w:r>
    </w:p>
    <w:tbl>
      <w:tblPr>
        <w:tblW w:w="6446" w:type="dxa"/>
        <w:jc w:val="left"/>
        <w:tblInd w:w="0" w:type="dxa"/>
        <w:tblLayout w:type="fixed"/>
        <w:tblCellMar>
          <w:top w:w="28" w:type="dxa"/>
          <w:left w:w="28" w:type="dxa"/>
          <w:bottom w:w="28" w:type="dxa"/>
          <w:right w:w="28" w:type="dxa"/>
        </w:tblCellMar>
      </w:tblPr>
      <w:tblGrid>
        <w:gridCol w:w="1157"/>
        <w:gridCol w:w="1015"/>
        <w:gridCol w:w="1023"/>
        <w:gridCol w:w="251"/>
        <w:gridCol w:w="944"/>
        <w:gridCol w:w="139"/>
        <w:gridCol w:w="109"/>
        <w:gridCol w:w="109"/>
        <w:gridCol w:w="109"/>
        <w:gridCol w:w="287"/>
        <w:gridCol w:w="1078"/>
        <w:gridCol w:w="225"/>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Variable rate commitments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56,922 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Fixed rate commitments</w:t>
            </w:r>
            <w:r>
              <w:rPr>
                <w:rFonts w:ascii="Times New Roman;sans-serif" w:hAnsi="Times New Roman;sans-serif"/>
                <w:b w:val="false"/>
                <w:color w:val="000000"/>
                <w:sz w:val="12"/>
              </w:rPr>
              <w:t>(1)</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loan commitments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73,473 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85,018 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Range of fixed interest rates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18"/>
              </w:rPr>
              <w:t>4.39% - 10.37%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4.14% - 10.25%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Undisbursed portions of construction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145,523 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Pre-approved but unused lines of credit</w:t>
            </w:r>
            <w:r>
              <w:rPr>
                <w:rFonts w:ascii="Times New Roman;sans-serif" w:hAnsi="Times New Roman;sans-serif"/>
                <w:b w:val="false"/>
                <w:color w:val="000000"/>
                <w:sz w:val="12"/>
              </w:rPr>
              <w:t>(2)</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855,579 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712,274 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(1)Fixed rate commitments had terms ranging from three to 30 years as of each date presented.</w:t>
      </w:r>
    </w:p>
    <w:p>
      <w:pPr>
        <w:pStyle w:val="TextBody"/>
        <w:bidi w:val="0"/>
        <w:spacing w:lineRule="auto" w:line="288" w:before="0" w:after="10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(2)Principally second mortgage home equity loans and overdraft protection loans.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commitments presented in the above table represent the Company’s exposure to credit risk and, in the opinion of management, have no more than the normal lending risk that the Company commits to its borrowers.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March 31, 2025 or December 31, 2024.</w:t>
      </w:r>
    </w:p>
    <w:p>
      <w:pPr>
        <w:pStyle w:val="TextBody"/>
        <w:bidi w:val="0"/>
        <w:spacing w:lineRule="auto" w:line="288" w:before="0" w:after="80"/>
        <w:jc w:val="both"/>
        <w:rPr/>
      </w:pPr>
      <w:r>
        <w:rPr>
          <w:rFonts w:ascii="Times New Roman;sans-serif" w:hAnsi="Times New Roman;sans-serif"/>
          <w:b w:val="false"/>
          <w:color w:val="000000"/>
          <w:sz w:val="18"/>
          <w:u w:val="single"/>
        </w:rPr>
        <w:t>Equity Investment Commitments</w:t>
      </w:r>
      <w:r>
        <w:rPr>
          <w:color w:val="000000"/>
        </w:rPr>
        <w:t xml:space="preserve"> – </w:t>
      </w:r>
      <w:r>
        <w:rPr>
          <w:rFonts w:ascii="Times New Roman;sans-serif" w:hAnsi="Times New Roman;sans-serif"/>
          <w:b w:val="false"/>
          <w:color w:val="000000"/>
          <w:sz w:val="18"/>
        </w:rPr>
        <w:t>As of March 31, 2025, the Company had committed $32,000 across ten SBIC investments with $10,973 remaining to be drawn, while as of December 31, 2024, the Company had committed $28,000 across nine SBIC investments with $8,598 remaining to be drawn. Similarly, as of March 31, 2025, the Company had committed $10,000 towards a solar tax equity investment with $10,000 remaining to be drawn. No such commitment existed as of December 31, 2024. Although the remaining capital commitments may or may not be called in the future, under the terms of the associated agreements, the Company's exposure will not extend beyond the amount of the original commitments.</w:t>
      </w:r>
    </w:p>
    <w:p>
      <w:pPr>
        <w:pStyle w:val="TextBody"/>
        <w:bidi w:val="0"/>
        <w:spacing w:lineRule="auto" w:line="288" w:before="0" w:after="80"/>
        <w:jc w:val="both"/>
        <w:rPr/>
      </w:pPr>
      <w:r>
        <w:rPr>
          <w:rFonts w:ascii="Times New Roman;sans-serif" w:hAnsi="Times New Roman;sans-serif"/>
          <w:b w:val="false"/>
          <w:color w:val="000000"/>
          <w:sz w:val="18"/>
          <w:u w:val="single"/>
        </w:rPr>
        <w:t>Guarantees</w:t>
      </w:r>
      <w:r>
        <w:rPr>
          <w:color w:val="000000"/>
        </w:rPr>
        <w:t xml:space="preserve"> – </w:t>
      </w:r>
      <w:r>
        <w:rPr>
          <w:rFonts w:ascii="Times New Roman;sans-serif" w:hAnsi="Times New Roman;sans-serif"/>
          <w:b w:val="false"/>
          <w:color w:val="000000"/>
          <w:sz w:val="18"/>
        </w:rPr>
        <w:t>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March 31, 2025 and December 31, 2024 were $55,259 and $53,226, respectively. There was no liability recorded for these letters of credit at March 31, 2025 or December 31, 2024.</w:t>
      </w:r>
    </w:p>
    <w:p>
      <w:pPr>
        <w:pStyle w:val="TextBody"/>
        <w:bidi w:val="0"/>
        <w:spacing w:lineRule="auto" w:line="288" w:before="0" w:after="160"/>
        <w:jc w:val="both"/>
        <w:rPr/>
      </w:pPr>
      <w:r>
        <w:rPr>
          <w:rFonts w:ascii="Times New Roman;sans-serif" w:hAnsi="Times New Roman;sans-serif"/>
          <w:b w:val="false"/>
          <w:color w:val="000000"/>
          <w:sz w:val="18"/>
          <w:u w:val="single"/>
        </w:rPr>
        <w:t>Litigation</w:t>
      </w:r>
      <w:r>
        <w:rPr>
          <w:color w:val="000000"/>
        </w:rPr>
        <w:t xml:space="preserve"> – </w:t>
      </w:r>
      <w:r>
        <w:rPr>
          <w:rFonts w:ascii="Times New Roman;sans-serif" w:hAnsi="Times New Roman;sans-serif"/>
          <w:b w:val="false"/>
          <w:color w:val="000000"/>
          <w:sz w:val="18"/>
        </w:rPr>
        <w:t xml:space="preserve">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160"/>
        <w:jc w:val="both"/>
        <w:rPr/>
      </w:pPr>
      <w:r>
        <w:rPr>
          <w:rFonts w:ascii="Times New Roman;sans-serif" w:hAnsi="Times New Roman;sans-serif"/>
          <w:b w:val="false"/>
          <w:color w:val="000000"/>
          <w:sz w:val="18"/>
        </w:rPr>
        <w:t>Company holds a security interest. The Company is not a party to any pending legal proceedings that management believes would have a material adverse effect on the Company’s financial condition or results of operations</w:t>
      </w:r>
      <w:r>
        <w:rPr>
          <w:rFonts w:ascii="Times New Roman;sans-serif" w:hAnsi="Times New Roman;sans-serif"/>
          <w:b/>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ans-serif" w:hAnsi="Times New Roman;sans-serif"/>
          <w:b/>
          <w:color w:val="000000"/>
          <w:sz w:val="18"/>
        </w:rPr>
        <w:t>13.    </w:t>
      </w:r>
      <w:r>
        <w:rPr>
          <w:rFonts w:ascii="Times New Roman;sans-serif" w:hAnsi="Times New Roman;sans-serif"/>
          <w:b/>
          <w:color w:val="000000"/>
          <w:sz w:val="18"/>
          <w:u w:val="single"/>
        </w:rPr>
        <w:t>Fair Value of Financial Instruments</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pStyle w:val="TextBody"/>
        <w:bidi w:val="0"/>
        <w:spacing w:lineRule="auto" w:line="288" w:before="0" w:after="40"/>
        <w:ind w:left="0" w:right="0" w:hanging="810"/>
        <w:jc w:val="both"/>
        <w:rPr>
          <w:rFonts w:ascii="Times New Roman;sans-serif" w:hAnsi="Times New Roman;sans-serif"/>
          <w:b w:val="false"/>
          <w:color w:val="000000"/>
          <w:sz w:val="18"/>
        </w:rPr>
      </w:pPr>
      <w:r>
        <w:rPr>
          <w:rFonts w:ascii="Times New Roman;sans-serif" w:hAnsi="Times New Roman;sans-serif"/>
          <w:b w:val="false"/>
          <w:color w:val="000000"/>
          <w:sz w:val="18"/>
        </w:rPr>
        <w:t>Level 1:    Quoted prices (unadjusted) for identical assets or liabilities in active markets that the entity has the ability to access as of the measurement date.</w:t>
      </w:r>
    </w:p>
    <w:p>
      <w:pPr>
        <w:pStyle w:val="TextBody"/>
        <w:bidi w:val="0"/>
        <w:spacing w:lineRule="auto" w:line="288" w:before="0" w:after="40"/>
        <w:ind w:left="0" w:right="0" w:hanging="810"/>
        <w:jc w:val="both"/>
        <w:rPr>
          <w:rFonts w:ascii="Times New Roman;sans-serif" w:hAnsi="Times New Roman;sans-serif"/>
          <w:b w:val="false"/>
          <w:color w:val="000000"/>
          <w:sz w:val="18"/>
        </w:rPr>
      </w:pPr>
      <w:r>
        <w:rPr>
          <w:rFonts w:ascii="Times New Roman;sans-serif" w:hAnsi="Times New Roman;sans-serif"/>
          <w:b w:val="false"/>
          <w:color w:val="000000"/>
          <w:sz w:val="18"/>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0" w:after="80"/>
        <w:ind w:left="0" w:right="0" w:hanging="810"/>
        <w:jc w:val="both"/>
        <w:rPr>
          <w:rFonts w:ascii="Times New Roman;sans-serif" w:hAnsi="Times New Roman;sans-serif"/>
          <w:b w:val="false"/>
          <w:color w:val="000000"/>
          <w:sz w:val="18"/>
        </w:rPr>
      </w:pPr>
      <w:r>
        <w:rPr>
          <w:rFonts w:ascii="Times New Roman;sans-serif" w:hAnsi="Times New Roman;sans-serif"/>
          <w:b w:val="false"/>
          <w:color w:val="000000"/>
          <w:sz w:val="18"/>
        </w:rPr>
        <w:t>Level 3:    Significant unobservable inputs that reflect a company's own assumptions about the assumptions that market participants would use in pricing an asset or liability.</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 financial instrument's level within the fair value hierarchy is based on the lowest level of any input that is significant to the fair value measurement. The following is a description of valuation methodologies used for assets recorded at fair value. As of both March 31, 2025 and December 31, 2024, the Company did not have any liabilities recorded at fair value.</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methods of determining the fair value of assets and liabilities presented in this note are consistent with the methodologies disclosed in Note 20 of the 2024 Form 10-K.</w:t>
      </w: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Financial Assets Recorded at Fair Value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financial assets measured at fair value on a recurring basis at the dates indicated:</w:t>
      </w:r>
    </w:p>
    <w:tbl>
      <w:tblPr>
        <w:tblW w:w="7515" w:type="dxa"/>
        <w:jc w:val="left"/>
        <w:tblInd w:w="0" w:type="dxa"/>
        <w:tblLayout w:type="fixed"/>
        <w:tblCellMar>
          <w:top w:w="28" w:type="dxa"/>
          <w:left w:w="28" w:type="dxa"/>
          <w:bottom w:w="28" w:type="dxa"/>
          <w:right w:w="28" w:type="dxa"/>
        </w:tblCellMar>
      </w:tblPr>
      <w:tblGrid>
        <w:gridCol w:w="1080"/>
        <w:gridCol w:w="951"/>
        <w:gridCol w:w="954"/>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 securities 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securities available for sale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Loans held for sale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515" w:type="dxa"/>
        <w:jc w:val="left"/>
        <w:tblInd w:w="0" w:type="dxa"/>
        <w:tblLayout w:type="fixed"/>
        <w:tblCellMar>
          <w:top w:w="28" w:type="dxa"/>
          <w:left w:w="28" w:type="dxa"/>
          <w:bottom w:w="28" w:type="dxa"/>
          <w:right w:w="28" w:type="dxa"/>
        </w:tblCellMar>
      </w:tblPr>
      <w:tblGrid>
        <w:gridCol w:w="1080"/>
        <w:gridCol w:w="951"/>
        <w:gridCol w:w="954"/>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 securities 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MBS, 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securities available for sale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Loans held for sale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Loans held for sale carried at fair value are valued at the individual loan level using quoted secondary market prices.</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There were no transfers between levels during the three months ended March 31, 2025 or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financial assets measured at fair value on a non-recurring basis at the dates indicated:</w:t>
      </w:r>
    </w:p>
    <w:tbl>
      <w:tblPr>
        <w:tblW w:w="7515" w:type="dxa"/>
        <w:jc w:val="left"/>
        <w:tblInd w:w="0" w:type="dxa"/>
        <w:tblLayout w:type="fixed"/>
        <w:tblCellMar>
          <w:top w:w="28" w:type="dxa"/>
          <w:left w:w="28" w:type="dxa"/>
          <w:bottom w:w="28" w:type="dxa"/>
          <w:right w:w="28" w:type="dxa"/>
        </w:tblCellMar>
      </w:tblPr>
      <w:tblGrid>
        <w:gridCol w:w="1211"/>
        <w:gridCol w:w="1063"/>
        <w:gridCol w:w="1071"/>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Collateral dependent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15" w:type="dxa"/>
        <w:jc w:val="left"/>
        <w:tblInd w:w="0" w:type="dxa"/>
        <w:tblLayout w:type="fixed"/>
        <w:tblCellMar>
          <w:top w:w="28" w:type="dxa"/>
          <w:left w:w="28" w:type="dxa"/>
          <w:bottom w:w="28" w:type="dxa"/>
          <w:right w:w="28" w:type="dxa"/>
        </w:tblCellMar>
      </w:tblPr>
      <w:tblGrid>
        <w:gridCol w:w="1211"/>
        <w:gridCol w:w="1063"/>
        <w:gridCol w:w="1071"/>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Collateral dependent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stated carrying value and estimated fair value amounts of financial instruments as of March 31, 2025 and December 31, 2024 are summarized below:</w:t>
      </w:r>
    </w:p>
    <w:tbl>
      <w:tblPr>
        <w:tblW w:w="10205" w:type="dxa"/>
        <w:jc w:val="center"/>
        <w:tblInd w:w="0" w:type="dxa"/>
        <w:tblLayout w:type="fixed"/>
        <w:tblCellMar>
          <w:top w:w="28" w:type="dxa"/>
          <w:left w:w="28" w:type="dxa"/>
          <w:bottom w:w="28" w:type="dxa"/>
          <w:right w:w="28" w:type="dxa"/>
        </w:tblCellMar>
      </w:tblPr>
      <w:tblGrid>
        <w:gridCol w:w="1369"/>
        <w:gridCol w:w="1194"/>
        <w:gridCol w:w="120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82"/>
        <w:gridCol w:w="589"/>
        <w:gridCol w:w="109"/>
        <w:gridCol w:w="109"/>
        <w:gridCol w:w="109"/>
        <w:gridCol w:w="109"/>
        <w:gridCol w:w="282"/>
        <w:gridCol w:w="589"/>
        <w:gridCol w:w="155"/>
      </w:tblGrid>
      <w:tr>
        <w:trPr/>
        <w:tc>
          <w:tcPr>
            <w:tcW w:w="136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 in other banks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the lower of cost or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and NOW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AND SUBSIDIARY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1369"/>
        <w:gridCol w:w="1194"/>
        <w:gridCol w:w="120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82"/>
        <w:gridCol w:w="589"/>
        <w:gridCol w:w="109"/>
        <w:gridCol w:w="109"/>
        <w:gridCol w:w="109"/>
        <w:gridCol w:w="109"/>
        <w:gridCol w:w="282"/>
        <w:gridCol w:w="589"/>
        <w:gridCol w:w="155"/>
      </w:tblGrid>
      <w:tr>
        <w:trPr/>
        <w:tc>
          <w:tcPr>
            <w:tcW w:w="136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 in other banks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 at the lower of cost or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3,498,929 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and NOW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had off-balance sheet financial commitments, which included approximately $1,177,362 and $996,042 of commitments to originate loans, undisbursed portions of construction loans, unused lines of credit and standby letters of credit at March 31, 2025 and December 31, 2024, respectively (see "Note 12 – Commitments and Contingencies"). Since these commitments are based on current rates, the carrying amount approximates the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Forward-Looking Statements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factors that could result in material differentiation include, but are not limited to:</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general economic conditions, both nationally and in our market areas;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potential imposition of new or increased tariffs or changes to existing trade policies that could affect economic activity or specific industry sectors;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natural disasters, including the lingering effects of Hurricane Helene;</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the levels of general interest rates, and the relative differences between short- and long-term interest rates, deposit interest rates, our net interest margin and funding sources and the effects of inflation or a potential recession;</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fluctuations in the demand for loans, the number of unsold homes, land and other properties and fluctuations in real estate values in our market areas;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decreases in the secondary market for the sale of loans that we originate;</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expected revenues, cost savings, synergies and other benefits from our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results of examinations of us by the Federal Reserve, the NCCOB or other regulatory authorities, including the possibility that any such regulatory authority may, among other things, require us to increase our ACL, write-down assets, increase our regulatory capital position or affect our ability to borrow funds or maintain or increase deposits, which could adversely affect our liquidity and earnings;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availability of resources to address changes in laws, rules or regulations, or to respond to regulatory actions;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our ability to attract and retain deposits;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our ability to access cost-effective funding and maintain sufficient liquidity;</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management's assumptions in determining the adequacy of the ACL;</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our ability to control operating costs and expenses, especially costs associated with our operation as a public company;</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use of estimates in determining the fair value of certain assets, which estimates may prove to be incorrect and result in significant declines in valuation;</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difficulties in reducing risks associated with the loans on our balance sheet;</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staffing fluctuations in response to product demand or the implementation of corporate strategies that affect our workforce and potential associated charges;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disruptions, security breaches or other adverse events, failures or interruptions in, or attacks on, our information technology systems or on the third-party vendors who perform several of our critical processing functions;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our ability to retain key members of our senior management team;</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costs and effects of litigation, including settlements and judgments;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the impact of bank failures or adverse developments involving other banks and related negative press about the banking industry in general on investor and depositor sentiment;</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increased competitive pressures among financial services companies;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consumer spending, borrowing and savings habits;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adverse changes in the securities markets;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inability of key third-party providers to perform their obligations to us;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changes in accounting principles, policies or guidelines and practices, as may be adopted by the financial institution regulatory agencies, the Public Company Accounting Oversight Board or the FASB;</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other economic, competitive, governmental, regulatory and technological factors affecting our operations, pricing, products and services; and</w:t>
      </w:r>
    </w:p>
    <w:p>
      <w:pPr>
        <w:pStyle w:val="TextBody"/>
        <w:bidi w:val="0"/>
        <w:spacing w:lineRule="auto" w:line="288" w:before="0" w:after="80"/>
        <w:ind w:left="0" w:right="0" w:hanging="270"/>
        <w:jc w:val="both"/>
        <w:rPr/>
      </w:pPr>
      <w:r>
        <w:rPr>
          <w:color w:val="000000"/>
        </w:rPr>
        <w:t>•</w:t>
      </w:r>
      <w:r>
        <w:rPr>
          <w:rFonts w:ascii="Times New Roman;sans-serif" w:hAnsi="Times New Roman;sans-serif"/>
          <w:b w:val="false"/>
          <w:color w:val="000000"/>
          <w:sz w:val="18"/>
        </w:rPr>
        <w:t>other risks detailed from time to time in documents we file with or furnish to the SEC, including this Form 10-Q.</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pStyle w:val="TextBody"/>
        <w:bidi w:val="0"/>
        <w:spacing w:lineRule="auto" w:line="288"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As used throughout this report, the terms “we,” “our,” “us,” “HomeTrust Bancshares” or the “Company” refer to HomeTrust Bancshares, Inc. and its consolidated subsidiaries, including HomeTrust Bank (“HomeTrust” or "Bank")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At March 31, 2025, the Company had consolidated total assets of $4.6 billion, total deposits of $3.7 billion and stockholders' equity of $565.4 million. The Company has not engaged in any significant activity other than holding the stock of the Bank. Accordingly, the information set forth in this Form 10-Q, including the unaudited consolidated financial statements and related data, relates primarily to the Bank and its subsidiary.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Bank has over 30 locations across Georgia,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loans and other consumer loans. We also originate one-to-four family loans, SBA loans and HELOCs to sell to third-parties. In addition, we invest in debt securities issued by United States Government agencies and GSEs, municipal bonds, corporate bonds, commercial paper and certificates of deposit insured by the FDIC. We offer a variety of deposit accounts for individuals, businesses and nonprofit organizations.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 A secondary source of income is noninterest income, which includes revenue we receive from providing products and services including service charges and fees on deposit accounts, loan income and fees, gains on sale of loans held for sale, BOLI income and operating lease income.</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An offset to net interest income is the provision for credit losses to establish the ACL at a level that provides for ECLs inherent in our loan portfolio, off balance sheet commitments and available for sale debt securities. See "Note 1 – Summary of Significant Accounting Policies" in Item 1 of our 2024 Form 10-K for further discussion.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Our noninterest expenses consist primarily of salaries and employee benefits, occupancy expenses, computer services, operating lease depreciation, marketing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represents our critical accounting policy:</w:t>
      </w:r>
    </w:p>
    <w:p>
      <w:pPr>
        <w:pStyle w:val="TextBody"/>
        <w:bidi w:val="0"/>
        <w:spacing w:lineRule="auto" w:line="288" w:before="0" w:after="80"/>
        <w:jc w:val="both"/>
        <w:rPr/>
      </w:pPr>
      <w:r>
        <w:rPr>
          <w:rFonts w:ascii="Times New Roman;sans-serif" w:hAnsi="Times New Roman;sans-serif"/>
          <w:b/>
          <w:i/>
          <w:color w:val="000000"/>
          <w:sz w:val="18"/>
        </w:rPr>
        <w:t>Allowance for Credit Losses, or ACL, on Loans.</w:t>
      </w:r>
      <w:r>
        <w:rPr>
          <w:color w:val="000000"/>
        </w:rPr>
        <w:t> </w:t>
      </w:r>
      <w:r>
        <w:rPr>
          <w:rFonts w:ascii="Times New Roman;sans-serif" w:hAnsi="Times New Roman;sans-serif"/>
          <w:b w:val="false"/>
          <w:color w:val="000000"/>
          <w:sz w:val="18"/>
        </w:rPr>
        <w:t>The ACL on loans held for investment reflects our estimate of credit losses that will result from the inability of our borrowers to make required loan payments. We charge 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forecasts on the collectability of the loan portfolio. We recognize in net income the amount needed to adjust the ACL on loans held for investment and certain off-balance-sheet credit exposures for management’s current estimate of ECLs. Our ACL on loans held for investment is calculated using collectively evaluated and individually evaluated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Financial Highlights</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For the quarter ended March 31, 2025 compared to the quarter ended December 31, 2024:</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net income was $14.5 million compared to $14.2 million;</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diluted EPS was $0.84 compared to $0.83;</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annualized ROA was 1.33% compared to 1.27%;</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annualized ROE was 10.52% compared to 10.32%;</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net interest margin was 4.18% compared to 4.09%;</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provision for credit losses was $1.5 million compared to a benefit of $855,000;</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quarterly cash dividends continued at $0.12 per share totaling $2.1 million for both periods; and</w:t>
      </w:r>
    </w:p>
    <w:p>
      <w:pPr>
        <w:pStyle w:val="TextBody"/>
        <w:bidi w:val="0"/>
        <w:spacing w:lineRule="auto" w:line="288" w:before="0" w:after="80"/>
        <w:ind w:left="0" w:right="0" w:hanging="270"/>
        <w:jc w:val="both"/>
        <w:rPr/>
      </w:pPr>
      <w:r>
        <w:rPr>
          <w:color w:val="000000"/>
        </w:rPr>
        <w:t>•</w:t>
      </w:r>
      <w:r>
        <w:rPr>
          <w:rFonts w:ascii="Times New Roman;sans-serif" w:hAnsi="Times New Roman;sans-serif"/>
          <w:b w:val="false"/>
          <w:color w:val="000000"/>
          <w:sz w:val="18"/>
        </w:rPr>
        <w:t>14,800 shares of Company common stock were repurchased during the quarter at an average price of $33.64 compared to none in the prior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7594" w:type="dxa"/>
        <w:jc w:val="left"/>
        <w:tblInd w:w="0" w:type="dxa"/>
        <w:tblLayout w:type="fixed"/>
        <w:tblCellMar>
          <w:top w:w="28" w:type="dxa"/>
          <w:left w:w="28" w:type="dxa"/>
          <w:bottom w:w="28" w:type="dxa"/>
          <w:right w:w="28" w:type="dxa"/>
        </w:tblCellMar>
      </w:tblPr>
      <w:tblGrid>
        <w:gridCol w:w="1349"/>
        <w:gridCol w:w="1190"/>
        <w:gridCol w:w="1195"/>
        <w:gridCol w:w="266"/>
        <w:gridCol w:w="876"/>
        <w:gridCol w:w="147"/>
        <w:gridCol w:w="109"/>
        <w:gridCol w:w="109"/>
        <w:gridCol w:w="109"/>
        <w:gridCol w:w="318"/>
        <w:gridCol w:w="1050"/>
        <w:gridCol w:w="177"/>
        <w:gridCol w:w="109"/>
        <w:gridCol w:w="109"/>
        <w:gridCol w:w="109"/>
        <w:gridCol w:w="109"/>
        <w:gridCol w:w="109"/>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 income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43,205 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Provision for credit losses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 after provision for credit losses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 expense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per common share</w:t>
            </w:r>
            <w:r>
              <w:rPr>
                <w:rFonts w:ascii="Times New Roman;sans-serif" w:hAnsi="Times New Roman;sans-serif"/>
                <w:b w:val="false"/>
                <w:color w:val="000000"/>
                <w:sz w:val="12"/>
              </w:rPr>
              <w:t>(1)</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per common share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Book value per share at end of period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Tangible book value per share at end of period</w:t>
            </w:r>
            <w:r>
              <w:rPr>
                <w:rFonts w:ascii="Times New Roman;sans-serif" w:hAnsi="Times New Roman;sans-serif"/>
                <w:b w:val="false"/>
                <w:color w:val="000000"/>
                <w:sz w:val="12"/>
              </w:rPr>
              <w:t>(2)</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price per share at end of period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(1)Basic and diluted net income per common share have been prepared in accordance with the two-class method.</w:t>
      </w:r>
    </w:p>
    <w:p>
      <w:pPr>
        <w:pStyle w:val="TextBody"/>
        <w:bidi w:val="0"/>
        <w:spacing w:lineRule="auto" w:line="288" w:before="0" w:after="18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(2)See Non-GAAP reconciliations below for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GAAP Reconciliation of Non-GAAP Financial Measures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Set forth below is a reconciliation to US GAAP of tangible book value and tangible book value per share:</w:t>
      </w:r>
    </w:p>
    <w:tbl>
      <w:tblPr>
        <w:tblW w:w="9630" w:type="dxa"/>
        <w:jc w:val="left"/>
        <w:tblInd w:w="0" w:type="dxa"/>
        <w:tblLayout w:type="fixed"/>
        <w:tblCellMar>
          <w:top w:w="28" w:type="dxa"/>
          <w:left w:w="28" w:type="dxa"/>
          <w:bottom w:w="28" w:type="dxa"/>
          <w:right w:w="28" w:type="dxa"/>
        </w:tblCellMar>
      </w:tblPr>
      <w:tblGrid>
        <w:gridCol w:w="1386"/>
        <w:gridCol w:w="1218"/>
        <w:gridCol w:w="1221"/>
        <w:gridCol w:w="243"/>
        <w:gridCol w:w="912"/>
        <w:gridCol w:w="135"/>
        <w:gridCol w:w="109"/>
        <w:gridCol w:w="109"/>
        <w:gridCol w:w="109"/>
        <w:gridCol w:w="291"/>
        <w:gridCol w:w="1093"/>
        <w:gridCol w:w="161"/>
        <w:gridCol w:w="109"/>
        <w:gridCol w:w="109"/>
        <w:gridCol w:w="109"/>
        <w:gridCol w:w="243"/>
        <w:gridCol w:w="912"/>
        <w:gridCol w:w="135"/>
        <w:gridCol w:w="109"/>
        <w:gridCol w:w="109"/>
        <w:gridCol w:w="109"/>
        <w:gridCol w:w="109"/>
        <w:gridCol w:w="109"/>
        <w:gridCol w:w="109"/>
        <w:gridCol w:w="109"/>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8" w:type="dxa"/>
            <w:gridSpan w:val="18"/>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 except per share data)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565,449 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513,173 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goodwill, core deposit intangibles, net of taxes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Tangible book value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526,656 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outstanding</w:t>
            </w:r>
          </w:p>
        </w:tc>
        <w:tc>
          <w:tcPr>
            <w:tcW w:w="11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17,552,626 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17,527,709 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17,444,787 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Book value per share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Tangible book value per share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Set forth below is a reconciliation to US GAAP of tangible equity to tangible assets:</w:t>
      </w:r>
    </w:p>
    <w:tbl>
      <w:tblPr>
        <w:tblW w:w="8866" w:type="dxa"/>
        <w:jc w:val="left"/>
        <w:tblInd w:w="0" w:type="dxa"/>
        <w:tblLayout w:type="fixed"/>
        <w:tblCellMar>
          <w:top w:w="28" w:type="dxa"/>
          <w:left w:w="28" w:type="dxa"/>
          <w:bottom w:w="28" w:type="dxa"/>
          <w:right w:w="28" w:type="dxa"/>
        </w:tblCellMar>
      </w:tblPr>
      <w:tblGrid>
        <w:gridCol w:w="1382"/>
        <w:gridCol w:w="1219"/>
        <w:gridCol w:w="1223"/>
        <w:gridCol w:w="215"/>
        <w:gridCol w:w="956"/>
        <w:gridCol w:w="119"/>
        <w:gridCol w:w="109"/>
        <w:gridCol w:w="109"/>
        <w:gridCol w:w="109"/>
        <w:gridCol w:w="257"/>
        <w:gridCol w:w="1145"/>
        <w:gridCol w:w="143"/>
        <w:gridCol w:w="109"/>
        <w:gridCol w:w="109"/>
        <w:gridCol w:w="109"/>
        <w:gridCol w:w="215"/>
        <w:gridCol w:w="956"/>
        <w:gridCol w:w="119"/>
        <w:gridCol w:w="109"/>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752" w:type="dxa"/>
            <w:gridSpan w:val="14"/>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Tangible equity</w:t>
            </w:r>
            <w:r>
              <w:rPr>
                <w:rFonts w:ascii="Times New Roman;sans-serif" w:hAnsi="Times New Roman;sans-serif"/>
                <w:b w:val="false"/>
                <w:color w:val="000000"/>
                <w:sz w:val="12"/>
              </w:rPr>
              <w:t>(1)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512,569 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4,558,060 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4,595,430 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4,684,011 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goodwill, core deposit intangibles, net of taxes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tangible assets</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4,519,267 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4,556,241 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4,643,511 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813" w:type="dxa"/>
        <w:jc w:val="left"/>
        <w:tblInd w:w="0" w:type="dxa"/>
        <w:tblLayout w:type="fixed"/>
        <w:tblCellMar>
          <w:top w:w="28" w:type="dxa"/>
          <w:left w:w="28" w:type="dxa"/>
          <w:bottom w:w="28" w:type="dxa"/>
          <w:right w:w="28" w:type="dxa"/>
        </w:tblCellMar>
      </w:tblPr>
      <w:tblGrid>
        <w:gridCol w:w="889"/>
        <w:gridCol w:w="782"/>
        <w:gridCol w:w="789"/>
        <w:gridCol w:w="278"/>
        <w:gridCol w:w="278"/>
        <w:gridCol w:w="256"/>
        <w:gridCol w:w="109"/>
        <w:gridCol w:w="109"/>
        <w:gridCol w:w="109"/>
        <w:gridCol w:w="278"/>
        <w:gridCol w:w="278"/>
        <w:gridCol w:w="256"/>
        <w:gridCol w:w="109"/>
        <w:gridCol w:w="109"/>
        <w:gridCol w:w="109"/>
        <w:gridCol w:w="278"/>
        <w:gridCol w:w="278"/>
        <w:gridCol w:w="256"/>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Tangible equity to tangible assets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(1)Tangible equity (or tangible book value) is equal to total stockholders' equity less goodwill and core deposit intangibles, net of related deferred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Comparison of Results of Operations for the Three Months Ended March 31, 2025 and December 31, 2024</w:t>
      </w:r>
    </w:p>
    <w:p>
      <w:pPr>
        <w:pStyle w:val="TextBody"/>
        <w:bidi w:val="0"/>
        <w:spacing w:lineRule="auto" w:line="288" w:before="0" w:after="80"/>
        <w:jc w:val="both"/>
        <w:rPr/>
      </w:pPr>
      <w:r>
        <w:rPr>
          <w:rFonts w:ascii="Times New Roman;sans-serif" w:hAnsi="Times New Roman;sans-serif"/>
          <w:b/>
          <w:i/>
          <w:color w:val="000000"/>
          <w:sz w:val="18"/>
        </w:rPr>
        <w:t>Net Income.</w:t>
      </w:r>
      <w:r>
        <w:rPr>
          <w:color w:val="000000"/>
        </w:rPr>
        <w:t>  </w:t>
      </w:r>
      <w:r>
        <w:rPr>
          <w:rFonts w:ascii="Times New Roman;sans-serif" w:hAnsi="Times New Roman;sans-serif"/>
          <w:b w:val="false"/>
          <w:color w:val="000000"/>
          <w:sz w:val="18"/>
        </w:rPr>
        <w:t>Net income totaled $14.5 million, or $0.84 per diluted share, for the three months ended March 31, 2025 compared to $14.2 million, or $0.83 per diluted share, for the three months ended December 31, 2024, an increase of $331,000, or 2.3%. Results for the three months ended March 31, 2025 benefited from a $3.0 million decrease in noninterest expense, partially offset by a $2.4 million increase in the provision for credit losses. Details of the changes in the various components of net income are further discussed below.</w:t>
      </w:r>
    </w:p>
    <w:p>
      <w:pPr>
        <w:pStyle w:val="TextBody"/>
        <w:bidi w:val="0"/>
        <w:spacing w:lineRule="auto" w:line="288" w:before="0" w:after="0"/>
        <w:jc w:val="both"/>
        <w:rPr/>
      </w:pPr>
      <w:r>
        <w:rPr>
          <w:rFonts w:ascii="Times New Roman;sans-serif" w:hAnsi="Times New Roman;sans-serif"/>
          <w:b/>
          <w:i/>
          <w:color w:val="000000"/>
          <w:sz w:val="18"/>
        </w:rPr>
        <w:t>Net Interest Income.</w:t>
      </w:r>
      <w:r>
        <w:rPr>
          <w:color w:val="000000"/>
        </w:rPr>
        <w:t>  </w:t>
      </w:r>
      <w:r>
        <w:rPr>
          <w:rFonts w:ascii="Times New Roman;sans-serif" w:hAnsi="Times New Roman;sans-serif"/>
          <w:b w:val="false"/>
          <w:color w:val="000000"/>
          <w:sz w:val="18"/>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W w:w="10205" w:type="dxa"/>
        <w:jc w:val="right"/>
        <w:tblInd w:w="0" w:type="dxa"/>
        <w:tblLayout w:type="fixed"/>
        <w:tblCellMar>
          <w:top w:w="28" w:type="dxa"/>
          <w:left w:w="28" w:type="dxa"/>
          <w:bottom w:w="28" w:type="dxa"/>
          <w:right w:w="28" w:type="dxa"/>
        </w:tblCellMar>
      </w:tblPr>
      <w:tblGrid>
        <w:gridCol w:w="1200"/>
        <w:gridCol w:w="748"/>
        <w:gridCol w:w="700"/>
        <w:gridCol w:w="390"/>
        <w:gridCol w:w="256"/>
        <w:gridCol w:w="580"/>
        <w:gridCol w:w="109"/>
        <w:gridCol w:w="109"/>
        <w:gridCol w:w="109"/>
        <w:gridCol w:w="196"/>
        <w:gridCol w:w="646"/>
        <w:gridCol w:w="109"/>
        <w:gridCol w:w="109"/>
        <w:gridCol w:w="109"/>
        <w:gridCol w:w="109"/>
        <w:gridCol w:w="233"/>
        <w:gridCol w:w="233"/>
        <w:gridCol w:w="292"/>
        <w:gridCol w:w="109"/>
        <w:gridCol w:w="109"/>
        <w:gridCol w:w="109"/>
        <w:gridCol w:w="390"/>
        <w:gridCol w:w="256"/>
        <w:gridCol w:w="580"/>
        <w:gridCol w:w="109"/>
        <w:gridCol w:w="109"/>
        <w:gridCol w:w="109"/>
        <w:gridCol w:w="196"/>
        <w:gridCol w:w="646"/>
        <w:gridCol w:w="109"/>
        <w:gridCol w:w="109"/>
        <w:gridCol w:w="109"/>
        <w:gridCol w:w="109"/>
        <w:gridCol w:w="233"/>
        <w:gridCol w:w="233"/>
        <w:gridCol w:w="344"/>
      </w:tblGrid>
      <w:tr>
        <w:trPr/>
        <w:tc>
          <w:tcPr>
            <w:tcW w:w="120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Yield /</w:t>
              <w:br/>
              <w:t>Rate</w:t>
            </w:r>
          </w:p>
        </w:tc>
      </w:tr>
      <w:tr>
        <w:trPr/>
        <w:tc>
          <w:tcPr>
            <w:tcW w:w="26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6331" w:type="dxa"/>
            <w:gridSpan w:val="30"/>
            <w:tcBorders/>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Interest-earning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Loans receivable</w:t>
            </w:r>
            <w:r>
              <w:rPr>
                <w:rFonts w:ascii="Times New Roman;sans-serif" w:hAnsi="Times New Roman;sans-serif"/>
                <w:b w:val="false"/>
                <w:color w:val="000000"/>
                <w:sz w:val="12"/>
              </w:rPr>
              <w:t>(1)</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interest-earning assets</w:t>
            </w:r>
            <w:r>
              <w:rPr>
                <w:rFonts w:ascii="Times New Roman;sans-serif" w:hAnsi="Times New Roman;sans-serif"/>
                <w:b w:val="false"/>
                <w:color w:val="000000"/>
                <w:sz w:val="12"/>
              </w:rPr>
              <w:t>(2)</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interest-earning assets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4,197,862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4,427,045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4,461,612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checking accounts</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interest-bearing deposits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interest-bearing liabilities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deposits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4,427,045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4,461,612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 assets</w:t>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interest-earning assets to average interest-bearing liabilities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135.25 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134.81 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Non-tax-equivalent</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interest margin</w:t>
            </w:r>
            <w:r>
              <w:rPr>
                <w:rFonts w:ascii="Times New Roman;sans-serif" w:hAnsi="Times New Roman;sans-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Tax-equivalent</w:t>
            </w:r>
            <w:r>
              <w:rPr>
                <w:rFonts w:ascii="Times New Roman;sans-serif" w:hAnsi="Times New Roman;sans-serif"/>
                <w:b w:val="false"/>
                <w:color w:val="000000"/>
                <w:sz w:val="12"/>
              </w:rPr>
              <w:t>(4)</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interest margin</w:t>
            </w:r>
            <w:r>
              <w:rPr>
                <w:rFonts w:ascii="Times New Roman;sans-serif" w:hAnsi="Times New Roman;sans-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6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(1)Average loans receivable balances include loans held for sale and nonaccruing loans.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(2)Average other interest-earning assets consist of FRB stock, FHLB stock, SBIC investments and deposits in other banks.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(3)Net interest income divided by average interest-earning assets.</w:t>
      </w:r>
    </w:p>
    <w:p>
      <w:pPr>
        <w:pStyle w:val="TextBody"/>
        <w:bidi w:val="0"/>
        <w:spacing w:lineRule="auto" w:line="288" w:before="0" w:after="80"/>
        <w:ind w:left="0" w:right="0" w:hanging="270"/>
        <w:jc w:val="both"/>
        <w:rPr/>
      </w:pPr>
      <w:r>
        <w:rPr>
          <w:rFonts w:ascii="Times New Roman;sans-serif" w:hAnsi="Times New Roman;sans-serif"/>
          <w:b w:val="false"/>
          <w:color w:val="000000"/>
          <w:sz w:val="16"/>
          <w:shd w:fill="FFFFFF" w:val="clear"/>
        </w:rPr>
        <w:t>(4)</w:t>
      </w:r>
      <w:r>
        <w:rPr>
          <w:rFonts w:ascii="Times New Roman;sans-serif" w:hAnsi="Times New Roman;sans-serif"/>
          <w:b w:val="false"/>
          <w:color w:val="000000"/>
          <w:sz w:val="16"/>
        </w:rPr>
        <w:t>Tax-equivalent results include adjustments to interest income of $418 and $389 for the three months ended March 31, 2025 and December 31, 2024, respectively, calculated based on a combined federal and state tax rate of 24%.</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Total interest and dividend income for the three months ended March 31, 2025 decreased $2.6 million, or 3.9%, compared to the three months ended December 31, 2024, which was driven by a $3.6 million, or 5.8%, decrease in loan interest income primarily due to a decline in the average balance, a decrease in accretion income on acquired loans of $881,000, or 73.3%, and fewer days in the current quarter. In addition, income on SBIC investments increased $452,000, or 54.0%, due to investment appreciation.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Total interest expense for the three months ended March 31, 2025 decreased $2.3 million, or 9.9%, compared to the three months ended December 31, 2024. The decrease was the result of a decline in the average balance of certificate accounts, specifically brokered deposits, a decline in the average cost of funds across funding categories, and fewer days in the current quarter.</w:t>
      </w:r>
    </w:p>
    <w:p>
      <w:pPr>
        <w:pStyle w:val="TextBody"/>
        <w:bidi w:val="0"/>
        <w:spacing w:lineRule="auto" w:line="288" w:before="0" w:after="4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the effects that changes in average balances (volume), including the difference in the number of days in the periods compared, and average interest rates (rate) had on the interest earned on interest-earning assets and interest paid on interest-bearing liabilities:</w:t>
      </w:r>
    </w:p>
    <w:tbl>
      <w:tblPr>
        <w:tblW w:w="6071" w:type="dxa"/>
        <w:jc w:val="left"/>
        <w:tblInd w:w="0" w:type="dxa"/>
        <w:tblLayout w:type="fixed"/>
        <w:tblCellMar>
          <w:top w:w="28" w:type="dxa"/>
          <w:left w:w="28" w:type="dxa"/>
          <w:bottom w:w="28" w:type="dxa"/>
          <w:right w:w="28" w:type="dxa"/>
        </w:tblCellMar>
      </w:tblPr>
      <w:tblGrid>
        <w:gridCol w:w="926"/>
        <w:gridCol w:w="817"/>
        <w:gridCol w:w="821"/>
        <w:gridCol w:w="196"/>
        <w:gridCol w:w="631"/>
        <w:gridCol w:w="109"/>
        <w:gridCol w:w="109"/>
        <w:gridCol w:w="109"/>
        <w:gridCol w:w="109"/>
        <w:gridCol w:w="196"/>
        <w:gridCol w:w="631"/>
        <w:gridCol w:w="109"/>
        <w:gridCol w:w="109"/>
        <w:gridCol w:w="109"/>
        <w:gridCol w:w="109"/>
        <w:gridCol w:w="196"/>
        <w:gridCol w:w="631"/>
        <w:gridCol w:w="154"/>
      </w:tblGrid>
      <w:tr>
        <w:trPr/>
        <w:tc>
          <w:tcPr>
            <w:tcW w:w="9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 (Decrease)</w:t>
              <w:br/>
              <w:t>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Increase /</w:t>
              <w:br/>
              <w:t>(Decrease)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Interest-earning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interest-earning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interest-earning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Interest-bearing liabilities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checking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interest-bearing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Decrease in net interest income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ans-serif" w:hAnsi="Times New Roman;sans-serif"/>
          <w:b/>
          <w:i/>
          <w:color w:val="000000"/>
          <w:sz w:val="18"/>
        </w:rPr>
        <w:t>Provision for Credit Losses.</w:t>
      </w:r>
      <w:r>
        <w:rPr>
          <w:color w:val="000000"/>
        </w:rPr>
        <w:t>  </w:t>
      </w:r>
      <w:r>
        <w:rPr>
          <w:rFonts w:ascii="Times New Roman;sans-serif" w:hAnsi="Times New Roman;sans-serif"/>
          <w:b w:val="false"/>
          <w:color w:val="000000"/>
          <w:sz w:val="18"/>
          <w:shd w:fill="FFFFFF" w:val="clear"/>
        </w:rPr>
        <w:t>The provision for credit losses is the amount of expense that, based on our judgment, is required to maintain the ACL at an appropriate level under the current expected credit losses model.</w:t>
      </w:r>
    </w:p>
    <w:p>
      <w:pPr>
        <w:pStyle w:val="TextBody"/>
        <w:bidi w:val="0"/>
        <w:spacing w:lineRule="auto" w:line="288" w:before="0" w:after="40"/>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The following table presents a breakdown of the components of the provision for credit losses:</w:t>
      </w:r>
    </w:p>
    <w:tbl>
      <w:tblPr>
        <w:tblW w:w="8874" w:type="dxa"/>
        <w:jc w:val="left"/>
        <w:tblInd w:w="0" w:type="dxa"/>
        <w:tblLayout w:type="fixed"/>
        <w:tblCellMar>
          <w:top w:w="28" w:type="dxa"/>
          <w:left w:w="28" w:type="dxa"/>
          <w:bottom w:w="28" w:type="dxa"/>
          <w:right w:w="28" w:type="dxa"/>
        </w:tblCellMar>
      </w:tblPr>
      <w:tblGrid>
        <w:gridCol w:w="1160"/>
        <w:gridCol w:w="1024"/>
        <w:gridCol w:w="1026"/>
        <w:gridCol w:w="293"/>
        <w:gridCol w:w="833"/>
        <w:gridCol w:w="163"/>
        <w:gridCol w:w="109"/>
        <w:gridCol w:w="109"/>
        <w:gridCol w:w="109"/>
        <w:gridCol w:w="408"/>
        <w:gridCol w:w="908"/>
        <w:gridCol w:w="228"/>
        <w:gridCol w:w="109"/>
        <w:gridCol w:w="109"/>
        <w:gridCol w:w="109"/>
        <w:gridCol w:w="196"/>
        <w:gridCol w:w="556"/>
        <w:gridCol w:w="109"/>
        <w:gridCol w:w="109"/>
        <w:gridCol w:w="109"/>
        <w:gridCol w:w="109"/>
        <w:gridCol w:w="210"/>
        <w:gridCol w:w="211"/>
        <w:gridCol w:w="568"/>
      </w:tblGrid>
      <w:tr>
        <w:trPr/>
        <w:tc>
          <w:tcPr>
            <w:tcW w:w="116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Off-balance-sheet credit exposure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provision (benefit) for credit losses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40"/>
        <w:jc w:val="both"/>
        <w:rPr/>
      </w:pPr>
      <w:r>
        <w:rPr>
          <w:rFonts w:ascii="Times New Roman;sans-serif" w:hAnsi="Times New Roman;sans-serif"/>
          <w:b w:val="false"/>
          <w:color w:val="000000"/>
          <w:sz w:val="18"/>
          <w:shd w:fill="FFFFFF" w:val="clear"/>
        </w:rPr>
        <w:t xml:space="preserve">For the quarter ended </w:t>
      </w:r>
      <w:r>
        <w:rPr>
          <w:rFonts w:ascii="Times New Roman;sans-serif" w:hAnsi="Times New Roman;sans-serif"/>
          <w:b w:val="false"/>
          <w:color w:val="000000"/>
          <w:sz w:val="18"/>
        </w:rPr>
        <w:t>March 31, 2025</w:t>
      </w:r>
      <w:r>
        <w:rPr>
          <w:rFonts w:ascii="Times New Roman;sans-serif" w:hAnsi="Times New Roman;sans-serif"/>
          <w:b w:val="false"/>
          <w:color w:val="000000"/>
          <w:sz w:val="18"/>
          <w:shd w:fill="FFFFFF" w:val="clear"/>
        </w:rPr>
        <w:t>, the "loans" portion of the provision for credit losses was the result of the following, offset by net charge-offs of $1.3 million during the quarter:</w:t>
      </w:r>
    </w:p>
    <w:p>
      <w:pPr>
        <w:pStyle w:val="TextBody"/>
        <w:bidi w:val="0"/>
        <w:spacing w:lineRule="auto" w:line="288" w:before="0" w:after="0"/>
        <w:ind w:left="0" w:right="0" w:hanging="270"/>
        <w:jc w:val="both"/>
        <w:rPr/>
      </w:pPr>
      <w:r>
        <w:rPr>
          <w:color w:val="000000"/>
          <w:shd w:fill="FFFFFF" w:val="clear"/>
        </w:rPr>
        <w:t>•</w:t>
      </w:r>
      <w:r>
        <w:rPr>
          <w:rFonts w:ascii="Times New Roman;sans-serif" w:hAnsi="Times New Roman;sans-serif"/>
          <w:b w:val="false"/>
          <w:color w:val="000000"/>
          <w:sz w:val="18"/>
          <w:shd w:fill="FFFFFF" w:val="clear"/>
        </w:rPr>
        <w:t>$0.6 million benefit driven by changes in the loan mix.</w:t>
      </w:r>
    </w:p>
    <w:p>
      <w:pPr>
        <w:pStyle w:val="TextBody"/>
        <w:bidi w:val="0"/>
        <w:spacing w:lineRule="auto" w:line="288" w:before="0" w:after="0"/>
        <w:ind w:left="0" w:right="0" w:hanging="270"/>
        <w:jc w:val="both"/>
        <w:rPr/>
      </w:pPr>
      <w:r>
        <w:rPr>
          <w:color w:val="000000"/>
          <w:shd w:fill="FFFFFF" w:val="clear"/>
        </w:rPr>
        <w:t>•</w:t>
      </w:r>
      <w:r>
        <w:rPr>
          <w:rFonts w:ascii="Times New Roman;sans-serif" w:hAnsi="Times New Roman;sans-serif"/>
          <w:b w:val="false"/>
          <w:color w:val="000000"/>
          <w:sz w:val="18"/>
          <w:shd w:fill="FFFFFF" w:val="clear"/>
        </w:rPr>
        <w:t xml:space="preserve">The slight improvement in the projected economic forecast, specifically the national unemployment rate, was offset by changes in qualitative adjustments. </w:t>
      </w:r>
      <w:r>
        <w:rPr>
          <w:rFonts w:ascii="Times New Roman;sans-serif" w:hAnsi="Times New Roman;sans-serif"/>
          <w:b w:val="false"/>
          <w:color w:val="000000"/>
          <w:sz w:val="18"/>
        </w:rPr>
        <w:t>Of note, we retained the</w:t>
      </w:r>
      <w:r>
        <w:rPr>
          <w:color w:val="000000"/>
          <w:shd w:fill="FFFFFF" w:val="clear"/>
        </w:rPr>
        <w:t xml:space="preserve"> </w:t>
      </w:r>
      <w:r>
        <w:rPr>
          <w:rFonts w:ascii="Times New Roman;sans-serif" w:hAnsi="Times New Roman;sans-serif"/>
          <w:b w:val="false"/>
          <w:color w:val="000000"/>
          <w:sz w:val="18"/>
          <w:shd w:fill="FFFFFF" w:val="clear"/>
        </w:rPr>
        <w:t>$2.2 million qualitative allocation for the potential impact of Hurricane Helene upon our loan portfolio established in the quarter ended September 30, 2024.</w:t>
      </w:r>
    </w:p>
    <w:p>
      <w:pPr>
        <w:pStyle w:val="TextBody"/>
        <w:bidi w:val="0"/>
        <w:spacing w:lineRule="auto" w:line="288" w:before="0" w:after="80"/>
        <w:ind w:left="0" w:right="0" w:hanging="270"/>
        <w:jc w:val="both"/>
        <w:rPr/>
      </w:pPr>
      <w:r>
        <w:rPr>
          <w:color w:val="000000"/>
          <w:shd w:fill="FFFFFF" w:val="clear"/>
        </w:rPr>
        <w:t>•</w:t>
      </w:r>
      <w:r>
        <w:rPr>
          <w:rFonts w:ascii="Times New Roman;sans-serif" w:hAnsi="Times New Roman;sans-serif"/>
          <w:b w:val="false"/>
          <w:color w:val="000000"/>
          <w:sz w:val="18"/>
          <w:shd w:fill="FFFFFF" w:val="clear"/>
        </w:rPr>
        <w:t>$0.1 million increase in specific reserves on individually evaluated loans.</w:t>
      </w:r>
    </w:p>
    <w:p>
      <w:pPr>
        <w:pStyle w:val="TextBody"/>
        <w:bidi w:val="0"/>
        <w:spacing w:lineRule="auto" w:line="288" w:before="0" w:after="40"/>
        <w:jc w:val="both"/>
        <w:rPr/>
      </w:pPr>
      <w:r>
        <w:rPr>
          <w:rFonts w:ascii="Times New Roman;sans-serif" w:hAnsi="Times New Roman;sans-serif"/>
          <w:b w:val="false"/>
          <w:color w:val="000000"/>
          <w:sz w:val="18"/>
          <w:shd w:fill="FFFFFF" w:val="clear"/>
        </w:rPr>
        <w:t xml:space="preserve">For the quarter ended </w:t>
      </w:r>
      <w:r>
        <w:rPr>
          <w:rFonts w:ascii="Times New Roman;sans-serif" w:hAnsi="Times New Roman;sans-serif"/>
          <w:b w:val="false"/>
          <w:color w:val="000000"/>
          <w:sz w:val="18"/>
        </w:rPr>
        <w:t>December 31, 2024</w:t>
      </w:r>
      <w:r>
        <w:rPr>
          <w:rFonts w:ascii="Times New Roman;sans-serif" w:hAnsi="Times New Roman;sans-serif"/>
          <w:b w:val="false"/>
          <w:color w:val="000000"/>
          <w:sz w:val="18"/>
          <w:shd w:fill="FFFFFF" w:val="clear"/>
        </w:rPr>
        <w:t>, the "loans" portion of the provision for credit losses was the result of the following, offset by net charge-offs of $1.9 million during the quarter:</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$1.3 million benefit driven by changes in the loan mix and a $50.6 million decrease in the loan portfolio.</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18"/>
        </w:rPr>
        <w:t>$0.7 million benefit due to changes in the projected economic forecast, specifically the national unemployment rate, and changes in qualitative adjustments. Of note, we retained the $2.2 million qualitative allocation for the potential impact of Hurricane Helene upon our loan portfolio established in the prior quarter.</w:t>
      </w:r>
    </w:p>
    <w:p>
      <w:pPr>
        <w:pStyle w:val="TextBody"/>
        <w:bidi w:val="0"/>
        <w:spacing w:lineRule="auto" w:line="288" w:before="0" w:after="80"/>
        <w:ind w:left="0" w:right="0" w:hanging="270"/>
        <w:jc w:val="both"/>
        <w:rPr/>
      </w:pPr>
      <w:r>
        <w:rPr>
          <w:color w:val="000000"/>
        </w:rPr>
        <w:t>•</w:t>
      </w:r>
      <w:r>
        <w:rPr>
          <w:rFonts w:ascii="Times New Roman;sans-serif" w:hAnsi="Times New Roman;sans-serif"/>
          <w:b w:val="false"/>
          <w:color w:val="000000"/>
          <w:sz w:val="18"/>
        </w:rPr>
        <w:t>$0.9 million decrease in specific reserves on individually evaluated credits.</w:t>
      </w:r>
    </w:p>
    <w:p>
      <w:pPr>
        <w:pStyle w:val="TextBody"/>
        <w:bidi w:val="0"/>
        <w:spacing w:lineRule="auto" w:line="288" w:before="0" w:after="80"/>
        <w:jc w:val="both"/>
        <w:rPr/>
      </w:pPr>
      <w:r>
        <w:rPr>
          <w:rFonts w:ascii="Times New Roman;sans-serif" w:hAnsi="Times New Roman;sans-serif"/>
          <w:b w:val="false"/>
          <w:color w:val="000000"/>
          <w:sz w:val="18"/>
          <w:shd w:fill="FFFFFF" w:val="clear"/>
        </w:rPr>
        <w:t xml:space="preserve">For the quarter ended </w:t>
      </w:r>
      <w:r>
        <w:rPr>
          <w:rFonts w:ascii="Times New Roman;sans-serif" w:hAnsi="Times New Roman;sans-serif"/>
          <w:b w:val="false"/>
          <w:color w:val="000000"/>
          <w:sz w:val="18"/>
        </w:rPr>
        <w:t>March 31, 2025</w:t>
      </w:r>
      <w:r>
        <w:rPr>
          <w:rFonts w:ascii="Times New Roman;sans-serif" w:hAnsi="Times New Roman;sans-serif"/>
          <w:b w:val="false"/>
          <w:color w:val="000000"/>
          <w:sz w:val="18"/>
          <w:shd w:fill="FFFFFF" w:val="clear"/>
        </w:rPr>
        <w:t xml:space="preserve">, the amount recorded for off-balance-sheet credit exposure was the result of an increase in the balance of loan commitments and changes in the loan mix and projected economic forecast as outlined above. For the quarter ended </w:t>
      </w:r>
      <w:r>
        <w:rPr>
          <w:rFonts w:ascii="Times New Roman;sans-serif" w:hAnsi="Times New Roman;sans-serif"/>
          <w:b w:val="false"/>
          <w:color w:val="000000"/>
          <w:sz w:val="18"/>
        </w:rPr>
        <w:t>December 31, 2024</w:t>
      </w:r>
      <w:r>
        <w:rPr>
          <w:rFonts w:ascii="Times New Roman;sans-serif" w:hAnsi="Times New Roman;sans-serif"/>
          <w:b w:val="false"/>
          <w:color w:val="000000"/>
          <w:sz w:val="18"/>
          <w:shd w:fill="FFFFFF" w:val="clear"/>
        </w:rPr>
        <w:t>, the amount recorded for off-balance-sheet credit exposure was the result of a decrease in the balance of loan commitments and changes in the loan mix and projected economic forecast as outlined above.</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18"/>
        </w:rPr>
        <w:t>Noninterest Income.</w:t>
      </w:r>
      <w:r>
        <w:rPr>
          <w:color w:val="000000"/>
        </w:rPr>
        <w:t>  </w:t>
      </w:r>
      <w:r>
        <w:rPr>
          <w:rFonts w:ascii="Times New Roman;sans-serif" w:hAnsi="Times New Roman;sans-serif"/>
          <w:b w:val="false"/>
          <w:color w:val="000000"/>
          <w:sz w:val="18"/>
        </w:rPr>
        <w:t>Noninterest income for the three months ended March 31, 2025</w:t>
      </w:r>
      <w:r>
        <w:rPr>
          <w:color w:val="EE2724"/>
        </w:rPr>
        <w:t xml:space="preserve"> </w:t>
      </w:r>
      <w:r>
        <w:rPr>
          <w:rFonts w:ascii="Times New Roman;sans-serif" w:hAnsi="Times New Roman;sans-serif"/>
          <w:b w:val="false"/>
          <w:color w:val="000000"/>
          <w:sz w:val="18"/>
        </w:rPr>
        <w:t>decreased $216,000, or 2.6%, when compared to the quarter ended December 31, 2024. Changes in the components of noninterest income are discussed below:</w:t>
      </w:r>
    </w:p>
    <w:tbl>
      <w:tblPr>
        <w:tblW w:w="8933" w:type="dxa"/>
        <w:jc w:val="left"/>
        <w:tblInd w:w="0" w:type="dxa"/>
        <w:tblLayout w:type="fixed"/>
        <w:tblCellMar>
          <w:top w:w="28" w:type="dxa"/>
          <w:left w:w="28" w:type="dxa"/>
          <w:bottom w:w="28" w:type="dxa"/>
          <w:right w:w="28" w:type="dxa"/>
        </w:tblCellMar>
      </w:tblPr>
      <w:tblGrid>
        <w:gridCol w:w="1192"/>
        <w:gridCol w:w="1052"/>
        <w:gridCol w:w="1055"/>
        <w:gridCol w:w="293"/>
        <w:gridCol w:w="833"/>
        <w:gridCol w:w="163"/>
        <w:gridCol w:w="109"/>
        <w:gridCol w:w="109"/>
        <w:gridCol w:w="109"/>
        <w:gridCol w:w="351"/>
        <w:gridCol w:w="997"/>
        <w:gridCol w:w="197"/>
        <w:gridCol w:w="109"/>
        <w:gridCol w:w="109"/>
        <w:gridCol w:w="109"/>
        <w:gridCol w:w="222"/>
        <w:gridCol w:w="496"/>
        <w:gridCol w:w="125"/>
        <w:gridCol w:w="109"/>
        <w:gridCol w:w="109"/>
        <w:gridCol w:w="109"/>
        <w:gridCol w:w="204"/>
        <w:gridCol w:w="204"/>
        <w:gridCol w:w="568"/>
      </w:tblGrid>
      <w:tr>
        <w:trPr/>
        <w:tc>
          <w:tcPr>
            <w:tcW w:w="119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charges and fees on deposit accounts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income and fees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held for sale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 income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noninterest income</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shd w:fill="FFFFFF" w:val="clear"/>
        </w:rPr>
        <w:t>•</w:t>
      </w:r>
      <w:r>
        <w:rPr>
          <w:rFonts w:ascii="Times New Roman;sans-serif" w:hAnsi="Times New Roman;sans-serif"/>
          <w:b w:val="false"/>
          <w:i/>
          <w:color w:val="000000"/>
          <w:sz w:val="18"/>
        </w:rPr>
        <w:t>Gain on sale of loans held for sale:</w:t>
      </w:r>
      <w:r>
        <w:rPr>
          <w:color w:val="000000"/>
        </w:rPr>
        <w:t xml:space="preserve"> </w:t>
      </w:r>
      <w:r>
        <w:rPr>
          <w:rFonts w:ascii="Times New Roman;sans-serif" w:hAnsi="Times New Roman;sans-serif"/>
          <w:b w:val="false"/>
          <w:color w:val="000000"/>
          <w:sz w:val="18"/>
          <w:shd w:fill="FFFFFF" w:val="clear"/>
        </w:rPr>
        <w:t>The increase was primarily driven by HELOCs sold during the period. There were $89.4 million of HELOCs originated for sale which were sold during the current quarter with gains of $1.1 million compared to no sales in the prior quarter. There were $18.8 million of residential mortgage loans sold for a gain of $473,000 during the current quarter compared to $23.8 million sold with gains of $269,000 in the prior quarter. There were $4.6 million in sales of the guaranteed portion of SBA commercial loans with gains of $366,000 for the current quarter compared to $10.2 million sold and gains of $733,000 for the prior quarter. Our hedging of mandatory commitments on the residential mortgage loan pipeline resulted in a gain of $13,000 for the current quarter compared to a gain of $66,000 for the prior quarter.</w:t>
      </w:r>
    </w:p>
    <w:p>
      <w:pPr>
        <w:pStyle w:val="TextBody"/>
        <w:bidi w:val="0"/>
        <w:spacing w:lineRule="auto" w:line="288" w:before="0" w:after="80"/>
        <w:ind w:left="0" w:right="0" w:hanging="270"/>
        <w:jc w:val="both"/>
        <w:rPr/>
      </w:pPr>
      <w:r>
        <w:rPr>
          <w:color w:val="000000"/>
          <w:shd w:fill="FFFFFF" w:val="clear"/>
        </w:rPr>
        <w:t>•</w:t>
      </w:r>
      <w:r>
        <w:rPr>
          <w:rFonts w:ascii="Times New Roman;sans-serif" w:hAnsi="Times New Roman;sans-serif"/>
          <w:b w:val="false"/>
          <w:i/>
          <w:color w:val="000000"/>
          <w:sz w:val="18"/>
          <w:shd w:fill="FFFFFF" w:val="clear"/>
        </w:rPr>
        <w:t>Operating lease income:</w:t>
      </w:r>
      <w:r>
        <w:rPr>
          <w:color w:val="000000"/>
          <w:shd w:fill="FFFFFF" w:val="clear"/>
        </w:rPr>
        <w:t xml:space="preserve"> </w:t>
      </w:r>
      <w:r>
        <w:rPr>
          <w:rFonts w:ascii="Times New Roman;sans-serif" w:hAnsi="Times New Roman;sans-serif"/>
          <w:b w:val="false"/>
          <w:color w:val="000000"/>
          <w:sz w:val="18"/>
          <w:shd w:fill="FFFFFF" w:val="clear"/>
        </w:rPr>
        <w:t>The decrease was primarily the result of a $306,000 increase in losses incurred on the sale of, and a $529,000 increase in the valuation allowance against, previously leased equipment.</w:t>
      </w:r>
    </w:p>
    <w:p>
      <w:pPr>
        <w:pStyle w:val="TextBody"/>
        <w:bidi w:val="0"/>
        <w:spacing w:lineRule="auto" w:line="288" w:before="0" w:after="0"/>
        <w:jc w:val="both"/>
        <w:rPr/>
      </w:pPr>
      <w:r>
        <w:rPr>
          <w:rFonts w:ascii="Times New Roman;sans-serif" w:hAnsi="Times New Roman;sans-serif"/>
          <w:b/>
          <w:i/>
          <w:color w:val="000000"/>
          <w:sz w:val="18"/>
        </w:rPr>
        <w:t>Noninterest Expense.</w:t>
      </w:r>
      <w:r>
        <w:rPr>
          <w:color w:val="000000"/>
        </w:rPr>
        <w:t>  </w:t>
      </w:r>
      <w:r>
        <w:rPr>
          <w:rFonts w:ascii="Times New Roman;sans-serif" w:hAnsi="Times New Roman;sans-serif"/>
          <w:b w:val="false"/>
          <w:color w:val="000000"/>
          <w:sz w:val="18"/>
        </w:rPr>
        <w:t>Noninterest expense for the three months ended March 31, 2025 decreased $3.0 million, or 9.0%, when compared to the three months ended December 31, 2024. Changes in the components of noninterest expense are discussed below:</w:t>
      </w:r>
    </w:p>
    <w:tbl>
      <w:tblPr>
        <w:tblW w:w="8544" w:type="dxa"/>
        <w:jc w:val="left"/>
        <w:tblInd w:w="0" w:type="dxa"/>
        <w:tblLayout w:type="fixed"/>
        <w:tblCellMar>
          <w:top w:w="28" w:type="dxa"/>
          <w:left w:w="28" w:type="dxa"/>
          <w:bottom w:w="28" w:type="dxa"/>
          <w:right w:w="28" w:type="dxa"/>
        </w:tblCellMar>
      </w:tblPr>
      <w:tblGrid>
        <w:gridCol w:w="986"/>
        <w:gridCol w:w="870"/>
        <w:gridCol w:w="873"/>
        <w:gridCol w:w="266"/>
        <w:gridCol w:w="876"/>
        <w:gridCol w:w="147"/>
        <w:gridCol w:w="109"/>
        <w:gridCol w:w="109"/>
        <w:gridCol w:w="109"/>
        <w:gridCol w:w="318"/>
        <w:gridCol w:w="1050"/>
        <w:gridCol w:w="177"/>
        <w:gridCol w:w="109"/>
        <w:gridCol w:w="109"/>
        <w:gridCol w:w="109"/>
        <w:gridCol w:w="196"/>
        <w:gridCol w:w="631"/>
        <w:gridCol w:w="109"/>
        <w:gridCol w:w="109"/>
        <w:gridCol w:w="109"/>
        <w:gridCol w:w="109"/>
        <w:gridCol w:w="248"/>
        <w:gridCol w:w="248"/>
        <w:gridCol w:w="568"/>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expense,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services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depreciation expense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Telephone, postage and supplies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advertising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 insurance premiums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 amortization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renewal consulting fee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noninterest expense</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rPr>
        <w:t>•</w:t>
      </w:r>
      <w:r>
        <w:rPr>
          <w:rFonts w:ascii="Times New Roman;sans-serif" w:hAnsi="Times New Roman;sans-serif"/>
          <w:b w:val="false"/>
          <w:i/>
          <w:color w:val="000000"/>
          <w:sz w:val="18"/>
        </w:rPr>
        <w:t>Computer services:</w:t>
      </w:r>
      <w:r>
        <w:rPr>
          <w:color w:val="000000"/>
        </w:rPr>
        <w:t xml:space="preserve"> </w:t>
      </w:r>
      <w:r>
        <w:rPr>
          <w:rFonts w:ascii="Times New Roman;sans-serif" w:hAnsi="Times New Roman;sans-serif"/>
          <w:b w:val="false"/>
          <w:color w:val="000000"/>
          <w:sz w:val="18"/>
        </w:rPr>
        <w:t>As noted below, in the prior quarter we finalized the multiyear renewal of our largest core processing contract. The decrease in expense quarter-over-quarter is a reflection of the improved vendor pricing negotiated through this effort.</w:t>
      </w:r>
    </w:p>
    <w:p>
      <w:pPr>
        <w:pStyle w:val="TextBody"/>
        <w:bidi w:val="0"/>
        <w:spacing w:lineRule="auto" w:line="288" w:before="0" w:after="40"/>
        <w:ind w:left="0" w:right="0" w:hanging="270"/>
        <w:jc w:val="both"/>
        <w:rPr/>
      </w:pPr>
      <w:r>
        <w:rPr>
          <w:color w:val="000000"/>
        </w:rPr>
        <w:t>•</w:t>
      </w:r>
      <w:r>
        <w:rPr>
          <w:rFonts w:ascii="Times New Roman;sans-serif" w:hAnsi="Times New Roman;sans-serif"/>
          <w:b w:val="false"/>
          <w:i/>
          <w:color w:val="000000"/>
          <w:sz w:val="18"/>
        </w:rPr>
        <w:t>Marketing and advertising:</w:t>
      </w:r>
      <w:r>
        <w:rPr>
          <w:color w:val="000000"/>
        </w:rPr>
        <w:t xml:space="preserve"> </w:t>
      </w:r>
      <w:r>
        <w:rPr>
          <w:rFonts w:ascii="Times New Roman;sans-serif" w:hAnsi="Times New Roman;sans-serif"/>
          <w:b w:val="false"/>
          <w:color w:val="000000"/>
          <w:sz w:val="18"/>
        </w:rPr>
        <w:t>The increase in expense was the result of a reduction in advertising in the prior quarter due to the election and holiday season.</w:t>
      </w:r>
    </w:p>
    <w:p>
      <w:pPr>
        <w:pStyle w:val="TextBody"/>
        <w:bidi w:val="0"/>
        <w:spacing w:lineRule="auto" w:line="288" w:before="0" w:after="80"/>
        <w:ind w:left="0" w:right="0" w:hanging="270"/>
        <w:jc w:val="both"/>
        <w:rPr/>
      </w:pPr>
      <w:r>
        <w:rPr>
          <w:color w:val="000000"/>
        </w:rPr>
        <w:t>•</w:t>
      </w:r>
      <w:r>
        <w:rPr>
          <w:rFonts w:ascii="Times New Roman;sans-serif" w:hAnsi="Times New Roman;sans-serif"/>
          <w:b w:val="false"/>
          <w:i/>
          <w:color w:val="000000"/>
          <w:sz w:val="18"/>
        </w:rPr>
        <w:t xml:space="preserve">Contract renewal consulting fee: </w:t>
      </w:r>
      <w:r>
        <w:rPr>
          <w:rFonts w:ascii="Times New Roman;sans-serif" w:hAnsi="Times New Roman;sans-serif"/>
          <w:b w:val="false"/>
          <w:color w:val="000000"/>
          <w:sz w:val="18"/>
        </w:rPr>
        <w:t>In the prior quarter we paid a fee to a consultant to negotiate the multiyear renewal of our largest core processing contract, with no similar fee in the current quarter.</w:t>
      </w:r>
    </w:p>
    <w:p>
      <w:pPr>
        <w:pStyle w:val="TextBody"/>
        <w:bidi w:val="0"/>
        <w:spacing w:lineRule="auto" w:line="288" w:before="0" w:after="120"/>
        <w:jc w:val="both"/>
        <w:rPr/>
      </w:pPr>
      <w:r>
        <w:rPr>
          <w:rFonts w:ascii="Times New Roman;sans-serif" w:hAnsi="Times New Roman;sans-serif"/>
          <w:b/>
          <w:i/>
          <w:color w:val="000000"/>
          <w:sz w:val="18"/>
        </w:rPr>
        <w:t>Income Taxes.</w:t>
      </w:r>
      <w:r>
        <w:rPr>
          <w:color w:val="000000"/>
        </w:rPr>
        <w:t>  </w:t>
      </w:r>
      <w:r>
        <w:rPr>
          <w:rFonts w:ascii="Times New Roman;sans-serif" w:hAnsi="Times New Roman;sans-serif"/>
          <w:b w:val="false"/>
          <w:color w:val="000000"/>
          <w:sz w:val="18"/>
        </w:rPr>
        <w:t>The amount of income tax expense is influenced by the amount of pre-tax income, tax-exempt income, changes in the statutory rate and the effect of changes in valuation allowances maintained against deferred tax benefits. The effective tax rates for the three months ended March 31, 2025 and December 31, 2024 were 21.1% and 22.3%,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pPr>
      <w:r>
        <w:rPr>
          <w:rFonts w:ascii="Times New Roman;sans-serif" w:hAnsi="Times New Roman;sans-serif"/>
          <w:b/>
          <w:color w:val="000000"/>
          <w:sz w:val="18"/>
          <w:shd w:fill="FFFFFF" w:val="clear"/>
        </w:rPr>
        <w:t xml:space="preserve">Comparison of Financial Condition at </w:t>
      </w:r>
      <w:r>
        <w:rPr>
          <w:rFonts w:ascii="Times New Roman;sans-serif" w:hAnsi="Times New Roman;sans-serif"/>
          <w:b/>
          <w:color w:val="000000"/>
          <w:sz w:val="18"/>
        </w:rPr>
        <w:t>March 31, 2025</w:t>
      </w:r>
      <w:r>
        <w:rPr>
          <w:color w:val="000000"/>
          <w:shd w:fill="FFFFFF" w:val="clear"/>
        </w:rPr>
        <w:t xml:space="preserve"> </w:t>
      </w:r>
      <w:r>
        <w:rPr>
          <w:rFonts w:ascii="Times New Roman;sans-serif" w:hAnsi="Times New Roman;sans-serif"/>
          <w:b/>
          <w:color w:val="000000"/>
          <w:sz w:val="18"/>
          <w:shd w:fill="FFFFFF" w:val="clear"/>
        </w:rPr>
        <w:t xml:space="preserve">and </w:t>
      </w:r>
      <w:r>
        <w:rPr>
          <w:rFonts w:ascii="Times New Roman;sans-serif" w:hAnsi="Times New Roman;sans-serif"/>
          <w:b/>
          <w:color w:val="000000"/>
          <w:sz w:val="18"/>
        </w:rPr>
        <w:t>December 31, 2024</w:t>
      </w:r>
    </w:p>
    <w:p>
      <w:pPr>
        <w:pStyle w:val="TextBody"/>
        <w:bidi w:val="0"/>
        <w:spacing w:lineRule="auto" w:line="288" w:before="0" w:after="80"/>
        <w:jc w:val="both"/>
        <w:rPr/>
      </w:pPr>
      <w:r>
        <w:rPr>
          <w:rFonts w:ascii="Times New Roman;sans-serif" w:hAnsi="Times New Roman;sans-serif"/>
          <w:b/>
          <w:i/>
          <w:color w:val="000000"/>
          <w:sz w:val="18"/>
          <w:shd w:fill="FFFFFF" w:val="clear"/>
        </w:rPr>
        <w:t xml:space="preserve">General.  </w:t>
      </w:r>
      <w:r>
        <w:rPr>
          <w:rFonts w:ascii="Times New Roman;sans-serif" w:hAnsi="Times New Roman;sans-serif"/>
          <w:b w:val="false"/>
          <w:color w:val="000000"/>
          <w:sz w:val="18"/>
        </w:rPr>
        <w:t>Total assets decreased by $37.4 million to $4.6 billion and total liabilities decreased by $51.1 million to $4.0 billion, respectively, at March 31, 2025 as compared to December 31, 2024. These changes can be traced to the use of loan sale proceeds and a $61.5 million increase in customer deposits to pay down brokered deposits by $104.3 million and borrowings by $11.0 million.</w:t>
      </w:r>
    </w:p>
    <w:p>
      <w:pPr>
        <w:pStyle w:val="TextBody"/>
        <w:bidi w:val="0"/>
        <w:spacing w:lineRule="auto" w:line="288" w:before="0" w:after="80"/>
        <w:jc w:val="both"/>
        <w:rPr/>
      </w:pPr>
      <w:r>
        <w:rPr>
          <w:rFonts w:ascii="Times New Roman;sans-serif" w:hAnsi="Times New Roman;sans-serif"/>
          <w:b/>
          <w:i/>
          <w:color w:val="000000"/>
          <w:sz w:val="18"/>
        </w:rPr>
        <w:t>Cash and Cash Equivalents.</w:t>
      </w:r>
      <w:r>
        <w:rPr>
          <w:color w:val="000000"/>
        </w:rPr>
        <w:t xml:space="preserve">  </w:t>
      </w:r>
      <w:r>
        <w:rPr>
          <w:rFonts w:ascii="Times New Roman;sans-serif" w:hAnsi="Times New Roman;sans-serif"/>
          <w:b w:val="false"/>
          <w:color w:val="000000"/>
          <w:sz w:val="18"/>
        </w:rPr>
        <w:t>Total cash and cash equivalents increased $20.6 million, or 7.4%, to $299.8 million at March 31, 2025 from $279.2 million at December 31, 2024.</w:t>
      </w:r>
    </w:p>
    <w:p>
      <w:pPr>
        <w:pStyle w:val="TextBody"/>
        <w:bidi w:val="0"/>
        <w:spacing w:lineRule="auto" w:line="288" w:before="0" w:after="80"/>
        <w:jc w:val="both"/>
        <w:rPr/>
      </w:pPr>
      <w:r>
        <w:rPr>
          <w:rFonts w:ascii="Times New Roman;sans-serif" w:hAnsi="Times New Roman;sans-serif"/>
          <w:b/>
          <w:i/>
          <w:color w:val="000000"/>
          <w:sz w:val="18"/>
        </w:rPr>
        <w:t>Debt Securities Available for Sale. </w:t>
      </w:r>
      <w:r>
        <w:rPr>
          <w:color w:val="000000"/>
        </w:rPr>
        <w:t xml:space="preserve"> </w:t>
      </w:r>
      <w:r>
        <w:rPr>
          <w:rFonts w:ascii="Times New Roman;sans-serif" w:hAnsi="Times New Roman;sans-serif"/>
          <w:b w:val="false"/>
          <w:color w:val="000000"/>
          <w:sz w:val="18"/>
        </w:rPr>
        <w:t>Debt securities available for sale decreased $1.4 million, or 0.9%, to $150.6 million at March 31, 2025 from $152.0 million at December 31, 2024.</w:t>
      </w:r>
    </w:p>
    <w:p>
      <w:pPr>
        <w:pStyle w:val="TextBody"/>
        <w:bidi w:val="0"/>
        <w:spacing w:lineRule="auto" w:line="288" w:before="0" w:after="80"/>
        <w:jc w:val="both"/>
        <w:rPr/>
      </w:pPr>
      <w:r>
        <w:rPr>
          <w:rFonts w:ascii="Times New Roman;sans-serif" w:hAnsi="Times New Roman;sans-serif"/>
          <w:b/>
          <w:i/>
          <w:color w:val="000000"/>
          <w:sz w:val="18"/>
        </w:rPr>
        <w:t xml:space="preserve">Loans Held for Sale. </w:t>
      </w:r>
      <w:r>
        <w:rPr>
          <w:rFonts w:ascii="Times New Roman;sans-serif" w:hAnsi="Times New Roman;sans-serif"/>
          <w:b w:val="false"/>
          <w:color w:val="000000"/>
          <w:sz w:val="18"/>
        </w:rPr>
        <w:t xml:space="preserve">Loans held for sale decreased $52.8 million, or 25.6%, to $153.3 million at March 31, 2025 from $206.2 million at December 31, 2024. This was driven by a decrease of $57.3 million, or 32.1%, in HELOCs held for sale, partially offset by a $4.1 million, or 17.8%, increase in </w:t>
      </w:r>
      <w:r>
        <w:rPr>
          <w:rFonts w:ascii="Times New Roman;sans-serif" w:hAnsi="Times New Roman;sans-serif"/>
          <w:b w:val="false"/>
          <w:color w:val="000000"/>
          <w:sz w:val="18"/>
          <w:shd w:fill="FFFFFF" w:val="clear"/>
        </w:rPr>
        <w:t>SBA loans held for sale; primarily due to the sale of HELOCs during the current quarter, as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18"/>
        </w:rPr>
        <w:t>Loans, Net of Deferred Loan Fees and Costs.</w:t>
      </w:r>
      <w:r>
        <w:rPr>
          <w:color w:val="000000"/>
        </w:rPr>
        <w:t xml:space="preserve">  </w:t>
      </w:r>
      <w:r>
        <w:rPr>
          <w:rFonts w:ascii="Times New Roman;sans-serif" w:hAnsi="Times New Roman;sans-serif"/>
          <w:b w:val="false"/>
          <w:color w:val="000000"/>
          <w:sz w:val="18"/>
        </w:rPr>
        <w:t>Total loans increased $310,000, to $3.6 billion at March 31, 2025 as compared to the balance at December 31, 2024. The following table illustrates the changes within the portfolio:</w:t>
      </w:r>
    </w:p>
    <w:tbl>
      <w:tblPr>
        <w:tblW w:w="10205" w:type="dxa"/>
        <w:jc w:val="left"/>
        <w:tblInd w:w="0" w:type="dxa"/>
        <w:tblLayout w:type="fixed"/>
        <w:tblCellMar>
          <w:top w:w="28" w:type="dxa"/>
          <w:left w:w="28" w:type="dxa"/>
          <w:bottom w:w="28" w:type="dxa"/>
          <w:right w:w="28" w:type="dxa"/>
        </w:tblCellMar>
      </w:tblPr>
      <w:tblGrid>
        <w:gridCol w:w="856"/>
        <w:gridCol w:w="647"/>
        <w:gridCol w:w="650"/>
        <w:gridCol w:w="204"/>
        <w:gridCol w:w="906"/>
        <w:gridCol w:w="113"/>
        <w:gridCol w:w="109"/>
        <w:gridCol w:w="109"/>
        <w:gridCol w:w="109"/>
        <w:gridCol w:w="221"/>
        <w:gridCol w:w="986"/>
        <w:gridCol w:w="123"/>
        <w:gridCol w:w="109"/>
        <w:gridCol w:w="109"/>
        <w:gridCol w:w="109"/>
        <w:gridCol w:w="196"/>
        <w:gridCol w:w="686"/>
        <w:gridCol w:w="109"/>
        <w:gridCol w:w="109"/>
        <w:gridCol w:w="109"/>
        <w:gridCol w:w="109"/>
        <w:gridCol w:w="203"/>
        <w:gridCol w:w="203"/>
        <w:gridCol w:w="256"/>
        <w:gridCol w:w="109"/>
        <w:gridCol w:w="109"/>
        <w:gridCol w:w="109"/>
        <w:gridCol w:w="286"/>
        <w:gridCol w:w="206"/>
        <w:gridCol w:w="488"/>
        <w:gridCol w:w="110"/>
        <w:gridCol w:w="110"/>
        <w:gridCol w:w="110"/>
        <w:gridCol w:w="272"/>
        <w:gridCol w:w="251"/>
        <w:gridCol w:w="705"/>
      </w:tblGrid>
      <w:tr>
        <w:trPr/>
        <w:tc>
          <w:tcPr>
            <w:tcW w:w="8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of Total</w:t>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real estate loans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owner occupied</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 – non-owner occupied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866,094 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Multifamily</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 loans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1,803,494 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1,806,365 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Commercial loans</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leases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loans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892,805 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888,543 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Residential real estate loans</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and land development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One-to-four family</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HELOCs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real estate loans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879,362 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Consumer loans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70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loans, net of deferred loan fees and costs</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3,648,609 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3,648,299 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80"/>
        <w:jc w:val="both"/>
        <w:rPr/>
      </w:pPr>
      <w:r>
        <w:rPr>
          <w:rFonts w:ascii="Times New Roman;sans-serif" w:hAnsi="Times New Roman;sans-serif"/>
          <w:b/>
          <w:i/>
          <w:color w:val="000000"/>
          <w:sz w:val="18"/>
        </w:rPr>
        <w:t>Asset Quality.</w:t>
      </w:r>
      <w:r>
        <w:rPr>
          <w:color w:val="000000"/>
        </w:rPr>
        <w:t xml:space="preserve"> </w:t>
      </w:r>
      <w:r>
        <w:rPr>
          <w:rFonts w:ascii="Times New Roman;sans-serif" w:hAnsi="Times New Roman;sans-serif"/>
          <w:b w:val="false"/>
          <w:color w:val="000000"/>
          <w:sz w:val="18"/>
        </w:rPr>
        <w:t>Nonperforming assets, made up of nonaccrual loans and repossessed assets, decreased by $753,000, or 2.6%, to $28.0 million, or 0.61% of total assets, at March 31, 2025 compared to $28.8 million, or 0.63% of total assets, at December 31, 2024. Owner occupied commercial real estate ("CRE") made up the largest portion of nonperforming assets at $8.6 million and $8.5 million, respectively, at these same dates. One relationship made up $5.0 million of the totals at both dates but no loss is anticipated. In addition, equipment finance loans made up $5.1 million and $4.7 million, respectively, at these same dates, concentrated in the transportation sector. The ratio of nonperforming loans to total loans was 0.74% at March 31, 2025 compared to 0.76% at December 31, 2024.</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ratio of classified assets to total assets decreased to 0.89% at March 31, 2025 from 1.06% at December 31, 2024 as classified assets decreased $8.1 million, or 16.6%, to $40.7 million at March 31, 2025 compared to $48.8 million at December 31, 2024. The largest portfolios of classified assets at March 31, 2025 included $12.9 million of owner-occupied CRE loans, $6.6 million of 1-4 family residential real estate loans, $5.4 million of equipment finance loans, $4.2 million of commercial and industrial loans, $4.2 million of HELOCs, and $3.8 million of non-owner occupied CRE loans.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Lastly, in an effort to assist customers in their post-Hurricane Helene recovery and clean-up efforts, in the prior quarter we granted payment deferrals of up to six months to provide short-term relief to impacted customers. The outstanding balance of these deferrals declined from $136.0 million at December 31, 2024 to $109.9 million at March 31, 2025 and $36.6 million at May 5, 2025. The Company retained the prior quarter $2.2 million ACL allocation for the potential impact of the storm on this portion of our loan portfolio. To date, no charge-offs have been recognized which were directly related to Hurricane Helene.</w:t>
      </w:r>
    </w:p>
    <w:p>
      <w:pPr>
        <w:pStyle w:val="TextBody"/>
        <w:bidi w:val="0"/>
        <w:spacing w:lineRule="auto" w:line="288" w:before="0" w:after="80"/>
        <w:jc w:val="both"/>
        <w:rPr/>
      </w:pPr>
      <w:r>
        <w:rPr>
          <w:rFonts w:ascii="Times New Roman;sans-serif" w:hAnsi="Times New Roman;sans-serif"/>
          <w:b/>
          <w:i/>
          <w:color w:val="000000"/>
          <w:sz w:val="18"/>
        </w:rPr>
        <w:t>Allowance for Credit Losses on Loans.</w:t>
      </w:r>
      <w:r>
        <w:rPr>
          <w:color w:val="000000"/>
        </w:rPr>
        <w:t> </w:t>
      </w:r>
      <w:r>
        <w:rPr>
          <w:rFonts w:ascii="Times New Roman;sans-serif" w:hAnsi="Times New Roman;sans-serif"/>
          <w:b w:val="false"/>
          <w:color w:val="000000"/>
          <w:sz w:val="18"/>
        </w:rPr>
        <w:t xml:space="preserve">The ACL on loans was $44.7 million, or 1.23% of total loans, at March 31, 2025 compared to $45.3 million, or 1.24% of total loans, at December 31, 2024. The drivers of this change are discussed in the "Comparison of Results of Operations for the Three Months Ended March 31, 2025 and December 31, 2024 </w:t>
      </w:r>
      <w:r>
        <w:rPr>
          <w:color w:val="000000"/>
        </w:rPr>
        <w:t xml:space="preserve">– </w:t>
      </w:r>
      <w:r>
        <w:rPr>
          <w:rFonts w:ascii="Times New Roman;sans-serif" w:hAnsi="Times New Roman;sans-serif"/>
          <w:b w:val="false"/>
          <w:color w:val="000000"/>
          <w:sz w:val="18"/>
        </w:rPr>
        <w:t>Provision for Credit Losses" section above.</w:t>
      </w:r>
    </w:p>
    <w:p>
      <w:pPr>
        <w:pStyle w:val="TextBody"/>
        <w:bidi w:val="0"/>
        <w:spacing w:lineRule="auto" w:line="288" w:before="0" w:after="80"/>
        <w:jc w:val="both"/>
        <w:rPr/>
      </w:pPr>
      <w:r>
        <w:rPr>
          <w:rFonts w:ascii="Times New Roman;sans-serif" w:hAnsi="Times New Roman;sans-serif"/>
          <w:b w:val="false"/>
          <w:color w:val="000000"/>
          <w:sz w:val="18"/>
        </w:rPr>
        <w:t xml:space="preserve">Net loan charge-offs totaled $1.3 million for the </w:t>
      </w:r>
      <w:r>
        <w:rPr>
          <w:rFonts w:ascii="Times New Roman;sans-serif" w:hAnsi="Times New Roman;sans-serif"/>
          <w:b w:val="false"/>
          <w:color w:val="000000"/>
          <w:sz w:val="18"/>
          <w:shd w:fill="FFFFFF" w:val="clear"/>
        </w:rPr>
        <w:t>three</w:t>
      </w:r>
      <w:r>
        <w:rPr>
          <w:color w:val="000000"/>
        </w:rPr>
        <w:t xml:space="preserve"> </w:t>
      </w:r>
      <w:r>
        <w:rPr>
          <w:rFonts w:ascii="Times New Roman;sans-serif" w:hAnsi="Times New Roman;sans-serif"/>
          <w:b w:val="false"/>
          <w:color w:val="000000"/>
          <w:sz w:val="18"/>
        </w:rPr>
        <w:t xml:space="preserve">months ended March 31, 2025 compared to $1.9 million and $2.3 million for the three months ended December 31, 2024 and March 31, 2024, respectively. Annualized net charge-offs as a percentage of average loans were 0.14% for the three months ended March 31, 2025 as compared to 0.19% and 0.24% for the </w:t>
      </w:r>
      <w:r>
        <w:rPr>
          <w:rFonts w:ascii="Times New Roman;sans-serif" w:hAnsi="Times New Roman;sans-serif"/>
          <w:b w:val="false"/>
          <w:color w:val="000000"/>
          <w:sz w:val="18"/>
          <w:shd w:fill="FFFFFF" w:val="clear"/>
        </w:rPr>
        <w:t>three</w:t>
      </w:r>
      <w:r>
        <w:rPr>
          <w:color w:val="000000"/>
        </w:rPr>
        <w:t xml:space="preserve"> </w:t>
      </w:r>
      <w:r>
        <w:rPr>
          <w:rFonts w:ascii="Times New Roman;sans-serif" w:hAnsi="Times New Roman;sans-serif"/>
          <w:b w:val="false"/>
          <w:color w:val="000000"/>
          <w:sz w:val="18"/>
        </w:rPr>
        <w:t>months ended December 31, 2024 and March 31, 2024, respectively.</w:t>
      </w:r>
    </w:p>
    <w:p>
      <w:pPr>
        <w:pStyle w:val="TextBody"/>
        <w:bidi w:val="0"/>
        <w:spacing w:lineRule="auto" w:line="288" w:before="0" w:after="80"/>
        <w:jc w:val="both"/>
        <w:rPr/>
      </w:pPr>
      <w:r>
        <w:rPr>
          <w:rFonts w:ascii="Times New Roman;sans-serif" w:hAnsi="Times New Roman;sans-serif"/>
          <w:b/>
          <w:i/>
          <w:color w:val="000000"/>
          <w:sz w:val="18"/>
        </w:rPr>
        <w:t>Premises and Equipment Held for Sale. </w:t>
      </w:r>
      <w:r>
        <w:rPr>
          <w:color w:val="000000"/>
        </w:rPr>
        <w:t xml:space="preserve"> </w:t>
      </w:r>
      <w:r>
        <w:rPr>
          <w:rFonts w:ascii="Times New Roman;sans-serif" w:hAnsi="Times New Roman;sans-serif"/>
          <w:b w:val="false"/>
          <w:color w:val="000000"/>
          <w:sz w:val="18"/>
        </w:rPr>
        <w:t>Premises and equipment held for sale increased by $7.6 million to $8.2 million at March 31, 2025 from $616,000 at December 31, 2024. The majority of the change can be traced to the reclassification of the $6.3 million of premises and equipment associated with our two Knoxville, Tennessee branches, consistent with the announced sale of those locations expected to close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both"/>
        <w:rPr/>
      </w:pPr>
      <w:r>
        <w:rPr>
          <w:rFonts w:ascii="Times New Roman;sans-serif" w:hAnsi="Times New Roman;sans-serif"/>
          <w:b/>
          <w:i/>
          <w:color w:val="000000"/>
          <w:sz w:val="18"/>
        </w:rPr>
        <w:t>Deposits. </w:t>
      </w:r>
      <w:r>
        <w:rPr>
          <w:color w:val="000000"/>
        </w:rPr>
        <w:t xml:space="preserve"> </w:t>
      </w:r>
      <w:r>
        <w:rPr>
          <w:rFonts w:ascii="Times New Roman;sans-serif" w:hAnsi="Times New Roman;sans-serif"/>
          <w:b w:val="false"/>
          <w:color w:val="000000"/>
          <w:sz w:val="18"/>
        </w:rPr>
        <w:t>The following table summarizes the composition of our deposit portfolio as of the dates indicated:</w:t>
      </w:r>
    </w:p>
    <w:tbl>
      <w:tblPr>
        <w:tblW w:w="8443" w:type="dxa"/>
        <w:jc w:val="left"/>
        <w:tblInd w:w="0" w:type="dxa"/>
        <w:tblLayout w:type="fixed"/>
        <w:tblCellMar>
          <w:top w:w="28" w:type="dxa"/>
          <w:left w:w="28" w:type="dxa"/>
          <w:bottom w:w="28" w:type="dxa"/>
          <w:right w:w="28" w:type="dxa"/>
        </w:tblCellMar>
      </w:tblPr>
      <w:tblGrid>
        <w:gridCol w:w="791"/>
        <w:gridCol w:w="698"/>
        <w:gridCol w:w="700"/>
        <w:gridCol w:w="215"/>
        <w:gridCol w:w="956"/>
        <w:gridCol w:w="119"/>
        <w:gridCol w:w="109"/>
        <w:gridCol w:w="109"/>
        <w:gridCol w:w="109"/>
        <w:gridCol w:w="257"/>
        <w:gridCol w:w="1145"/>
        <w:gridCol w:w="143"/>
        <w:gridCol w:w="109"/>
        <w:gridCol w:w="109"/>
        <w:gridCol w:w="109"/>
        <w:gridCol w:w="196"/>
        <w:gridCol w:w="721"/>
        <w:gridCol w:w="109"/>
        <w:gridCol w:w="109"/>
        <w:gridCol w:w="109"/>
        <w:gridCol w:w="109"/>
        <w:gridCol w:w="214"/>
        <w:gridCol w:w="214"/>
        <w:gridCol w:w="503"/>
        <w:gridCol w:w="109"/>
        <w:gridCol w:w="109"/>
        <w:gridCol w:w="109"/>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Core deposits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accounts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680,926 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accounts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573,745 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575,238 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1,341,995 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core deposits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2,837,916 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2,779,476 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Certificates of deposit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898,444 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3,736,360 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3,779,203 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Liquidity Management</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to these primary sources of funds, management has several secondary sources available to meet potential funding requirements. 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March 31, 2025, the Company had the ability to borrow $295.3 million through additional FHLB advances and $98.0 million through the unused portion of a line of credit with the FRB. At this same date, the Company maintained revolving lines of credit with three unaffiliated banks, the unused portion of which totaled $165.0 million. </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We also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March 31, 2025, brokered deposits totaled $282.8 million, or 7.6% of total deposits.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March 31, 2025, we (on an unconsolidated basis) had liquid assets of $4.2 million.</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At the Bank level, we use our sources of funds primarily to meet our ongoing commitments, pay maturing deposits and fund withdrawals and to fund loan commitments. At March 31, 2025, the total approved loan commitments and unused lines of credit outstanding amounted to $266.5 million and $855.6 million, respectively, as compared to $230.5 million and $712.3 million as of December 31, 2024. Certificates of deposit scheduled to mature in one year or less at March 31, 2025 totaled $874.7 million. It is management's policy to manage deposit rates that are competitive with other local financial institutions. Based on this strategy, we believe that a majority of maturing deposits will be retained.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Off-Balance Sheet Activities</w:t>
      </w:r>
    </w:p>
    <w:p>
      <w:pPr>
        <w:pStyle w:val="TextBody"/>
        <w:bidi w:val="0"/>
        <w:spacing w:lineRule="auto" w:line="288" w:before="0" w:after="80"/>
        <w:jc w:val="both"/>
        <w:rPr/>
      </w:pPr>
      <w:r>
        <w:rPr>
          <w:rFonts w:ascii="Times New Roman;sans-serif" w:hAnsi="Times New Roman;sans-serif"/>
          <w:b w:val="false"/>
          <w:color w:val="000000"/>
          <w:sz w:val="18"/>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12 </w:t>
      </w:r>
      <w:r>
        <w:rPr>
          <w:color w:val="000000"/>
        </w:rPr>
        <w:t xml:space="preserve">– </w:t>
      </w:r>
      <w:r>
        <w:rPr>
          <w:rFonts w:ascii="Times New Roman;sans-serif" w:hAnsi="Times New Roman;sans-serif"/>
          <w:b w:val="false"/>
          <w:color w:val="000000"/>
          <w:sz w:val="18"/>
        </w:rPr>
        <w:t>Commitments and Contingencies"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Capital Resources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additional discretionary actions by bank regulators that, if undertaken, could have a direct material effect on the Company's financial statements.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At March 31, 2025,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March 31, 2025 under applicable regulatory requirements.</w:t>
      </w:r>
    </w:p>
    <w:p>
      <w:pPr>
        <w:pStyle w:val="TextBody"/>
        <w:bidi w:val="0"/>
        <w:spacing w:lineRule="auto" w:line="288" w:before="0" w:after="0"/>
        <w:jc w:val="both"/>
        <w:rPr/>
      </w:pPr>
      <w:r>
        <w:rPr>
          <w:rFonts w:ascii="Times New Roman;sans-serif" w:hAnsi="Times New Roman;sans-serif"/>
          <w:b w:val="false"/>
          <w:color w:val="000000"/>
          <w:sz w:val="18"/>
        </w:rPr>
        <w:t>HomeTrust Bancshares, Inc. and the Bank's actual and required minimum capital amounts and ratios</w:t>
      </w:r>
      <w:r>
        <w:rPr>
          <w:color w:val="000000"/>
        </w:rPr>
        <w:t> </w:t>
      </w:r>
      <w:r>
        <w:rPr>
          <w:rFonts w:ascii="Times New Roman;sans-serif" w:hAnsi="Times New Roman;sans-serif"/>
          <w:b w:val="false"/>
          <w:color w:val="000000"/>
          <w:sz w:val="18"/>
        </w:rPr>
        <w:t>are as follows:</w:t>
      </w:r>
    </w:p>
    <w:tbl>
      <w:tblPr>
        <w:tblW w:w="10205" w:type="dxa"/>
        <w:jc w:val="left"/>
        <w:tblInd w:w="0" w:type="dxa"/>
        <w:tblLayout w:type="fixed"/>
        <w:tblCellMar>
          <w:top w:w="28" w:type="dxa"/>
          <w:left w:w="28" w:type="dxa"/>
          <w:bottom w:w="28" w:type="dxa"/>
          <w:right w:w="28" w:type="dxa"/>
        </w:tblCellMar>
      </w:tblPr>
      <w:tblGrid>
        <w:gridCol w:w="1114"/>
        <w:gridCol w:w="922"/>
        <w:gridCol w:w="926"/>
        <w:gridCol w:w="196"/>
        <w:gridCol w:w="736"/>
        <w:gridCol w:w="109"/>
        <w:gridCol w:w="109"/>
        <w:gridCol w:w="109"/>
        <w:gridCol w:w="109"/>
        <w:gridCol w:w="278"/>
        <w:gridCol w:w="278"/>
        <w:gridCol w:w="286"/>
        <w:gridCol w:w="109"/>
        <w:gridCol w:w="109"/>
        <w:gridCol w:w="109"/>
        <w:gridCol w:w="196"/>
        <w:gridCol w:w="736"/>
        <w:gridCol w:w="109"/>
        <w:gridCol w:w="109"/>
        <w:gridCol w:w="109"/>
        <w:gridCol w:w="109"/>
        <w:gridCol w:w="233"/>
        <w:gridCol w:w="233"/>
        <w:gridCol w:w="286"/>
        <w:gridCol w:w="109"/>
        <w:gridCol w:w="109"/>
        <w:gridCol w:w="109"/>
        <w:gridCol w:w="196"/>
        <w:gridCol w:w="736"/>
        <w:gridCol w:w="109"/>
        <w:gridCol w:w="109"/>
        <w:gridCol w:w="109"/>
        <w:gridCol w:w="109"/>
        <w:gridCol w:w="278"/>
        <w:gridCol w:w="278"/>
        <w:gridCol w:w="335"/>
      </w:tblGrid>
      <w:tr>
        <w:trPr/>
        <w:tc>
          <w:tcPr>
            <w:tcW w:w="11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Regulatory Requirements</w:t>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for Capital</w:t>
              <w:br/>
              <w:t>Adequacy Purposes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to Be</w:t>
              <w:br/>
              <w:t>Well Capitalized</w:t>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Ratio</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HomeTrust Bancshares, Inc.</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HomeTrust Bank</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After two years, the cumulative amount of the transition adjustments became fixed and were phased out of the regulatory capital calculations evenly over a three-year period, with 75% recognized in year three, 50% recognized in year four, and 25% recognized in year five. Starting with the quarter ended March 31, 2025, the temporary regulatory capital benefits have been fully reversed.</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March 31, 2025, the Company's and Bank's risk-based capital exceeded the required capital contribution buffer.</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Dividends paid by HomeTrust Bank are limited, without prior regulatory approval, to current year earnings and earnings less dividends paid during the preceding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There has not been any material change in the market risk disclosures contained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Item 4. Controls and Procedures</w:t>
      </w:r>
    </w:p>
    <w:p>
      <w:pPr>
        <w:pStyle w:val="TextBody"/>
        <w:bidi w:val="0"/>
        <w:spacing w:lineRule="auto" w:line="288" w:before="0" w:after="80"/>
        <w:jc w:val="both"/>
        <w:rPr/>
      </w:pPr>
      <w:r>
        <w:rPr>
          <w:rFonts w:ascii="Times New Roman;sans-serif" w:hAnsi="Times New Roman;sans-serif"/>
          <w:b w:val="false"/>
          <w:i/>
          <w:color w:val="000000"/>
          <w:sz w:val="18"/>
          <w:u w:val="single"/>
        </w:rPr>
        <w:t>Evaluation of Disclosure Controls and Procedures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An evaluation of our disclosure controls and procedures (as defined in Rule 13a-15(e) of the Securities Exchange Act of 1934 (the "Act")) as of March 31, 2025, was carried out under the supervision and with the participation of the Company's Chief Executive Officer, Chief Financial Officer</w:t>
      </w:r>
      <w:r>
        <w:rPr>
          <w:color w:val="000000"/>
        </w:rPr>
        <w:t> </w:t>
      </w:r>
      <w:r>
        <w:rPr>
          <w:rFonts w:ascii="Times New Roman;sans-serif" w:hAnsi="Times New Roman;sans-serif"/>
          <w:b w:val="false"/>
          <w:color w:val="000000"/>
          <w:sz w:val="18"/>
        </w:rPr>
        <w:t>and several other members of the Company's senior management.</w:t>
      </w:r>
      <w:r>
        <w:rPr>
          <w:color w:val="000000"/>
        </w:rPr>
        <w:t> </w:t>
      </w:r>
      <w:r>
        <w:rPr>
          <w:rFonts w:ascii="Times New Roman;sans-serif" w:hAnsi="Times New Roman;sans-serif"/>
          <w:b w:val="false"/>
          <w:color w:val="000000"/>
          <w:sz w:val="18"/>
        </w:rPr>
        <w:t>The Company's Chief Executive Officer and Chief Financial Officer concluded that the Company's disclosure controls and procedures in effect as of March 31, 2025,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does not expect that its disclosure controls and procedures and internal control over financial reporting will prevent all errors and all fraud. A control procedure, no matter how well conceived and operated, can provide only reasonable, not absolute, assurance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ans-serif" w:hAnsi="Times New Roman;sans-serif"/>
          <w:b w:val="false"/>
          <w:color w:val="000000"/>
          <w:sz w:val="18"/>
        </w:rPr>
      </w:pPr>
      <w:r>
        <w:rPr>
          <w:rFonts w:ascii="Times New Roman;sans-serif" w:hAnsi="Times New Roman;sans-serif"/>
          <w:b w:val="false"/>
          <w:color w:val="000000"/>
          <w:sz w:val="18"/>
        </w:rPr>
        <w:t>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pStyle w:val="TextBody"/>
        <w:bidi w:val="0"/>
        <w:spacing w:lineRule="auto" w:line="288" w:before="0" w:after="120"/>
        <w:jc w:val="both"/>
        <w:rPr/>
      </w:pPr>
      <w:r>
        <w:rPr>
          <w:rFonts w:ascii="Times New Roman;sans-serif" w:hAnsi="Times New Roman;sans-serif"/>
          <w:b w:val="false"/>
          <w:i/>
          <w:color w:val="000000"/>
          <w:sz w:val="18"/>
          <w:u w:val="single"/>
        </w:rPr>
        <w:t>Changes in Internal Controls</w:t>
      </w:r>
      <w:r>
        <w:rPr>
          <w:rFonts w:ascii="Times New Roman;sans-serif" w:hAnsi="Times New Roman;sans-serif"/>
          <w:b w:val="false"/>
          <w:color w:val="000000"/>
          <w:sz w:val="18"/>
        </w:rPr>
        <w:t>: There have been no changes in the Company’s internal control over financial reporting during the quarter ended March 31,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both"/>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both"/>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lineRule="auto" w:line="288" w:before="0" w:after="120"/>
        <w:jc w:val="both"/>
        <w:rPr/>
      </w:pPr>
      <w:r>
        <w:rPr>
          <w:rFonts w:ascii="Times New Roman;sans-serif" w:hAnsi="Times New Roman;sans-serif"/>
          <w:b w:val="false"/>
          <w:color w:val="000000"/>
          <w:sz w:val="18"/>
        </w:rPr>
        <w:t>The "Litigation" section of "Note 12</w:t>
      </w:r>
      <w:r>
        <w:rPr>
          <w:color w:val="000000"/>
        </w:rPr>
        <w:t xml:space="preserve"> – </w:t>
      </w:r>
      <w:r>
        <w:rPr>
          <w:rFonts w:ascii="Times New Roman;sans-serif" w:hAnsi="Times New Roman;sans-serif"/>
          <w:b w:val="false"/>
          <w:color w:val="000000"/>
          <w:sz w:val="18"/>
        </w:rPr>
        <w:t>Commitments and Contingencies" to the Consolidated Financial Statements included in Part I, Item 1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both"/>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There have been no material changes in the Risk Factors previously disclosed in Item 1A of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bidi w:val="0"/>
        <w:spacing w:lineRule="auto" w:line="288" w:before="0" w:after="4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(a)    Not applicable</w:t>
      </w:r>
    </w:p>
    <w:p>
      <w:pPr>
        <w:pStyle w:val="TextBody"/>
        <w:bidi w:val="0"/>
        <w:spacing w:lineRule="auto" w:line="288" w:before="0" w:after="4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(b) Not applicable</w:t>
      </w:r>
    </w:p>
    <w:p>
      <w:pPr>
        <w:pStyle w:val="TextBody"/>
        <w:bidi w:val="0"/>
        <w:spacing w:lineRule="auto" w:line="288"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(c) The following table provides information about repurchases of common stock by the Company during the quarter ended March 31, 2025:</w:t>
      </w:r>
    </w:p>
    <w:tbl>
      <w:tblPr>
        <w:tblW w:w="10205" w:type="dxa"/>
        <w:jc w:val="left"/>
        <w:tblInd w:w="0" w:type="dxa"/>
        <w:tblLayout w:type="fixed"/>
        <w:tblCellMar>
          <w:top w:w="28" w:type="dxa"/>
          <w:left w:w="28" w:type="dxa"/>
          <w:bottom w:w="28" w:type="dxa"/>
          <w:right w:w="28" w:type="dxa"/>
        </w:tblCellMar>
      </w:tblPr>
      <w:tblGrid>
        <w:gridCol w:w="557"/>
        <w:gridCol w:w="441"/>
        <w:gridCol w:w="447"/>
        <w:gridCol w:w="499"/>
        <w:gridCol w:w="477"/>
        <w:gridCol w:w="478"/>
        <w:gridCol w:w="109"/>
        <w:gridCol w:w="109"/>
        <w:gridCol w:w="109"/>
        <w:gridCol w:w="325"/>
        <w:gridCol w:w="922"/>
        <w:gridCol w:w="180"/>
        <w:gridCol w:w="109"/>
        <w:gridCol w:w="109"/>
        <w:gridCol w:w="109"/>
        <w:gridCol w:w="860"/>
        <w:gridCol w:w="860"/>
        <w:gridCol w:w="863"/>
        <w:gridCol w:w="109"/>
        <w:gridCol w:w="109"/>
        <w:gridCol w:w="109"/>
        <w:gridCol w:w="727"/>
        <w:gridCol w:w="652"/>
        <w:gridCol w:w="936"/>
      </w:tblGrid>
      <w:tr>
        <w:trPr/>
        <w:tc>
          <w:tcPr>
            <w:tcW w:w="55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 of</w:t>
              <w:br/>
              <w:t>Shares that May</w:t>
              <w:br/>
              <w:t>Yet Be Purchased Under Publicly Announced Plans</w:t>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 January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243,156 </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February 28,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243,156 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 March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14,800 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14,800 </w:t>
            </w:r>
          </w:p>
        </w:tc>
        <w:tc>
          <w:tcPr>
            <w:tcW w:w="8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228,356 </w:t>
            </w:r>
          </w:p>
        </w:tc>
        <w:tc>
          <w:tcPr>
            <w:tcW w:w="9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14,800 </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14,800 </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228,356 </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Over the years as a public company, the Company's Board of Directors has, from time to time, authorized the repurchase of its common stock. The most recent time this was done, on February 28, 2022, 806,000 shares of common stock were authorized for repurchase representing approximately 5% of the Company's outstanding shares at the time of the announcement. As of March 31, 2025, 577,644 of these shares had been purchased at an average price of $28.96 per share, 14,800 of which were repurchased during the three months ended March 31, 2025. The shares may be purchased in the open market or in privately negotiated transactions, from time to time depending upon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ans-serif" w:hAnsi="Times New Roman;sans-serif"/>
          <w:b/>
          <w:color w:val="000000"/>
          <w:sz w:val="18"/>
        </w:rPr>
      </w:pPr>
      <w:r>
        <w:rPr>
          <w:rFonts w:ascii="Times New Roman;sans-serif" w:hAnsi="Times New Roman;sans-serif"/>
          <w:b/>
          <w:color w:val="000000"/>
          <w:sz w:val="18"/>
        </w:rPr>
        <w:t>Item 3. Defaults Upon Senior Securities</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Nothing to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lineRule="auto" w:line="288" w:before="0" w:after="120"/>
        <w:jc w:val="both"/>
        <w:rPr/>
      </w:pPr>
      <w:r>
        <w:rPr>
          <w:rFonts w:ascii="Times New Roman;sans-serif" w:hAnsi="Times New Roman;sans-serif"/>
          <w:b w:val="false"/>
          <w:i/>
          <w:color w:val="000000"/>
          <w:sz w:val="18"/>
          <w:u w:val="single"/>
        </w:rPr>
        <w:t>Trading Plans</w:t>
      </w:r>
      <w:r>
        <w:rPr>
          <w:rFonts w:ascii="Times New Roman;sans-serif" w:hAnsi="Times New Roman;sans-serif"/>
          <w:b w:val="false"/>
          <w:color w:val="000000"/>
          <w:sz w:val="18"/>
        </w:rPr>
        <w:t>: During the quarter ended March 31, 2025, no director or officer (as defined in Rule 16a-1(f) under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1080"/>
        <w:jc w:val="left"/>
        <w:rPr>
          <w:rFonts w:ascii="Times New Roman;sans-serif" w:hAnsi="Times New Roman;sans-serif"/>
          <w:b/>
          <w:color w:val="000000"/>
          <w:sz w:val="18"/>
        </w:rPr>
      </w:pPr>
      <w:r>
        <w:rPr>
          <w:rFonts w:ascii="Times New Roman;sans-serif" w:hAnsi="Times New Roman;sans-serif"/>
          <w:b/>
          <w:color w:val="000000"/>
          <w:sz w:val="18"/>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89"/>
        <w:gridCol w:w="341"/>
        <w:gridCol w:w="343"/>
        <w:gridCol w:w="109"/>
        <w:gridCol w:w="109"/>
        <w:gridCol w:w="109"/>
        <w:gridCol w:w="1904"/>
        <w:gridCol w:w="1884"/>
        <w:gridCol w:w="1909"/>
        <w:gridCol w:w="109"/>
        <w:gridCol w:w="109"/>
        <w:gridCol w:w="109"/>
        <w:gridCol w:w="812"/>
        <w:gridCol w:w="812"/>
        <w:gridCol w:w="1157"/>
      </w:tblGrid>
      <w:tr>
        <w:trPr/>
        <w:tc>
          <w:tcPr>
            <w:tcW w:w="3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Regulation</w:t>
              <w:br/>
              <w:t>S-K 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Reference to Prior Filing or Exhibit # Attached Hereto</w:t>
            </w:r>
          </w:p>
        </w:tc>
      </w:tr>
      <w:tr>
        <w:trPr/>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Charter of HomeTrust Bancshares,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Amended and Restated Bylaws of HomeTrust Bancshares,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HomeTrust Bancshares, Inc. Senior Leadership Incentive Plan (formerly known as Operating Committee Incentive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Amended and Restated Employment and Transition Agreement between HomeTrust Bancshares, Inc. and Dana L. Stonestreet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Amendment No. 1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4"/>
        <w:gridCol w:w="337"/>
        <w:gridCol w:w="339"/>
        <w:gridCol w:w="109"/>
        <w:gridCol w:w="109"/>
        <w:gridCol w:w="109"/>
        <w:gridCol w:w="2015"/>
        <w:gridCol w:w="1944"/>
        <w:gridCol w:w="1967"/>
        <w:gridCol w:w="109"/>
        <w:gridCol w:w="109"/>
        <w:gridCol w:w="109"/>
        <w:gridCol w:w="749"/>
        <w:gridCol w:w="749"/>
        <w:gridCol w:w="1067"/>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Regulation</w:t>
              <w:br/>
              <w:t>S-K 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Reference to Prior Filing or Exhibit # Attached Hereto</w:t>
            </w:r>
          </w:p>
        </w:tc>
      </w:tr>
      <w:tr>
        <w:trPr/>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Amendment No. 2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Amendment No. 3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u w:val="single"/>
                </w:rPr>
                <w:t>Amendment No. 4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8"/>
                  <w:u w:val="single"/>
                </w:rPr>
                <w:t>Amended and Restated Employment Agreement between HomeTrust Bancshares, Inc. and Tony J.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8"/>
                  <w:u w:val="single"/>
                </w:rPr>
                <w:t>Amendment No. 1 to Amended and Restated Employment Agreement between HomeTrust Bancshares, Inc. and Tony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8"/>
                  <w:u w:val="single"/>
                </w:rPr>
                <w:t>HomeTrust Bank Executive Supplemental Retirement Income Master Agreement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8"/>
                  <w:u w:val="single"/>
                </w:rPr>
                <w:t>Amendment No. 1 to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8"/>
                  <w:u w:val="single"/>
                </w:rPr>
                <w:t>Amendment No. 2 to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SERP Joinder Agreement for F. Edward Broadwell,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SERP Joinder Agreement for Dana L. Stonestreet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SERP Joinder Agreement for Tony J.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SERP Joinder Agreement for Howard L. Sellinger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SERP Joinder Agreement for Stan Allen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SERP Joinder Agreement for Sidney A. Biesecker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SERP Joinder Agreement for Peggy C. Melville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SERP Joinder Agreement for William T. Flynt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Amended and Restated Supplemental Income Agreement between HomeTrust Bank, as successor to Industrial Federal Savings Bank, and Sidney Biesecker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HomeTrust Bank Director Emeritus Plan (“Director Emeritus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Director Emeritus Plan Joinder Agreement for William T. Flynt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8"/>
                  <w:u w:val="single"/>
                </w:rPr>
                <w:t>Director Emeritus Plan Joinder Agreement for J. Steven Goforth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8"/>
                  <w:u w:val="single"/>
                </w:rPr>
                <w:t>Director Emeritus Plan Joinder Agreement for Craig C. Koontz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8"/>
                  <w:u w:val="single"/>
                </w:rPr>
                <w:t>Director Emeritus Plan Joinder Agreement for Larry S. McDevitt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u w:val="single"/>
                </w:rPr>
                <w:t>Director Emeritus Plan Joinder Agreement for F.K. McFarland,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8"/>
                  <w:u w:val="single"/>
                </w:rPr>
                <w:t>Director Emeritus Plan Joinder Agreement for Peggy C. Melville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8"/>
                  <w:u w:val="single"/>
                </w:rPr>
                <w:t>Director Emeritus Plan Joinder Agreement for Robert E. Shepherd, Sr.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u w:val="single"/>
                </w:rPr>
                <w:t>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8"/>
                  <w:u w:val="single"/>
                </w:rPr>
                <w:t>Amendment No. 1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8"/>
                  <w:u w:val="single"/>
                </w:rPr>
                <w:t>Form of Joinder Agreement Under the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8"/>
                  <w:u w:val="single"/>
                </w:rPr>
                <w:t>Amendment No. 2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8"/>
                  <w:u w:val="single"/>
                </w:rPr>
                <w:t>Amendment No. 3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8"/>
                  <w:u w:val="single"/>
                </w:rPr>
                <w:t>HomeTrust Bank 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8"/>
                  <w:u w:val="single"/>
                </w:rPr>
                <w:t>Amendment No. 1 to HomeTrust Bank 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8"/>
                  <w:u w:val="single"/>
                </w:rPr>
                <w:t>HomeTrust Bank Pre-2005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18"/>
                  <w:u w:val="single"/>
                </w:rPr>
                <w:t>Amendment No. 1 to HomeTrust Bank Pre-2005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18"/>
                  <w:u w:val="single"/>
                </w:rPr>
                <w:t>HomeTrust Bank 2025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18"/>
                  <w:u w:val="single"/>
                </w:rPr>
                <w:t>HomeTrust Bancshares, Inc. 2013 Omnibus Incentive Plan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18"/>
                  <w:u w:val="single"/>
                </w:rPr>
                <w:t>Form of Incentive Stock Option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18"/>
                  <w:u w:val="single"/>
                </w:rPr>
                <w:t>Form of Non-Qualified Stock Option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18"/>
                  <w:u w:val="single"/>
                </w:rPr>
                <w:t>Form of Stock Appreciation Right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18"/>
                  <w:u w:val="single"/>
                </w:rPr>
                <w:t>Form of Restricted Stock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18"/>
                  <w:u w:val="single"/>
                </w:rPr>
                <w:t>Form of Restricted Stock Unit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18"/>
                  <w:u w:val="single"/>
                </w:rPr>
                <w:t>HomeTrust Bancshares, Inc. 2022 Omnibus Incentive Plan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(q)</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18"/>
                  <w:u w:val="single"/>
                </w:rPr>
                <w:t>Form of Non-Qualified Stock Option Award Agreement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18"/>
                  <w:u w:val="single"/>
                </w:rPr>
                <w:t>Form of Restricted Stock Award Agreement for Employees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18"/>
                  <w:u w:val="single"/>
                </w:rPr>
                <w:t>Form of Restricted Stock Award Agreement for Directors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
        <w:gridCol w:w="317"/>
        <w:gridCol w:w="318"/>
        <w:gridCol w:w="109"/>
        <w:gridCol w:w="109"/>
        <w:gridCol w:w="109"/>
        <w:gridCol w:w="2477"/>
        <w:gridCol w:w="2242"/>
        <w:gridCol w:w="2270"/>
        <w:gridCol w:w="109"/>
        <w:gridCol w:w="109"/>
        <w:gridCol w:w="109"/>
        <w:gridCol w:w="457"/>
        <w:gridCol w:w="457"/>
        <w:gridCol w:w="652"/>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Regulation</w:t>
              <w:br/>
              <w:t>S-K 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Reference to Prior Filing or Exhibit # Attached Hereto</w:t>
            </w:r>
          </w:p>
        </w:tc>
      </w:tr>
      <w:tr>
        <w:trPr/>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18"/>
                  <w:u w:val="single"/>
                </w:rPr>
                <w:t>Amended and Restated Change in Control Severance Agreement between HomeTrust Bancshares, Inc. and John Sprink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18"/>
                  <w:u w:val="single"/>
                </w:rPr>
                <w:t>Change in Control Severance Agreement between HomeTrust Bancshares, Inc. and Kristin Powell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18"/>
                  <w:u w:val="single"/>
                </w:rPr>
                <w:t>Amendment No. 1 to Change in Control Severance Agreement between HomeTrust Bancshares, Inc. and Kristin Powell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18"/>
                  <w:u w:val="single"/>
                </w:rPr>
                <w:t>Change in Control Severance Agreement between HomeTrust Bancshares, Inc. and Megan Pelletier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18"/>
                  <w:u w:val="single"/>
                </w:rPr>
                <w:t>Change in Control Severance Agreement between HomeTrust Bancshares, Inc. and Lora Jex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18"/>
                  <w:u w:val="single"/>
                </w:rPr>
                <w:t>Change in Control Severance Agreement between HomeTrust Bancshares, Inc. and Chuck Sivley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18"/>
                  <w:u w:val="single"/>
                </w:rPr>
                <w:t>Change in Control Severance Agreement between HomeTrust Bancshares, Inc. and Kevin Nunley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x31xhtbix10qxex311.htm">
              <w:r>
                <w:rPr>
                  <w:rStyle w:val="InternetLink"/>
                  <w:rFonts w:ascii="Times New Roman;sans-serif" w:hAnsi="Times New Roman;sans-serif"/>
                  <w:b w:val="false"/>
                  <w:color w:val="0000FF"/>
                  <w:sz w:val="18"/>
                  <w:u w:val="single"/>
                </w:rPr>
                <w:t>Certification of Chief Executive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x31xhtbix10qxex312.htm">
              <w:r>
                <w:rPr>
                  <w:rStyle w:val="InternetLink"/>
                  <w:rFonts w:ascii="Times New Roman;sans-serif" w:hAnsi="Times New Roman;sans-serif"/>
                  <w:b w:val="false"/>
                  <w:color w:val="0000FF"/>
                  <w:sz w:val="18"/>
                  <w:u w:val="single"/>
                </w:rPr>
                <w:t>Certification of Chief Financial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x31xhtbix10qxex32.htm">
              <w:r>
                <w:rPr>
                  <w:rStyle w:val="InternetLink"/>
                  <w:rFonts w:ascii="Times New Roman;sans-serif" w:hAnsi="Times New Roman;sans-serif"/>
                  <w:b w:val="false"/>
                  <w:color w:val="0000FF"/>
                  <w:sz w:val="18"/>
                  <w:u w:val="single"/>
                </w:rPr>
                <w:t>Certificate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18"/>
                  <w:u w:val="single"/>
                </w:rPr>
                <w:t>Policy Relating to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materials from HomeTrust Bancshares’ Annual Report on Form 10-K for the year ended December 31, 2024, formatted in Extensible Business Reporting Language (XBRL): (a) Consolidated Balance Sheets; (b) Consolidated Statements of Income; (c) Consolidated Statements of Comprehensive Income; (d) Consolidated Statements of Changes in Stockholders' Equity; (e) Consolidated Statements of Cash Flows; and (f) Notes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r>
    </w:tbl>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(a)Filed as an exhibit to HomeTrust Bancshares's Annual Report on Form 10-K for the fiscal year ended June 30,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(b)Filed as an exhibit to HomeTrust Bancshares's Current Report on Form 8-K filed on September 25, 2018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(c)Filed as an exhibit to HomeTrust Bancshares's Quarterly Report on Form 10-Q for the quarter ended September 30, 2024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(d)Filed as an exhibit to HomeTrust Bancshares's Registration Statement on Form S-1 filed on December 29, 2011 (File No. 333-178817).</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(e)Filed as an exhibit to HomeTrust Bancshares's Current Report on Form 8-K filed on May 24,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(f)Filed as an exhibit to HomeTrust Bancshares's Transition Report on Form 10-KT for the-six month transition period ended December 31, 2023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(g)Filed as an exhibit to HomeTrust Bancshares's Current Report on Form 8-K filed on September 11, 2018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(h)Filed as an exhibit to HomeTrust Bancshares's Current Report on Form 8-K filed on October 28, 2020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(i)Filed as an exhibit to Amendment No. 1 to HomeTrust Bancshares's Registration Statement on Form S-1 filed on March 9, 2012 (File No. 333-178817).</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(j)Attached as Appendix A to HomeTrust Bancshares's definitive proxy statement filed on December 5, 2012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(k)Filed as an exhibit to HomeTrust Bancshares's Registration Statement on Form S-8 filed on February 13, 2013 (File No. 333-186666).</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(l)Filed as an exhibit to HomeTrust Bancshares's Current Report on Form 8-K filed on February 15,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(m)Filed as an exhibit to HomeTrust Bancshares's Quarterly Report on Form 10-Q for the quarter ended March 31,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(n)Filed as an exhibit to HomeTrust Bancshares's Annual Report on Form 10-K for the fiscal year ended December 31, 2024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(o)Filed as an exhibit to HomeTrust Bancshares's Current Report on Form 8-K filed on July 28, 2021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(p)Filed as an exhibit to HomeTrust Bancshares's Quarterly Report on Form 10-Q for the quarter ended September 30, 2023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(q)Attached as Appendix A to HomeTrust Bancshares's definitive proxy statement filed on October 3,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(r)Filed as an exhibit to HomeTrust Bancshares's Quarterly Report on Form 10-Q for the quarter ended September 30, 2022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(s)Filed as an exhibit to HomeTrust Bancshares's Annual Report on Form 10-K for the fiscal year ended June 30, 2023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(t)Filed as an exhibit to HomeTrust Bancshares's Current Report on Form 8-K filed on August 28, 2023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(u)Filed as an exhibit to HomeTrust Bancshares's Registration Statement on Form S-8 filed on February 6, 2023 (File No. 333-186666).</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(v)Filed as an exhibit to HomeTrust Bancshares's Quarterly Report on Form 10-Q for the quarter ended June 30, 2024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(w)Filed as an exhibit to HomeTrust Bancshares's Current Report on Form 8-K filed on February 11, 2025 (File No. 001-35593).</w:t>
      </w:r>
    </w:p>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(x)Filed as an exhibit to HomeTrust Bancshares's Current Report on Form 8-K filed on April 1, 2025 (File No. 001-35593).</w:t>
      </w:r>
    </w:p>
    <w:p>
      <w:pPr>
        <w:pStyle w:val="TextBody"/>
        <w:bidi w:val="0"/>
        <w:spacing w:before="0" w:after="6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lineRule="auto" w:line="288"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tbl>
      <w:tblPr>
        <w:tblW w:w="7795" w:type="dxa"/>
        <w:jc w:val="left"/>
        <w:tblInd w:w="0" w:type="dxa"/>
        <w:tblLayout w:type="fixed"/>
        <w:tblCellMar>
          <w:top w:w="28" w:type="dxa"/>
          <w:left w:w="28" w:type="dxa"/>
          <w:bottom w:w="28" w:type="dxa"/>
          <w:right w:w="28" w:type="dxa"/>
        </w:tblCellMar>
      </w:tblPr>
      <w:tblGrid>
        <w:gridCol w:w="525"/>
        <w:gridCol w:w="463"/>
        <w:gridCol w:w="466"/>
        <w:gridCol w:w="484"/>
        <w:gridCol w:w="484"/>
        <w:gridCol w:w="484"/>
        <w:gridCol w:w="1433"/>
        <w:gridCol w:w="1433"/>
        <w:gridCol w:w="2023"/>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HOMETRUST BANCSHARES, INC.</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Date: May 8, 2025</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 C. Hunter Westbrook</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 Hunter Westbrook</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(Duly Authorized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Date: May 8, 2025</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 Tony J. VunCannon</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Tony J. VunCannon</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CFO, Corporate Secretary and Treasurer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and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RULE 13a-14(a) CERTIFICATION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 C. Hunter Westbrook, certify that:</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HomeTrust Bancshares, Inc. (the "Company");</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4.The Company's other certifying officer and I are responsible for establishing and maintaining disclosure controls and procedures (as defined in Exchange Act Rules 13a-15(e) and 15d-15(e)) for the Company and have:</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Company's internal control over financial reporting.</w:t>
      </w:r>
    </w:p>
    <w:tbl>
      <w:tblPr>
        <w:tblW w:w="4230" w:type="dxa"/>
        <w:jc w:val="left"/>
        <w:tblInd w:w="0" w:type="dxa"/>
        <w:tblLayout w:type="fixed"/>
        <w:tblCellMar>
          <w:top w:w="28" w:type="dxa"/>
          <w:left w:w="28" w:type="dxa"/>
          <w:bottom w:w="28" w:type="dxa"/>
          <w:right w:w="28" w:type="dxa"/>
        </w:tblCellMar>
      </w:tblPr>
      <w:tblGrid>
        <w:gridCol w:w="374"/>
        <w:gridCol w:w="328"/>
        <w:gridCol w:w="333"/>
        <w:gridCol w:w="120"/>
        <w:gridCol w:w="120"/>
        <w:gridCol w:w="120"/>
        <w:gridCol w:w="828"/>
        <w:gridCol w:w="828"/>
        <w:gridCol w:w="1179"/>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May 8,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C. Hunter Westbrook</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 Hunter Westbrook</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RULE 13a-14(a) CERTIFICATION</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I, Tony J. VunCannon, certify that: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HomeTrust Bancshares, Inc. (the "Company");</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4.The Company's other certifying officer and I are responsible for establishing and maintaining disclosure controls and procedures (as defined in Exchange Act Rules 13a-15(e) and 15d-15(e)) for the Company and have:</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Company's internal control over financial reporting.</w:t>
      </w:r>
    </w:p>
    <w:tbl>
      <w:tblPr>
        <w:tblW w:w="4829" w:type="dxa"/>
        <w:jc w:val="left"/>
        <w:tblInd w:w="0" w:type="dxa"/>
        <w:tblLayout w:type="fixed"/>
        <w:tblCellMar>
          <w:top w:w="28" w:type="dxa"/>
          <w:left w:w="28" w:type="dxa"/>
          <w:bottom w:w="28" w:type="dxa"/>
          <w:right w:w="28" w:type="dxa"/>
        </w:tblCellMar>
      </w:tblPr>
      <w:tblGrid>
        <w:gridCol w:w="374"/>
        <w:gridCol w:w="328"/>
        <w:gridCol w:w="333"/>
        <w:gridCol w:w="120"/>
        <w:gridCol w:w="120"/>
        <w:gridCol w:w="120"/>
        <w:gridCol w:w="1005"/>
        <w:gridCol w:w="1005"/>
        <w:gridCol w:w="1424"/>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May 8,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 Tony J. VunCannon</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Tony J. VunCannon</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CFO, and Treasurer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18"/>
        </w:rPr>
      </w:pPr>
      <w:r>
        <w:rPr>
          <w:rFonts w:ascii="Times New Roman;sans-serif" w:hAnsi="Times New Roman;sans-serif"/>
          <w:b/>
          <w:color w:val="000000"/>
          <w:sz w:val="18"/>
        </w:rPr>
        <w:t>Exhibit 32</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SECTION 1350 CERTIFICATION</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Each of the undersigned hereby certifies in his capacity as an officer of HomeTrust Bancshares, Inc. (the "Company") that the Quarterly Report of the Company on Form 10-Q for the period ended March 31, 2025,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tbl>
      <w:tblPr>
        <w:tblW w:w="4830" w:type="dxa"/>
        <w:jc w:val="left"/>
        <w:tblInd w:w="0" w:type="dxa"/>
        <w:tblLayout w:type="fixed"/>
        <w:tblCellMar>
          <w:top w:w="28" w:type="dxa"/>
          <w:left w:w="28" w:type="dxa"/>
          <w:bottom w:w="28" w:type="dxa"/>
          <w:right w:w="28" w:type="dxa"/>
        </w:tblCellMar>
      </w:tblPr>
      <w:tblGrid>
        <w:gridCol w:w="374"/>
        <w:gridCol w:w="328"/>
        <w:gridCol w:w="333"/>
        <w:gridCol w:w="120"/>
        <w:gridCol w:w="120"/>
        <w:gridCol w:w="120"/>
        <w:gridCol w:w="1006"/>
        <w:gridCol w:w="1006"/>
        <w:gridCol w:w="1423"/>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8,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C. Hunter Westbrook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 Hunter Westbrook</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8,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 Tony J. VunCannon</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Tony J. VunCannon</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CFO, and Treasurer</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8263/000119312511355607/0001193125-11-355607-index.htm" TargetMode="External"/><Relationship Id="rId3" Type="http://schemas.openxmlformats.org/officeDocument/2006/relationships/hyperlink" Target="https://www.sec.gov/ix?doc=/Archives/edgar/data/1538263/000153826325000015/htbi-20250210.htm" TargetMode="External"/><Relationship Id="rId4" Type="http://schemas.openxmlformats.org/officeDocument/2006/relationships/hyperlink" Target="https://www.sec.gov/ix?doc=/Archives/edgar/data/0001538263/000153826325000040/htbi-20241231.htm" TargetMode="External"/><Relationship Id="rId5" Type="http://schemas.openxmlformats.org/officeDocument/2006/relationships/hyperlink" Target="https://www.sec.gov/ix?doc=/Archives/edgar/data/0001538263/000153826322000047/htbi-20220630.htm" TargetMode="External"/><Relationship Id="rId6" Type="http://schemas.openxmlformats.org/officeDocument/2006/relationships/hyperlink" Target="https://www.sec.gov/Archives/edgar/data/1538263/000153826318000044/htbi-20180911x8k.htm" TargetMode="External"/><Relationship Id="rId7" Type="http://schemas.openxmlformats.org/officeDocument/2006/relationships/hyperlink" Target="https://www.sec.gov/Archives/edgar/data/1538263/000153826318000049/htbi-20180925x8k.htm" TargetMode="External"/><Relationship Id="rId8" Type="http://schemas.openxmlformats.org/officeDocument/2006/relationships/hyperlink" Target="https://www.sec.gov/ix?doc=/Archives/edgar/data/0001538263/000153826320000039/htbi-20201027.htm" TargetMode="External"/><Relationship Id="rId9" Type="http://schemas.openxmlformats.org/officeDocument/2006/relationships/hyperlink" Target="https://www.sec.gov/ix?doc=/Archives/edgar/data/0001538263/000153826321000053/htbi-20210726.htm" TargetMode="External"/><Relationship Id="rId10" Type="http://schemas.openxmlformats.org/officeDocument/2006/relationships/hyperlink" Target="https://www.sec.gov/ix?doc=/Archives/edgar/data/0001538263/000153826322000024/htbi-20220523.htm" TargetMode="External"/><Relationship Id="rId11" Type="http://schemas.openxmlformats.org/officeDocument/2006/relationships/hyperlink" Target="https://www.sec.gov/Archives/edgar/data/1538263/000153826318000044/htbi-20180911x8k.htm" TargetMode="External"/><Relationship Id="rId12" Type="http://schemas.openxmlformats.org/officeDocument/2006/relationships/hyperlink" Target="https://www.sec.gov/ix?doc=/Archives/edgar/data/0001538263/000153826322000047/htbi-20220630.htm" TargetMode="External"/><Relationship Id="rId13" Type="http://schemas.openxmlformats.org/officeDocument/2006/relationships/hyperlink" Target="https://www.sec.gov/Archives/edgar/data/1538263/000119312511355607/0001193125-11-355607-index.htm" TargetMode="External"/><Relationship Id="rId14" Type="http://schemas.openxmlformats.org/officeDocument/2006/relationships/hyperlink" Target="https://www.sec.gov/ix?doc=/Archives/edgar/data/0001538263/000153826322000021/htbi-20220331.htm" TargetMode="External"/><Relationship Id="rId15" Type="http://schemas.openxmlformats.org/officeDocument/2006/relationships/hyperlink" Target="https://www.sec.gov/ix?doc=/Archives/edgar/data/0001538263/000153826322000009/htbi-20220211.htm" TargetMode="External"/><Relationship Id="rId16" Type="http://schemas.openxmlformats.org/officeDocument/2006/relationships/hyperlink" Target="https://www.sec.gov/Archives/edgar/data/1538263/000119312511355607/0001193125-11-355607-index.htm" TargetMode="External"/><Relationship Id="rId17" Type="http://schemas.openxmlformats.org/officeDocument/2006/relationships/hyperlink" Target="https://www.sec.gov/Archives/edgar/data/1538263/000119312511355607/0001193125-11-355607-index.htm" TargetMode="External"/><Relationship Id="rId18" Type="http://schemas.openxmlformats.org/officeDocument/2006/relationships/hyperlink" Target="https://www.sec.gov/Archives/edgar/data/1538263/000119312511355607/0001193125-11-355607-index.htm" TargetMode="External"/><Relationship Id="rId19" Type="http://schemas.openxmlformats.org/officeDocument/2006/relationships/hyperlink" Target="https://www.sec.gov/Archives/edgar/data/1538263/000119312511355607/0001193125-11-355607-index.htm" TargetMode="External"/><Relationship Id="rId20" Type="http://schemas.openxmlformats.org/officeDocument/2006/relationships/hyperlink" Target="https://www.sec.gov/Archives/edgar/data/1538263/000119312511355607/0001193125-11-355607-index.htm" TargetMode="External"/><Relationship Id="rId21" Type="http://schemas.openxmlformats.org/officeDocument/2006/relationships/hyperlink" Target="https://www.sec.gov/Archives/edgar/data/1538263/000119312511355607/0001193125-11-355607-index.htm" TargetMode="External"/><Relationship Id="rId22" Type="http://schemas.openxmlformats.org/officeDocument/2006/relationships/hyperlink" Target="https://www.sec.gov/Archives/edgar/data/1538263/000119312511355607/0001193125-11-355607-index.htm" TargetMode="External"/><Relationship Id="rId23" Type="http://schemas.openxmlformats.org/officeDocument/2006/relationships/hyperlink" Target="https://www.sec.gov/Archives/edgar/data/1538263/000119312511355607/0001193125-11-355607-index.htm" TargetMode="External"/><Relationship Id="rId24" Type="http://schemas.openxmlformats.org/officeDocument/2006/relationships/hyperlink" Target="https://www.sec.gov/Archives/edgar/data/1538263/000119312512107294/0001193125-12-107294-index.htm" TargetMode="External"/><Relationship Id="rId25" Type="http://schemas.openxmlformats.org/officeDocument/2006/relationships/hyperlink" Target="https://www.sec.gov/Archives/edgar/data/1538263/000119312511355607/0001193125-11-355607-index.htm" TargetMode="External"/><Relationship Id="rId26" Type="http://schemas.openxmlformats.org/officeDocument/2006/relationships/hyperlink" Target="https://www.sec.gov/Archives/edgar/data/1538263/000119312511355607/0001193125-11-355607-index.htm" TargetMode="External"/><Relationship Id="rId27" Type="http://schemas.openxmlformats.org/officeDocument/2006/relationships/hyperlink" Target="https://www.sec.gov/Archives/edgar/data/1538263/000119312511355607/0001193125-11-355607-index.htm" TargetMode="External"/><Relationship Id="rId28" Type="http://schemas.openxmlformats.org/officeDocument/2006/relationships/hyperlink" Target="https://www.sec.gov/Archives/edgar/data/1538263/000119312511355607/0001193125-11-355607-index.htm" TargetMode="External"/><Relationship Id="rId29" Type="http://schemas.openxmlformats.org/officeDocument/2006/relationships/hyperlink" Target="https://www.sec.gov/Archives/edgar/data/1538263/000119312511355607/0001193125-11-355607-index.htm" TargetMode="External"/><Relationship Id="rId30" Type="http://schemas.openxmlformats.org/officeDocument/2006/relationships/hyperlink" Target="https://www.sec.gov/Archives/edgar/data/1538263/000119312511355607/0001193125-11-355607-index.htm" TargetMode="External"/><Relationship Id="rId31" Type="http://schemas.openxmlformats.org/officeDocument/2006/relationships/hyperlink" Target="https://www.sec.gov/Archives/edgar/data/1538263/000119312511355607/0001193125-11-355607-index.htm" TargetMode="External"/><Relationship Id="rId32" Type="http://schemas.openxmlformats.org/officeDocument/2006/relationships/hyperlink" Target="https://www.sec.gov/Archives/edgar/data/1538263/000119312511355607/0001193125-11-355607-index.htm" TargetMode="External"/><Relationship Id="rId33" Type="http://schemas.openxmlformats.org/officeDocument/2006/relationships/hyperlink" Target="https://www.sec.gov/Archives/edgar/data/1538263/000119312511355607/0001193125-11-355607-index.htm" TargetMode="External"/><Relationship Id="rId34" Type="http://schemas.openxmlformats.org/officeDocument/2006/relationships/hyperlink" Target="https://www.sec.gov/ix?doc=/Archives/edgar/data/0001538263/000153826322000021/htbi-20220331.htm" TargetMode="External"/><Relationship Id="rId35" Type="http://schemas.openxmlformats.org/officeDocument/2006/relationships/hyperlink" Target="https://www.sec.gov/ix?doc=/Archives/edgar/data/0001538263/000153826322000021/htbi-20220331.htm" TargetMode="External"/><Relationship Id="rId36" Type="http://schemas.openxmlformats.org/officeDocument/2006/relationships/hyperlink" Target="https://www.sec.gov/Archives/edgar/data/1538263/000153826322000058/0001538263-22-000058-index.htm" TargetMode="External"/><Relationship Id="rId37" Type="http://schemas.openxmlformats.org/officeDocument/2006/relationships/hyperlink" Target="https://www.sec.gov/ix?doc=/Archives/edgar/data/0001538263/000153826323000038/htbi-20230828.htm" TargetMode="External"/><Relationship Id="rId38" Type="http://schemas.openxmlformats.org/officeDocument/2006/relationships/hyperlink" Target="https://www.sec.gov/Archives/edgar/data/1538263/000119312511355607/0001193125-11-355607-index.htm" TargetMode="External"/><Relationship Id="rId39" Type="http://schemas.openxmlformats.org/officeDocument/2006/relationships/hyperlink" Target="https://www.sec.gov/ix?doc=/Archives/edgar/data/0001538263/000153826322000021/htbi-20220331.htm" TargetMode="External"/><Relationship Id="rId40" Type="http://schemas.openxmlformats.org/officeDocument/2006/relationships/hyperlink" Target="https://www.sec.gov/Archives/edgar/data/1538263/000119312511355607/0001193125-11-355607-index.htm" TargetMode="External"/><Relationship Id="rId41" Type="http://schemas.openxmlformats.org/officeDocument/2006/relationships/hyperlink" Target="https://www.sec.gov/ix?doc=/Archives/edgar/data/0001538263/000153826322000021/htbi-20220331.htm" TargetMode="External"/><Relationship Id="rId42" Type="http://schemas.openxmlformats.org/officeDocument/2006/relationships/hyperlink" Target="https://www.sec.gov/ix?doc=/Archives/edgar/data/0001538263/000153826325000042/htbi-20250327.htm" TargetMode="External"/><Relationship Id="rId43" Type="http://schemas.openxmlformats.org/officeDocument/2006/relationships/hyperlink" Target="https://www.sec.gov/Archives/edgar/data/1538263/000092708912000332/htbi-def14a2012.htm" TargetMode="External"/><Relationship Id="rId44" Type="http://schemas.openxmlformats.org/officeDocument/2006/relationships/hyperlink" Target="https://www.sec.gov/Archives/edgar/data/1538263/000092708913000038/0000927089-13-000038-index.htm" TargetMode="External"/><Relationship Id="rId45" Type="http://schemas.openxmlformats.org/officeDocument/2006/relationships/hyperlink" Target="https://www.sec.gov/Archives/edgar/data/1538263/000092708913000038/0000927089-13-000038-index.htm" TargetMode="External"/><Relationship Id="rId46" Type="http://schemas.openxmlformats.org/officeDocument/2006/relationships/hyperlink" Target="https://www.sec.gov/Archives/edgar/data/1538263/000092708913000038/0000927089-13-000038-index.htm" TargetMode="External"/><Relationship Id="rId47" Type="http://schemas.openxmlformats.org/officeDocument/2006/relationships/hyperlink" Target="https://www.sec.gov/Archives/edgar/data/1538263/000092708913000038/0000927089-13-000038-index.htm" TargetMode="External"/><Relationship Id="rId48" Type="http://schemas.openxmlformats.org/officeDocument/2006/relationships/hyperlink" Target="https://www.sec.gov/Archives/edgar/data/1538263/000092708913000038/0000927089-13-000038-index.htm" TargetMode="External"/><Relationship Id="rId49" Type="http://schemas.openxmlformats.org/officeDocument/2006/relationships/hyperlink" Target="https://www.sec.gov/Archives/edgar/data/1538263/000110465922104918/tm2226697d1_def14a.htm" TargetMode="External"/><Relationship Id="rId50" Type="http://schemas.openxmlformats.org/officeDocument/2006/relationships/hyperlink" Target="https://www.sec.gov/Archives/edgar/data/1538263/000110465923011174/tm235386d1_s8.htm" TargetMode="External"/><Relationship Id="rId51" Type="http://schemas.openxmlformats.org/officeDocument/2006/relationships/hyperlink" Target="https://www.sec.gov/Archives/edgar/data/1538263/000110465923011174/tm235386d1_s8.htm" TargetMode="External"/><Relationship Id="rId52" Type="http://schemas.openxmlformats.org/officeDocument/2006/relationships/hyperlink" Target="https://www.sec.gov/Archives/edgar/data/1538263/000110465923011174/tm235386d1_s8.htm" TargetMode="External"/><Relationship Id="rId53" Type="http://schemas.openxmlformats.org/officeDocument/2006/relationships/hyperlink" Target="https://www.sec.gov/ix?doc=/Archives/edgar/data/1538263/000153826323000047/htbi-20230630.htm" TargetMode="External"/><Relationship Id="rId54" Type="http://schemas.openxmlformats.org/officeDocument/2006/relationships/hyperlink" Target="https://www.sec.gov/Archives/edgar/data/1538263/000153826322000058/0001538263-22-000058-index.htm" TargetMode="External"/><Relationship Id="rId55" Type="http://schemas.openxmlformats.org/officeDocument/2006/relationships/hyperlink" Target="https://www.sec.gov/ix?doc=/Archives/edgar/data/0001538263/000153826322000047/htbi-20220630.htm" TargetMode="External"/><Relationship Id="rId56" Type="http://schemas.openxmlformats.org/officeDocument/2006/relationships/hyperlink" Target="https://www.sec.gov/ix?doc=/Archives/edgar/data/0001538263/000153826322000047/htbi-20220630.htm" TargetMode="External"/><Relationship Id="rId57" Type="http://schemas.openxmlformats.org/officeDocument/2006/relationships/hyperlink" Target="https://www.sec.gov/ix?doc=/Archives/edgar/data/0001538263/000153826323000056/htbi-20230930.htm" TargetMode="External"/><Relationship Id="rId58" Type="http://schemas.openxmlformats.org/officeDocument/2006/relationships/hyperlink" Target="https://www.sec.gov/ix?doc=/Archives/edgar/data/1538263/000153826324000087/htbi-20240630.htm" TargetMode="External"/><Relationship Id="rId59" Type="http://schemas.openxmlformats.org/officeDocument/2006/relationships/hyperlink" Target="https://www.sec.gov/ix?doc=/Archives/edgar/data/0001538263/000153826324000105/htbi-20240930.htm" TargetMode="External"/><Relationship Id="rId60" Type="http://schemas.openxmlformats.org/officeDocument/2006/relationships/hyperlink" Target="https://www.sec.gov/ix?doc=/Archives/edgar/data/0001538263/000153826324000029/htbi-20231231.htm"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22985</Words>
  <Characters>125446</Characters>
  <CharactersWithSpaces>146429</CharactersWithSpaces>
  <Paragraphs>6985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