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UNITED STATES SECURITIES AND EXCHANGE COMMISSION</w:t>
      </w:r>
    </w:p>
    <w:p>
      <w:pPr>
        <w:spacing w:after="0" w:line="2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69" w:lineRule="exact"/>
        <w:rPr>
          <w:sz w:val="24"/>
          <w:szCs w:val="24"/>
          <w:color w:val="auto"/>
        </w:rPr>
      </w:pPr>
    </w:p>
    <w:p>
      <w:pPr>
        <w:ind w:left="4080" w:right="3360" w:hanging="4072"/>
        <w:spacing w:after="0" w:line="548" w:lineRule="auto"/>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QUARTERLY REPORT UNDER SECTION 13 OR 15(d) OF THE SECURITIES EXCHANGE ACT OF 1934 For the quarterly period ended </w:t>
      </w:r>
      <w:r>
        <w:rPr>
          <w:rFonts w:ascii="Times New Roman" w:cs="Times New Roman" w:eastAsia="Times New Roman" w:hAnsi="Times New Roman"/>
          <w:sz w:val="16"/>
          <w:szCs w:val="16"/>
          <w:b w:val="1"/>
          <w:bCs w:val="1"/>
          <w:u w:val="single" w:color="auto"/>
          <w:color w:val="auto"/>
        </w:rPr>
        <w:t>March 31, 2024</w:t>
      </w:r>
    </w:p>
    <w:p>
      <w:pPr>
        <w:spacing w:after="0" w:line="37" w:lineRule="exact"/>
        <w:rPr>
          <w:sz w:val="24"/>
          <w:szCs w:val="24"/>
          <w:color w:val="auto"/>
        </w:rPr>
      </w:pPr>
    </w:p>
    <w:p>
      <w:pPr>
        <w:ind w:left="3940" w:right="3340" w:hanging="3932"/>
        <w:spacing w:after="0" w:line="562" w:lineRule="auto"/>
        <w:tabs>
          <w:tab w:leader="none" w:pos="65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UNDER SECTION 13 OR 15(d) OF THE SECURITIES EXCHANGE ACT OF 1934 For the transition period from _______ to ________</w:t>
      </w:r>
    </w:p>
    <w:p>
      <w:pPr>
        <w:ind w:left="43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001-35593</w:t>
      </w:r>
    </w:p>
    <w:p>
      <w:pPr>
        <w:spacing w:after="0" w:line="2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HOMETRUST BANCSHARES, INC.</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8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5400" w:type="dxa"/>
            <w:vAlign w:val="bottom"/>
          </w:tcPr>
          <w:p>
            <w:pPr>
              <w:jc w:val="right"/>
              <w:ind w:right="2019"/>
              <w:spacing w:after="0"/>
              <w:rPr>
                <w:sz w:val="20"/>
                <w:szCs w:val="20"/>
                <w:color w:val="auto"/>
              </w:rPr>
            </w:pPr>
            <w:r>
              <w:rPr>
                <w:rFonts w:ascii="Times New Roman" w:cs="Times New Roman" w:eastAsia="Times New Roman" w:hAnsi="Times New Roman"/>
                <w:sz w:val="16"/>
                <w:szCs w:val="16"/>
                <w:b w:val="1"/>
                <w:bCs w:val="1"/>
                <w:color w:val="auto"/>
              </w:rPr>
              <w:t>45-5055422</w:t>
            </w:r>
          </w:p>
        </w:tc>
      </w:tr>
      <w:tr>
        <w:trPr>
          <w:trHeight w:val="207"/>
        </w:trPr>
        <w:tc>
          <w:tcPr>
            <w:tcW w:w="5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of organization)</w:t>
            </w:r>
          </w:p>
        </w:tc>
        <w:tc>
          <w:tcPr>
            <w:tcW w:w="440" w:type="dxa"/>
            <w:vAlign w:val="bottom"/>
          </w:tcPr>
          <w:p>
            <w:pPr>
              <w:spacing w:after="0"/>
              <w:rPr>
                <w:sz w:val="17"/>
                <w:szCs w:val="17"/>
                <w:color w:val="auto"/>
              </w:rPr>
            </w:pPr>
          </w:p>
        </w:tc>
        <w:tc>
          <w:tcPr>
            <w:tcW w:w="5400" w:type="dxa"/>
            <w:vAlign w:val="bottom"/>
            <w:tcBorders>
              <w:top w:val="single" w:sz="8" w:color="auto"/>
            </w:tcBorders>
          </w:tcPr>
          <w:p>
            <w:pPr>
              <w:jc w:val="right"/>
              <w:ind w:right="1439"/>
              <w:spacing w:after="0"/>
              <w:rPr>
                <w:sz w:val="20"/>
                <w:szCs w:val="20"/>
                <w:color w:val="auto"/>
              </w:rPr>
            </w:pPr>
            <w:r>
              <w:rPr>
                <w:rFonts w:ascii="Times New Roman" w:cs="Times New Roman" w:eastAsia="Times New Roman" w:hAnsi="Times New Roman"/>
                <w:sz w:val="16"/>
                <w:szCs w:val="16"/>
                <w:color w:val="auto"/>
              </w:rPr>
              <w:t>(I.R.S. Employer Identification No.)</w:t>
            </w:r>
          </w:p>
        </w:tc>
      </w:tr>
    </w:tbl>
    <w:p>
      <w:pPr>
        <w:spacing w:after="0" w:line="3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10 Woodfin Street, Asheville, North Carolina 28801</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(828) 259-3939</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9"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37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Title of each class</w:t>
            </w:r>
          </w:p>
        </w:tc>
        <w:tc>
          <w:tcPr>
            <w:tcW w:w="21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Trading Symbol(s)</w:t>
            </w:r>
          </w:p>
        </w:tc>
        <w:tc>
          <w:tcPr>
            <w:tcW w:w="53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7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 par value $.01 per share</w:t>
            </w:r>
          </w:p>
        </w:tc>
        <w:tc>
          <w:tcPr>
            <w:tcW w:w="2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HTBI</w:t>
            </w:r>
          </w:p>
        </w:tc>
        <w:tc>
          <w:tcPr>
            <w:tcW w:w="5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and 15(d) of the Exchange Act during the preceding 12 months (or</w:t>
      </w:r>
    </w:p>
    <w:p>
      <w:pPr>
        <w:spacing w:after="0" w:line="26" w:lineRule="exact"/>
        <w:rPr>
          <w:sz w:val="24"/>
          <w:szCs w:val="24"/>
          <w:color w:val="auto"/>
        </w:rPr>
      </w:pPr>
    </w:p>
    <w:p>
      <w:pPr>
        <w:spacing w:after="0" w:line="184" w:lineRule="exact"/>
        <w:tabs>
          <w:tab w:leader="none" w:pos="9920" w:val="left"/>
        </w:tabs>
        <w:rPr>
          <w:sz w:val="20"/>
          <w:szCs w:val="20"/>
          <w:color w:val="auto"/>
        </w:rPr>
      </w:pPr>
      <w:r>
        <w:rPr>
          <w:rFonts w:ascii="Times New Roman" w:cs="Times New Roman" w:eastAsia="Times New Roman" w:hAnsi="Times New Roman"/>
          <w:sz w:val="16"/>
          <w:szCs w:val="16"/>
          <w:color w:val="auto"/>
        </w:rPr>
        <w:t>for such shorter period that the registrant was required to file such reports), and (2) has been subject to such filing requirements for the past 90 days.</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40"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0"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tc>
        <w:tc>
          <w:tcPr>
            <w:tcW w:w="5080" w:type="dxa"/>
            <w:vAlign w:val="bottom"/>
          </w:tcPr>
          <w:p>
            <w:pPr>
              <w:ind w:left="2800"/>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tc>
        <w:tc>
          <w:tcPr>
            <w:tcW w:w="5080" w:type="dxa"/>
            <w:vAlign w:val="bottom"/>
          </w:tcPr>
          <w:p>
            <w:pPr>
              <w:ind w:left="2800"/>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8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w:t>
            </w:r>
          </w:p>
        </w:tc>
        <w:tc>
          <w:tcPr>
            <w:tcW w:w="320" w:type="dxa"/>
            <w:vAlign w:val="bottom"/>
            <w:vMerge w:val="restart"/>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98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complying with any new or revised financial accounting standards provided pursuant to Section 13(a) of the Exchange Act.</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There were 17,444,787 shares of common stock, par value of $0.01 per share, issued and outstanding as of May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0" w:right="31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HOMETRUST BANCSHARES, INC.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29"/>
        </w:trPr>
        <w:tc>
          <w:tcPr>
            <w:tcW w:w="1040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04"/>
        </w:trPr>
        <w:tc>
          <w:tcPr>
            <w:tcW w:w="10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6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7680" w:type="dxa"/>
            <w:vAlign w:val="bottom"/>
            <w:gridSpan w:val="10"/>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Balance Sheets at March 31, 2024 (Unaudited) and December 31, 2023</w:t>
            </w: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3</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Income (Unaudited) for the Three Months Ended March 31, 2024 and 2023</w:t>
            </w: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4</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(Unaudited) for the Three Months Ended March 31, 2024 and 2023</w:t>
            </w: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5</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3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Changes in Stockholders' Equity (Unaudited) for the Three Months Ended March 31, 2024 and 2023</w:t>
            </w:r>
          </w:p>
        </w:tc>
        <w:tc>
          <w:tcPr>
            <w:tcW w:w="920" w:type="dxa"/>
            <w:vAlign w:val="bottom"/>
          </w:tcPr>
          <w:p>
            <w:pPr>
              <w:spacing w:after="0"/>
              <w:rPr>
                <w:sz w:val="24"/>
                <w:szCs w:val="24"/>
                <w:color w:val="auto"/>
              </w:rPr>
            </w:pP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6</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Consolidated Statements of Cash Flows (Unaudited) for the Three Months Ended March 31, 2024 and 2023</w:t>
            </w:r>
          </w:p>
        </w:tc>
        <w:tc>
          <w:tcPr>
            <w:tcW w:w="13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7</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2280" w:type="dxa"/>
            <w:vAlign w:val="bottom"/>
            <w:gridSpan w:val="3"/>
          </w:tcPr>
          <w:p>
            <w:pPr>
              <w:spacing w:after="0"/>
              <w:rPr>
                <w:sz w:val="24"/>
                <w:szCs w:val="24"/>
                <w:color w:val="auto"/>
              </w:rPr>
            </w:pP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9</w:t>
            </w:r>
          </w:p>
        </w:tc>
        <w:tc>
          <w:tcPr>
            <w:tcW w:w="3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93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31</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900" w:type="dxa"/>
            <w:vAlign w:val="bottom"/>
            <w:tcBorders>
              <w:left w:val="single" w:sz="8" w:color="0000FF"/>
            </w:tcBorders>
            <w:gridSpan w:val="2"/>
            <w:shd w:val="clear" w:color="auto" w:fill="0000FF"/>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38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900" w:type="dxa"/>
            <w:vAlign w:val="bottom"/>
            <w:gridSpan w:val="2"/>
          </w:tcPr>
          <w:p>
            <w:pPr>
              <w:spacing w:after="0"/>
              <w:rPr>
                <w:sz w:val="24"/>
                <w:szCs w:val="24"/>
                <w:color w:val="auto"/>
              </w:rPr>
            </w:pPr>
          </w:p>
        </w:tc>
        <w:tc>
          <w:tcPr>
            <w:tcW w:w="3580" w:type="dxa"/>
            <w:vAlign w:val="bottom"/>
            <w:gridSpan w:val="5"/>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39</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38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5480" w:type="dxa"/>
            <w:vAlign w:val="bottom"/>
            <w:gridSpan w:val="7"/>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39</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520"/>
        </w:trPr>
        <w:tc>
          <w:tcPr>
            <w:tcW w:w="2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b w:val="1"/>
                <w:bCs w:val="1"/>
                <w:color w:val="0000FF"/>
                <w:w w:val="99"/>
              </w:rPr>
              <w:t>PART II OTHER INFORMATION</w:t>
            </w:r>
          </w:p>
        </w:tc>
        <w:tc>
          <w:tcPr>
            <w:tcW w:w="7940" w:type="dxa"/>
            <w:vAlign w:val="bottom"/>
            <w:gridSpan w:val="12"/>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1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6"/>
              </w:rPr>
              <w:t>Legal Proceedings</w:t>
            </w:r>
          </w:p>
        </w:tc>
        <w:tc>
          <w:tcPr>
            <w:tcW w:w="8180" w:type="dxa"/>
            <w:vAlign w:val="bottom"/>
            <w:gridSpan w:val="14"/>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40</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5"/>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1A</w:t>
            </w:r>
          </w:p>
        </w:tc>
        <w:tc>
          <w:tcPr>
            <w:tcW w:w="11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8180" w:type="dxa"/>
            <w:vAlign w:val="bottom"/>
            <w:gridSpan w:val="14"/>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40</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93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40</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38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5480" w:type="dxa"/>
            <w:vAlign w:val="bottom"/>
            <w:gridSpan w:val="7"/>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40</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gridSpan w:val="5"/>
            <w:shd w:val="clear" w:color="auto" w:fill="0000FF"/>
          </w:tcPr>
          <w:p>
            <w:pPr>
              <w:spacing w:after="0" w:line="20" w:lineRule="exact"/>
              <w:rPr>
                <w:sz w:val="1"/>
                <w:szCs w:val="1"/>
                <w:color w:val="auto"/>
              </w:rPr>
            </w:pPr>
          </w:p>
        </w:tc>
        <w:tc>
          <w:tcPr>
            <w:tcW w:w="7280" w:type="dxa"/>
            <w:vAlign w:val="bottom"/>
            <w:gridSpan w:val="9"/>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20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7280" w:type="dxa"/>
            <w:vAlign w:val="bottom"/>
            <w:gridSpan w:val="9"/>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40</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5</w:t>
            </w:r>
          </w:p>
        </w:tc>
        <w:tc>
          <w:tcPr>
            <w:tcW w:w="11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7"/>
              </w:rPr>
              <w:t>Other Information</w:t>
            </w:r>
          </w:p>
        </w:tc>
        <w:tc>
          <w:tcPr>
            <w:tcW w:w="400" w:type="dxa"/>
            <w:vAlign w:val="bottom"/>
            <w:gridSpan w:val="3"/>
          </w:tcPr>
          <w:p>
            <w:pPr>
              <w:spacing w:after="0"/>
              <w:rPr>
                <w:sz w:val="24"/>
                <w:szCs w:val="24"/>
                <w:color w:val="auto"/>
              </w:rPr>
            </w:pPr>
          </w:p>
        </w:tc>
        <w:tc>
          <w:tcPr>
            <w:tcW w:w="7780" w:type="dxa"/>
            <w:vAlign w:val="bottom"/>
            <w:gridSpan w:val="11"/>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40</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180" w:type="dxa"/>
            <w:vAlign w:val="bottom"/>
            <w:gridSpan w:val="14"/>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6</w:t>
            </w:r>
          </w:p>
        </w:tc>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Exhibits</w:t>
            </w:r>
          </w:p>
        </w:tc>
        <w:tc>
          <w:tcPr>
            <w:tcW w:w="640" w:type="dxa"/>
            <w:vAlign w:val="bottom"/>
            <w:gridSpan w:val="2"/>
          </w:tcPr>
          <w:p>
            <w:pPr>
              <w:spacing w:after="0"/>
              <w:rPr>
                <w:sz w:val="24"/>
                <w:szCs w:val="24"/>
                <w:color w:val="auto"/>
              </w:rPr>
            </w:pPr>
          </w:p>
        </w:tc>
        <w:tc>
          <w:tcPr>
            <w:tcW w:w="8180" w:type="dxa"/>
            <w:vAlign w:val="bottom"/>
            <w:gridSpan w:val="14"/>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40</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43</w:t>
            </w:r>
          </w:p>
        </w:tc>
      </w:tr>
      <w:tr>
        <w:trPr>
          <w:trHeight w:val="20"/>
        </w:trPr>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Glossary of Defined Terms</w:t>
      </w:r>
    </w:p>
    <w:p>
      <w:pPr>
        <w:spacing w:after="0" w:line="48"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6"/>
          <w:szCs w:val="16"/>
          <w:color w:val="auto"/>
        </w:rPr>
        <w:t>The following terms may be used throughout this Form 10-Q, including the Notes to Consolidated Financial Statements in Item 1 and Management's Discussion and Analysis of Financial Condition and Results of Operations in Item 2 of this Form 10-Q.</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Term</w:t>
            </w:r>
          </w:p>
        </w:tc>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0" w:type="dxa"/>
            <w:vAlign w:val="bottom"/>
          </w:tcPr>
          <w:p>
            <w:pPr>
              <w:spacing w:after="0"/>
              <w:rPr>
                <w:sz w:val="1"/>
                <w:szCs w:val="1"/>
                <w:color w:val="auto"/>
              </w:rPr>
            </w:pPr>
          </w:p>
        </w:tc>
      </w:tr>
      <w:tr>
        <w:trPr>
          <w:trHeight w:val="212"/>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ACL</w:t>
            </w:r>
          </w:p>
        </w:tc>
        <w:tc>
          <w:tcPr>
            <w:tcW w:w="100" w:type="dxa"/>
            <w:vAlign w:val="bottom"/>
            <w:tcBorders>
              <w:top w:val="single" w:sz="8" w:color="CCEEFF"/>
            </w:tcBorders>
            <w:shd w:val="clear" w:color="auto" w:fill="CCEEFF"/>
          </w:tcPr>
          <w:p>
            <w:pPr>
              <w:spacing w:after="0"/>
              <w:rPr>
                <w:sz w:val="18"/>
                <w:szCs w:val="18"/>
                <w:color w:val="auto"/>
              </w:rPr>
            </w:pPr>
          </w:p>
        </w:tc>
        <w:tc>
          <w:tcPr>
            <w:tcW w:w="8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AFS</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ASC</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Accounting Standards Codification</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ASU</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Accounting Standards Update</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BOLI</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Owned Life Insurance</w:t>
            </w:r>
          </w:p>
        </w:tc>
        <w:tc>
          <w:tcPr>
            <w:tcW w:w="0" w:type="dxa"/>
            <w:vAlign w:val="bottom"/>
          </w:tcPr>
          <w:p>
            <w:pPr>
              <w:spacing w:after="0"/>
              <w:rPr>
                <w:sz w:val="1"/>
                <w:szCs w:val="1"/>
                <w:color w:val="auto"/>
              </w:rPr>
            </w:pPr>
          </w:p>
        </w:tc>
      </w:tr>
      <w:tr>
        <w:trPr>
          <w:trHeight w:val="210"/>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CD</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Certificate of Deposit</w:t>
            </w:r>
          </w:p>
        </w:tc>
        <w:tc>
          <w:tcPr>
            <w:tcW w:w="0" w:type="dxa"/>
            <w:vAlign w:val="bottom"/>
          </w:tcPr>
          <w:p>
            <w:pPr>
              <w:spacing w:after="0"/>
              <w:rPr>
                <w:sz w:val="1"/>
                <w:szCs w:val="1"/>
                <w:color w:val="auto"/>
              </w:rPr>
            </w:pPr>
          </w:p>
        </w:tc>
      </w:tr>
      <w:tr>
        <w:trPr>
          <w:trHeight w:val="165"/>
        </w:trPr>
        <w:tc>
          <w:tcPr>
            <w:tcW w:w="2440" w:type="dxa"/>
            <w:vAlign w:val="bottom"/>
            <w:gridSpan w:val="2"/>
            <w:vMerge w:val="continue"/>
          </w:tcPr>
          <w:p>
            <w:pPr>
              <w:spacing w:after="0"/>
              <w:rPr>
                <w:sz w:val="14"/>
                <w:szCs w:val="14"/>
                <w:color w:val="auto"/>
              </w:rPr>
            </w:pPr>
          </w:p>
        </w:tc>
        <w:tc>
          <w:tcPr>
            <w:tcW w:w="8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CDA</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Collateral Dependent Asset</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CECL</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Current Expected Credit Losses</w:t>
            </w:r>
          </w:p>
        </w:tc>
        <w:tc>
          <w:tcPr>
            <w:tcW w:w="0" w:type="dxa"/>
            <w:vAlign w:val="bottom"/>
          </w:tcPr>
          <w:p>
            <w:pPr>
              <w:spacing w:after="0"/>
              <w:rPr>
                <w:sz w:val="1"/>
                <w:szCs w:val="1"/>
                <w:color w:val="auto"/>
              </w:rPr>
            </w:pPr>
          </w:p>
        </w:tc>
      </w:tr>
      <w:tr>
        <w:trPr>
          <w:trHeight w:val="213"/>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Equity Tier 1</w:t>
            </w:r>
          </w:p>
        </w:tc>
        <w:tc>
          <w:tcPr>
            <w:tcW w:w="0" w:type="dxa"/>
            <w:vAlign w:val="bottom"/>
          </w:tcPr>
          <w:p>
            <w:pPr>
              <w:spacing w:after="0"/>
              <w:rPr>
                <w:sz w:val="1"/>
                <w:szCs w:val="1"/>
                <w:color w:val="auto"/>
              </w:rPr>
            </w:pPr>
          </w:p>
        </w:tc>
      </w:tr>
      <w:tr>
        <w:trPr>
          <w:trHeight w:val="168"/>
        </w:trPr>
        <w:tc>
          <w:tcPr>
            <w:tcW w:w="2440" w:type="dxa"/>
            <w:vAlign w:val="bottom"/>
            <w:gridSpan w:val="2"/>
            <w:vMerge w:val="continue"/>
            <w:shd w:val="clear" w:color="auto" w:fill="CCEEFF"/>
          </w:tcPr>
          <w:p>
            <w:pPr>
              <w:spacing w:after="0"/>
              <w:rPr>
                <w:sz w:val="14"/>
                <w:szCs w:val="14"/>
                <w:color w:val="auto"/>
              </w:rPr>
            </w:pPr>
          </w:p>
        </w:tc>
        <w:tc>
          <w:tcPr>
            <w:tcW w:w="8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COVID-19</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Coronavirus Disease 2019</w:t>
            </w:r>
          </w:p>
        </w:tc>
        <w:tc>
          <w:tcPr>
            <w:tcW w:w="0" w:type="dxa"/>
            <w:vAlign w:val="bottom"/>
          </w:tcPr>
          <w:p>
            <w:pPr>
              <w:spacing w:after="0"/>
              <w:rPr>
                <w:sz w:val="1"/>
                <w:szCs w:val="1"/>
                <w:color w:val="auto"/>
              </w:rPr>
            </w:pPr>
          </w:p>
        </w:tc>
      </w:tr>
      <w:tr>
        <w:trPr>
          <w:trHeight w:val="165"/>
        </w:trPr>
        <w:tc>
          <w:tcPr>
            <w:tcW w:w="2440" w:type="dxa"/>
            <w:vAlign w:val="bottom"/>
            <w:gridSpan w:val="2"/>
            <w:vMerge w:val="continue"/>
          </w:tcPr>
          <w:p>
            <w:pPr>
              <w:spacing w:after="0"/>
              <w:rPr>
                <w:sz w:val="14"/>
                <w:szCs w:val="14"/>
                <w:color w:val="auto"/>
              </w:rPr>
            </w:pPr>
          </w:p>
        </w:tc>
        <w:tc>
          <w:tcPr>
            <w:tcW w:w="8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DCF</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Discounted Cash Flows</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Dodd-Frank Act</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Dodd-Frank Wall Street Reform and Consumer Protection Act</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ECL</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Credit Losses</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EPS</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ESOP</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Stock Ownership Plan</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FASB</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Financial Accounting Standards Board</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FDIC</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 Deposit Insurance Corporation</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Federal Reserve</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Board of Governors of the Federal Reserve System</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 or FHLB of Atlanta</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 Home Loan Bank</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FRB</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Federal Reserve Bank of Richmond</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GSE</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Government-Sponsored Enterprises</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Home Equity Line of Credit</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IRLC</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0" w:type="dxa"/>
            <w:vAlign w:val="bottom"/>
          </w:tcPr>
          <w:p>
            <w:pPr>
              <w:spacing w:after="0"/>
              <w:rPr>
                <w:sz w:val="1"/>
                <w:szCs w:val="1"/>
                <w:color w:val="auto"/>
              </w:rPr>
            </w:pPr>
          </w:p>
        </w:tc>
      </w:tr>
      <w:tr>
        <w:trPr>
          <w:trHeight w:val="210"/>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MBS</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Mortgage-Backed Security</w:t>
            </w:r>
          </w:p>
        </w:tc>
        <w:tc>
          <w:tcPr>
            <w:tcW w:w="0" w:type="dxa"/>
            <w:vAlign w:val="bottom"/>
          </w:tcPr>
          <w:p>
            <w:pPr>
              <w:spacing w:after="0"/>
              <w:rPr>
                <w:sz w:val="1"/>
                <w:szCs w:val="1"/>
                <w:color w:val="auto"/>
              </w:rPr>
            </w:pPr>
          </w:p>
        </w:tc>
      </w:tr>
      <w:tr>
        <w:trPr>
          <w:trHeight w:val="165"/>
        </w:trPr>
        <w:tc>
          <w:tcPr>
            <w:tcW w:w="2440" w:type="dxa"/>
            <w:vAlign w:val="bottom"/>
            <w:gridSpan w:val="2"/>
            <w:vMerge w:val="continue"/>
          </w:tcPr>
          <w:p>
            <w:pPr>
              <w:spacing w:after="0"/>
              <w:rPr>
                <w:sz w:val="14"/>
                <w:szCs w:val="14"/>
                <w:color w:val="auto"/>
              </w:rPr>
            </w:pPr>
          </w:p>
        </w:tc>
        <w:tc>
          <w:tcPr>
            <w:tcW w:w="8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NCCOB</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Carolina Office of the Commissioner of Banks</w:t>
            </w:r>
          </w:p>
        </w:tc>
        <w:tc>
          <w:tcPr>
            <w:tcW w:w="0" w:type="dxa"/>
            <w:vAlign w:val="bottom"/>
          </w:tcPr>
          <w:p>
            <w:pPr>
              <w:spacing w:after="0"/>
              <w:rPr>
                <w:sz w:val="1"/>
                <w:szCs w:val="1"/>
                <w:color w:val="auto"/>
              </w:rPr>
            </w:pPr>
          </w:p>
        </w:tc>
      </w:tr>
      <w:tr>
        <w:trPr>
          <w:trHeight w:val="168"/>
        </w:trPr>
        <w:tc>
          <w:tcPr>
            <w:tcW w:w="2440" w:type="dxa"/>
            <w:vAlign w:val="bottom"/>
            <w:gridSpan w:val="2"/>
            <w:vMerge w:val="continue"/>
            <w:shd w:val="clear" w:color="auto" w:fill="CCEEFF"/>
          </w:tcPr>
          <w:p>
            <w:pPr>
              <w:spacing w:after="0"/>
              <w:rPr>
                <w:sz w:val="14"/>
                <w:szCs w:val="14"/>
                <w:color w:val="auto"/>
              </w:rPr>
            </w:pPr>
          </w:p>
        </w:tc>
        <w:tc>
          <w:tcPr>
            <w:tcW w:w="8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OREO</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Other Real Estate Owned</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PCD</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Purchased Financial Assets with Credit Deterioration</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Quantum</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Quantum Capital Corp. and its wholly owned subsidiary, Quantum National Bank</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ROA</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Return on Assets</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ROE</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Return on Equity</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 of Use</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RSU</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Small Business Administration</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SBIC</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Small Business Investment Companies</w:t>
            </w:r>
          </w:p>
        </w:tc>
        <w:tc>
          <w:tcPr>
            <w:tcW w:w="0" w:type="dxa"/>
            <w:vAlign w:val="bottom"/>
          </w:tcPr>
          <w:p>
            <w:pPr>
              <w:spacing w:after="0"/>
              <w:rPr>
                <w:sz w:val="1"/>
                <w:szCs w:val="1"/>
                <w:color w:val="auto"/>
              </w:rPr>
            </w:pPr>
          </w:p>
        </w:tc>
      </w:tr>
      <w:tr>
        <w:trPr>
          <w:trHeight w:val="213"/>
        </w:trPr>
        <w:tc>
          <w:tcPr>
            <w:tcW w:w="24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and Exchange Commission</w:t>
            </w:r>
          </w:p>
        </w:tc>
        <w:tc>
          <w:tcPr>
            <w:tcW w:w="0" w:type="dxa"/>
            <w:vAlign w:val="bottom"/>
          </w:tcPr>
          <w:p>
            <w:pPr>
              <w:spacing w:after="0"/>
              <w:rPr>
                <w:sz w:val="1"/>
                <w:szCs w:val="1"/>
                <w:color w:val="auto"/>
              </w:rPr>
            </w:pPr>
          </w:p>
        </w:tc>
      </w:tr>
      <w:tr>
        <w:trPr>
          <w:trHeight w:val="168"/>
        </w:trPr>
        <w:tc>
          <w:tcPr>
            <w:tcW w:w="2440" w:type="dxa"/>
            <w:vAlign w:val="bottom"/>
            <w:gridSpan w:val="2"/>
            <w:vMerge w:val="continue"/>
            <w:shd w:val="clear" w:color="auto" w:fill="CCEEFF"/>
          </w:tcPr>
          <w:p>
            <w:pPr>
              <w:spacing w:after="0"/>
              <w:rPr>
                <w:sz w:val="14"/>
                <w:szCs w:val="14"/>
                <w:color w:val="auto"/>
              </w:rPr>
            </w:pPr>
          </w:p>
        </w:tc>
        <w:tc>
          <w:tcPr>
            <w:tcW w:w="8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Secured Overnight Financing Rate</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w:t>
            </w: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To-be-announced</w:t>
            </w:r>
          </w:p>
        </w:tc>
        <w:tc>
          <w:tcPr>
            <w:tcW w:w="0" w:type="dxa"/>
            <w:vAlign w:val="bottom"/>
          </w:tcPr>
          <w:p>
            <w:pPr>
              <w:spacing w:after="0"/>
              <w:rPr>
                <w:sz w:val="1"/>
                <w:szCs w:val="1"/>
                <w:color w:val="auto"/>
              </w:rPr>
            </w:pPr>
          </w:p>
        </w:tc>
      </w:tr>
      <w:tr>
        <w:trPr>
          <w:trHeight w:val="210"/>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US GAAP</w:t>
            </w:r>
          </w:p>
        </w:tc>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Generally Accepted Accounting Principles in the United States</w:t>
            </w:r>
          </w:p>
        </w:tc>
        <w:tc>
          <w:tcPr>
            <w:tcW w:w="0" w:type="dxa"/>
            <w:vAlign w:val="bottom"/>
          </w:tcPr>
          <w:p>
            <w:pPr>
              <w:spacing w:after="0"/>
              <w:rPr>
                <w:sz w:val="1"/>
                <w:szCs w:val="1"/>
                <w:color w:val="auto"/>
              </w:rPr>
            </w:pPr>
          </w:p>
        </w:tc>
      </w:tr>
      <w:tr>
        <w:trPr>
          <w:trHeight w:val="162"/>
        </w:trPr>
        <w:tc>
          <w:tcPr>
            <w:tcW w:w="2440" w:type="dxa"/>
            <w:vAlign w:val="bottom"/>
            <w:gridSpan w:val="2"/>
            <w:vMerge w:val="continue"/>
          </w:tcPr>
          <w:p>
            <w:pPr>
              <w:spacing w:after="0"/>
              <w:rPr>
                <w:sz w:val="14"/>
                <w:szCs w:val="14"/>
                <w:color w:val="auto"/>
              </w:rPr>
            </w:pPr>
          </w:p>
        </w:tc>
        <w:tc>
          <w:tcPr>
            <w:tcW w:w="8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3"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160" w:type="dxa"/>
            <w:vAlign w:val="bottom"/>
          </w:tcPr>
          <w:p>
            <w:pPr>
              <w:spacing w:after="0"/>
              <w:rPr>
                <w:sz w:val="19"/>
                <w:szCs w:val="19"/>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9"/>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328,833</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380,493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347,140</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Certificates of deposit in other banks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34,722</w:t>
            </w:r>
          </w:p>
        </w:tc>
        <w:tc>
          <w:tcPr>
            <w:tcW w:w="0" w:type="dxa"/>
            <w:vAlign w:val="bottom"/>
          </w:tcPr>
          <w:p>
            <w:pPr>
              <w:spacing w:after="0"/>
              <w:rPr>
                <w:sz w:val="1"/>
                <w:szCs w:val="1"/>
                <w:color w:val="auto"/>
              </w:rPr>
            </w:pPr>
          </w:p>
        </w:tc>
      </w:tr>
      <w:tr>
        <w:trPr>
          <w:trHeight w:val="162"/>
        </w:trPr>
        <w:tc>
          <w:tcPr>
            <w:tcW w:w="758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Debt securities available for sale, at fair value (amortized cost of $123,606 and $128,964 at March 31, 2024 and</w:t>
            </w:r>
          </w:p>
        </w:tc>
        <w:tc>
          <w:tcPr>
            <w:tcW w:w="22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120,807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126,950</w:t>
            </w:r>
          </w:p>
        </w:tc>
        <w:tc>
          <w:tcPr>
            <w:tcW w:w="0" w:type="dxa"/>
            <w:vAlign w:val="bottom"/>
          </w:tcPr>
          <w:p>
            <w:pPr>
              <w:spacing w:after="0"/>
              <w:rPr>
                <w:sz w:val="1"/>
                <w:szCs w:val="1"/>
                <w:color w:val="auto"/>
              </w:rPr>
            </w:pPr>
          </w:p>
        </w:tc>
      </w:tr>
      <w:tr>
        <w:trPr>
          <w:trHeight w:val="213"/>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FHLB and FRB stock</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18,393</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SBIC investments, at cost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 held for sale, at the lower of cost or fair value</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198,433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net of deferred loan fees and costs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3,648,152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3,640,022</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Allowance for credit losses – loans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(47,502)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(48,641)</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Loans, net</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3,600,650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3,591,381</w:t>
            </w:r>
          </w:p>
        </w:tc>
        <w:tc>
          <w:tcPr>
            <w:tcW w:w="0" w:type="dxa"/>
            <w:vAlign w:val="bottom"/>
          </w:tcPr>
          <w:p>
            <w:pPr>
              <w:spacing w:after="0"/>
              <w:rPr>
                <w:sz w:val="1"/>
                <w:szCs w:val="1"/>
                <w:color w:val="auto"/>
              </w:rPr>
            </w:pPr>
          </w:p>
        </w:tc>
      </w:tr>
      <w:tr>
        <w:trPr>
          <w:trHeight w:val="207"/>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70,937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16,902</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BOLI</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88,257</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Core deposit intangibles,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9,059</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67,183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107,404</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4,684,011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4,672,633</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75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Deposits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3,799,807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3,661,373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10,021</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433,763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67,583</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4,170,838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4,172,740</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 See Note 12</w:t>
            </w: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 or outstanding</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58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Common stock, $0.01 par value, 60,000,000 shares authorized, 17,444,787 shares issued and outstanding at March</w:t>
            </w:r>
          </w:p>
        </w:tc>
        <w:tc>
          <w:tcPr>
            <w:tcW w:w="22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3"/>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31, 2024; 17,387,069 at December 31, 2023</w:t>
            </w:r>
          </w:p>
        </w:tc>
        <w:tc>
          <w:tcPr>
            <w:tcW w:w="2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172,366</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333,401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Unearned ESOP shares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(4,497)</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513,173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499,893</w:t>
            </w:r>
          </w:p>
        </w:tc>
        <w:tc>
          <w:tcPr>
            <w:tcW w:w="0" w:type="dxa"/>
            <w:vAlign w:val="bottom"/>
          </w:tcPr>
          <w:p>
            <w:pPr>
              <w:spacing w:after="0"/>
              <w:rPr>
                <w:sz w:val="1"/>
                <w:szCs w:val="1"/>
                <w:color w:val="auto"/>
              </w:rPr>
            </w:pPr>
          </w:p>
        </w:tc>
      </w:tr>
      <w:tr>
        <w:trPr>
          <w:trHeight w:val="212"/>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4,684,011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4,672,633</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color w:val="auto"/>
        </w:rPr>
        <w:t>Consolidated Statements of Income</w:t>
      </w:r>
    </w:p>
    <w:p>
      <w:pPr>
        <w:spacing w:after="0" w:line="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20" w:type="dxa"/>
            <w:vAlign w:val="bottom"/>
          </w:tcPr>
          <w:p>
            <w:pPr>
              <w:spacing w:after="0"/>
              <w:rPr>
                <w:sz w:val="18"/>
                <w:szCs w:val="18"/>
                <w:color w:val="auto"/>
              </w:rPr>
            </w:pPr>
          </w:p>
        </w:tc>
      </w:tr>
      <w:tr>
        <w:trPr>
          <w:trHeight w:val="219"/>
        </w:trPr>
        <w:tc>
          <w:tcPr>
            <w:tcW w:w="8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and dividend income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3"/>
        </w:trPr>
        <w:tc>
          <w:tcPr>
            <w:tcW w:w="8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59,952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47,908</w:t>
            </w:r>
          </w:p>
        </w:tc>
      </w:tr>
      <w:tr>
        <w:trPr>
          <w:trHeight w:val="219"/>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r>
      <w:tr>
        <w:trPr>
          <w:trHeight w:val="213"/>
        </w:trPr>
        <w:tc>
          <w:tcPr>
            <w:tcW w:w="8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investments and interest-bearing deposits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w:t>
            </w:r>
          </w:p>
        </w:tc>
      </w:tr>
      <w:tr>
        <w:trPr>
          <w:trHeight w:val="212"/>
        </w:trPr>
        <w:tc>
          <w:tcPr>
            <w:tcW w:w="8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interest and dividend income</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63,355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50,666</w:t>
            </w:r>
          </w:p>
        </w:tc>
      </w:tr>
      <w:tr>
        <w:trPr>
          <w:trHeight w:val="260"/>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19"/>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7,864</w:t>
            </w:r>
          </w:p>
        </w:tc>
      </w:tr>
      <w:tr>
        <w:trPr>
          <w:trHeight w:val="213"/>
        </w:trPr>
        <w:tc>
          <w:tcPr>
            <w:tcW w:w="8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9"/>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r>
      <w:tr>
        <w:trPr>
          <w:trHeight w:val="207"/>
        </w:trPr>
        <w:tc>
          <w:tcPr>
            <w:tcW w:w="8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interest expense</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9,212</w:t>
            </w:r>
          </w:p>
        </w:tc>
      </w:tr>
      <w:tr>
        <w:trPr>
          <w:trHeight w:val="21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41,454</w:t>
            </w:r>
          </w:p>
        </w:tc>
      </w:tr>
      <w:tr>
        <w:trPr>
          <w:trHeight w:val="213"/>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8,760</w:t>
            </w:r>
          </w:p>
        </w:tc>
      </w:tr>
      <w:tr>
        <w:trPr>
          <w:trHeight w:val="21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after provision for credit losses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32,694</w:t>
            </w:r>
          </w:p>
        </w:tc>
      </w:tr>
      <w:tr>
        <w:trPr>
          <w:trHeight w:val="261"/>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19"/>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Service charges and fees on deposit accounts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w:t>
            </w:r>
          </w:p>
        </w:tc>
      </w:tr>
      <w:tr>
        <w:trPr>
          <w:trHeight w:val="213"/>
        </w:trPr>
        <w:tc>
          <w:tcPr>
            <w:tcW w:w="8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 income and fees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219"/>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w:t>
            </w:r>
          </w:p>
        </w:tc>
      </w:tr>
      <w:tr>
        <w:trPr>
          <w:trHeight w:val="213"/>
        </w:trPr>
        <w:tc>
          <w:tcPr>
            <w:tcW w:w="8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BOLI income</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19"/>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income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r>
      <w:tr>
        <w:trPr>
          <w:trHeight w:val="213"/>
        </w:trPr>
        <w:tc>
          <w:tcPr>
            <w:tcW w:w="8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(loss) on sale of premises and equipment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19"/>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r>
      <w:tr>
        <w:trPr>
          <w:trHeight w:val="207"/>
        </w:trPr>
        <w:tc>
          <w:tcPr>
            <w:tcW w:w="8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noninterest income</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8,310</w:t>
            </w:r>
          </w:p>
        </w:tc>
      </w:tr>
      <w:tr>
        <w:trPr>
          <w:trHeight w:val="26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13"/>
        </w:trPr>
        <w:tc>
          <w:tcPr>
            <w:tcW w:w="8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16,246</w:t>
            </w:r>
          </w:p>
        </w:tc>
      </w:tr>
      <w:tr>
        <w:trPr>
          <w:trHeight w:val="219"/>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 expense, net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w:t>
            </w:r>
          </w:p>
        </w:tc>
      </w:tr>
      <w:tr>
        <w:trPr>
          <w:trHeight w:val="213"/>
        </w:trPr>
        <w:tc>
          <w:tcPr>
            <w:tcW w:w="8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Computer services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2,911</w:t>
            </w:r>
          </w:p>
        </w:tc>
      </w:tr>
      <w:tr>
        <w:trPr>
          <w:trHeight w:val="219"/>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Telephone, postage and supplies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r>
      <w:tr>
        <w:trPr>
          <w:trHeight w:val="213"/>
        </w:trPr>
        <w:tc>
          <w:tcPr>
            <w:tcW w:w="8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19"/>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Deposit insurance premiums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r>
      <w:tr>
        <w:trPr>
          <w:trHeight w:val="213"/>
        </w:trPr>
        <w:tc>
          <w:tcPr>
            <w:tcW w:w="8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r>
      <w:tr>
        <w:trPr>
          <w:trHeight w:val="219"/>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Merger-related expenses</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w:t>
            </w:r>
          </w:p>
        </w:tc>
      </w:tr>
      <w:tr>
        <w:trPr>
          <w:trHeight w:val="213"/>
        </w:trPr>
        <w:tc>
          <w:tcPr>
            <w:tcW w:w="8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4,265</w:t>
            </w:r>
          </w:p>
        </w:tc>
      </w:tr>
      <w:tr>
        <w:trPr>
          <w:trHeight w:val="212"/>
        </w:trPr>
        <w:tc>
          <w:tcPr>
            <w:tcW w:w="8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32,833</w:t>
            </w:r>
          </w:p>
        </w:tc>
      </w:tr>
      <w:tr>
        <w:trPr>
          <w:trHeight w:val="207"/>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8,171</w:t>
            </w:r>
          </w:p>
        </w:tc>
      </w:tr>
      <w:tr>
        <w:trPr>
          <w:trHeight w:val="21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r>
      <w:tr>
        <w:trPr>
          <w:trHeight w:val="212"/>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6,734</w:t>
            </w: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64"/>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67"/>
        </w:trPr>
        <w:tc>
          <w:tcPr>
            <w:tcW w:w="8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19"/>
        </w:trPr>
        <w:tc>
          <w:tcPr>
            <w:tcW w:w="8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r>
      <w:tr>
        <w:trPr>
          <w:trHeight w:val="213"/>
        </w:trPr>
        <w:tc>
          <w:tcPr>
            <w:tcW w:w="8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r>
      <w:tr>
        <w:trPr>
          <w:trHeight w:val="273"/>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Average shares outstanding</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13"/>
        </w:trPr>
        <w:tc>
          <w:tcPr>
            <w:tcW w:w="8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16,859,738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16,021,994</w:t>
            </w:r>
          </w:p>
        </w:tc>
      </w:tr>
      <w:tr>
        <w:trPr>
          <w:trHeight w:val="219"/>
        </w:trPr>
        <w:tc>
          <w:tcPr>
            <w:tcW w:w="8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16,872,840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16,077,116</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Consolidated Statements of Comprehensive Income</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00" w:type="dxa"/>
            <w:vAlign w:val="bottom"/>
          </w:tcPr>
          <w:p>
            <w:pPr>
              <w:spacing w:after="0"/>
              <w:rPr>
                <w:sz w:val="18"/>
                <w:szCs w:val="18"/>
                <w:color w:val="auto"/>
              </w:rPr>
            </w:pPr>
          </w:p>
        </w:tc>
      </w:tr>
      <w:tr>
        <w:trPr>
          <w:trHeight w:val="219"/>
        </w:trPr>
        <w:tc>
          <w:tcPr>
            <w:tcW w:w="8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20"/>
        </w:trPr>
        <w:tc>
          <w:tcPr>
            <w:tcW w:w="8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3"/>
        </w:trPr>
        <w:tc>
          <w:tcPr>
            <w:tcW w:w="8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6,734</w:t>
            </w:r>
          </w:p>
        </w:tc>
      </w:tr>
      <w:tr>
        <w:trPr>
          <w:trHeight w:val="267"/>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3"/>
        </w:trPr>
        <w:tc>
          <w:tcPr>
            <w:tcW w:w="8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Unrealized holding gains (losses) on debt securities available for sale</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13"/>
        </w:trPr>
        <w:tc>
          <w:tcPr>
            <w:tcW w:w="8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Gains (losses) arising during the period</w:t>
            </w:r>
          </w:p>
        </w:tc>
        <w:tc>
          <w:tcPr>
            <w:tcW w:w="12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r>
      <w:tr>
        <w:trPr>
          <w:trHeight w:val="219"/>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07"/>
        </w:trPr>
        <w:tc>
          <w:tcPr>
            <w:tcW w:w="87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w:t>
            </w:r>
          </w:p>
        </w:tc>
      </w:tr>
      <w:tr>
        <w:trPr>
          <w:trHeight w:val="235"/>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7,433</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 w:name="page7"/>
    <w:bookmarkEnd w:id="6"/>
    <w:p>
      <w:pPr>
        <w:ind w:left="3680"/>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color w:val="auto"/>
        </w:rPr>
        <w:t>Consolidated Statements of Changes in Stockholders' Equity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6"/>
          </w:tcPr>
          <w:p>
            <w:pPr>
              <w:ind w:left="64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9"/>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0" w:type="dxa"/>
            <w:vAlign w:val="bottom"/>
          </w:tcPr>
          <w:p>
            <w:pPr>
              <w:spacing w:after="0"/>
              <w:rPr>
                <w:sz w:val="13"/>
                <w:szCs w:val="13"/>
                <w:color w:val="auto"/>
              </w:rPr>
            </w:pPr>
          </w:p>
        </w:tc>
        <w:tc>
          <w:tcPr>
            <w:tcW w:w="13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3"/>
                <w:szCs w:val="13"/>
                <w:color w:val="auto"/>
              </w:rPr>
            </w:pPr>
          </w:p>
        </w:tc>
        <w:tc>
          <w:tcPr>
            <w:tcW w:w="11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2160" w:type="dxa"/>
            <w:vAlign w:val="bottom"/>
            <w:gridSpan w:val="4"/>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960" w:type="dxa"/>
            <w:vAlign w:val="bottom"/>
          </w:tcPr>
          <w:p>
            <w:pPr>
              <w:spacing w:after="0"/>
              <w:rPr>
                <w:sz w:val="11"/>
                <w:szCs w:val="11"/>
                <w:color w:val="auto"/>
              </w:rPr>
            </w:pPr>
          </w:p>
        </w:tc>
        <w:tc>
          <w:tcPr>
            <w:tcW w:w="21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center"/>
              <w:ind w:right="240"/>
              <w:spacing w:after="0" w:line="132" w:lineRule="exact"/>
              <w:rPr>
                <w:sz w:val="20"/>
                <w:szCs w:val="20"/>
                <w:color w:val="auto"/>
              </w:rPr>
            </w:pPr>
            <w:r>
              <w:rPr>
                <w:rFonts w:ascii="Times New Roman" w:cs="Times New Roman" w:eastAsia="Times New Roman" w:hAnsi="Times New Roman"/>
                <w:sz w:val="15"/>
                <w:szCs w:val="15"/>
                <w:b w:val="1"/>
                <w:bCs w:val="1"/>
                <w:color w:val="auto"/>
              </w:rPr>
              <w:t>Paid In</w:t>
            </w:r>
          </w:p>
        </w:tc>
        <w:tc>
          <w:tcPr>
            <w:tcW w:w="12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5"/>
                <w:szCs w:val="15"/>
                <w:b w:val="1"/>
                <w:bCs w:val="1"/>
                <w:color w:val="auto"/>
              </w:rPr>
              <w:t>ESOP</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40" w:type="dxa"/>
            <w:vAlign w:val="bottom"/>
          </w:tcPr>
          <w:p>
            <w:pPr>
              <w:spacing w:after="0"/>
              <w:rPr>
                <w:sz w:val="11"/>
                <w:szCs w:val="11"/>
                <w:color w:val="auto"/>
              </w:rPr>
            </w:pPr>
          </w:p>
        </w:tc>
        <w:tc>
          <w:tcPr>
            <w:tcW w:w="1120" w:type="dxa"/>
            <w:vAlign w:val="bottom"/>
          </w:tcPr>
          <w:p>
            <w:pPr>
              <w:jc w:val="center"/>
              <w:ind w:right="59"/>
              <w:spacing w:after="0" w:line="13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24"/>
        </w:trPr>
        <w:tc>
          <w:tcPr>
            <w:tcW w:w="296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9"/>
                <w:szCs w:val="19"/>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9"/>
                <w:szCs w:val="19"/>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17,387,069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172,366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333,401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499,893</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15,067</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Cash dividends declared on common stock,</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$0.11/common share</w:t>
            </w: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1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(8,762)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Granted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17,444,787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172,919</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346,598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513,173</w:t>
            </w: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2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9"/>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1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2160" w:type="dxa"/>
            <w:vAlign w:val="bottom"/>
            <w:gridSpan w:val="4"/>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960" w:type="dxa"/>
            <w:vAlign w:val="bottom"/>
          </w:tcPr>
          <w:p>
            <w:pPr>
              <w:spacing w:after="0"/>
              <w:rPr>
                <w:sz w:val="10"/>
                <w:szCs w:val="10"/>
                <w:color w:val="auto"/>
              </w:rPr>
            </w:pPr>
          </w:p>
        </w:tc>
        <w:tc>
          <w:tcPr>
            <w:tcW w:w="216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Paid In</w:t>
            </w:r>
          </w:p>
        </w:tc>
        <w:tc>
          <w:tcPr>
            <w:tcW w:w="120" w:type="dxa"/>
            <w:vAlign w:val="bottom"/>
          </w:tcPr>
          <w:p>
            <w:pPr>
              <w:spacing w:after="0"/>
              <w:rPr>
                <w:sz w:val="10"/>
                <w:szCs w:val="10"/>
                <w:color w:val="auto"/>
              </w:rPr>
            </w:pPr>
          </w:p>
        </w:tc>
        <w:tc>
          <w:tcPr>
            <w:tcW w:w="92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0"/>
                <w:szCs w:val="10"/>
                <w:color w:val="auto"/>
              </w:rPr>
            </w:pPr>
          </w:p>
        </w:tc>
        <w:tc>
          <w:tcPr>
            <w:tcW w:w="94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ESOP</w:t>
            </w:r>
          </w:p>
        </w:tc>
        <w:tc>
          <w:tcPr>
            <w:tcW w:w="120" w:type="dxa"/>
            <w:vAlign w:val="bottom"/>
          </w:tcPr>
          <w:p>
            <w:pPr>
              <w:spacing w:after="0"/>
              <w:rPr>
                <w:sz w:val="10"/>
                <w:szCs w:val="10"/>
                <w:color w:val="auto"/>
              </w:rPr>
            </w:pPr>
          </w:p>
        </w:tc>
        <w:tc>
          <w:tcPr>
            <w:tcW w:w="138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0"/>
                <w:szCs w:val="10"/>
                <w:color w:val="auto"/>
              </w:rPr>
            </w:pPr>
          </w:p>
        </w:tc>
        <w:tc>
          <w:tcPr>
            <w:tcW w:w="112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
                <w:szCs w:val="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9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15,673,595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128,486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290,271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410,155</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6,734</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Cash dividends declared on common stock,</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$0.10/common share</w:t>
            </w: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1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(9,066)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Granted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issued for Quantum acquisition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1,374,646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37,734</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35"/>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17,370,063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458,242</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9"/>
        </w:trPr>
        <w:tc>
          <w:tcPr>
            <w:tcW w:w="8720" w:type="dxa"/>
            <w:vAlign w:val="bottom"/>
          </w:tcPr>
          <w:p>
            <w:pPr>
              <w:jc w:val="center"/>
              <w:ind w:left="2379"/>
              <w:spacing w:after="0"/>
              <w:rPr>
                <w:sz w:val="20"/>
                <w:szCs w:val="20"/>
                <w:color w:val="auto"/>
              </w:rPr>
            </w:pPr>
            <w:r>
              <w:rPr>
                <w:rFonts w:ascii="Times New Roman" w:cs="Times New Roman" w:eastAsia="Times New Roman" w:hAnsi="Times New Roman"/>
                <w:sz w:val="16"/>
                <w:szCs w:val="16"/>
                <w:color w:val="auto"/>
              </w:rPr>
              <w:t>HOMETRUST BANCSHARES, INC. AND SUBSIDIARY</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3"/>
        </w:trPr>
        <w:tc>
          <w:tcPr>
            <w:tcW w:w="8720" w:type="dxa"/>
            <w:vAlign w:val="bottom"/>
          </w:tcPr>
          <w:p>
            <w:pPr>
              <w:jc w:val="center"/>
              <w:ind w:left="2379"/>
              <w:spacing w:after="0"/>
              <w:rPr>
                <w:sz w:val="20"/>
                <w:szCs w:val="20"/>
                <w:color w:val="auto"/>
              </w:rPr>
            </w:pPr>
            <w:r>
              <w:rPr>
                <w:rFonts w:ascii="Times New Roman" w:cs="Times New Roman" w:eastAsia="Times New Roman" w:hAnsi="Times New Roman"/>
                <w:sz w:val="16"/>
                <w:szCs w:val="16"/>
                <w:color w:val="auto"/>
              </w:rPr>
              <w:t>Consolidated Statements of Cash Flows</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0"/>
        </w:trPr>
        <w:tc>
          <w:tcPr>
            <w:tcW w:w="8720" w:type="dxa"/>
            <w:vAlign w:val="bottom"/>
          </w:tcPr>
          <w:p>
            <w:pPr>
              <w:jc w:val="center"/>
              <w:ind w:left="2359"/>
              <w:spacing w:after="0"/>
              <w:rPr>
                <w:sz w:val="20"/>
                <w:szCs w:val="20"/>
                <w:color w:val="auto"/>
              </w:rPr>
            </w:pPr>
            <w:r>
              <w:rPr>
                <w:rFonts w:ascii="Times New Roman" w:cs="Times New Roman" w:eastAsia="Times New Roman" w:hAnsi="Times New Roman"/>
                <w:sz w:val="16"/>
                <w:szCs w:val="16"/>
                <w:color w:val="auto"/>
              </w:rPr>
              <w:t>(Dollars in thousands)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8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780" w:type="dxa"/>
            <w:vAlign w:val="bottom"/>
          </w:tcPr>
          <w:p>
            <w:pPr>
              <w:spacing w:after="0"/>
              <w:rPr>
                <w:sz w:val="19"/>
                <w:szCs w:val="19"/>
                <w:color w:val="auto"/>
              </w:rPr>
            </w:pPr>
          </w:p>
        </w:tc>
      </w:tr>
      <w:tr>
        <w:trPr>
          <w:trHeight w:val="219"/>
        </w:trPr>
        <w:tc>
          <w:tcPr>
            <w:tcW w:w="8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19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3"/>
        </w:trPr>
        <w:tc>
          <w:tcPr>
            <w:tcW w:w="8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6,734</w:t>
            </w:r>
          </w:p>
        </w:tc>
      </w:tr>
      <w:tr>
        <w:trPr>
          <w:trHeight w:val="219"/>
        </w:trPr>
        <w:tc>
          <w:tcPr>
            <w:tcW w:w="8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operating activities: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8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8,760</w:t>
            </w:r>
          </w:p>
        </w:tc>
      </w:tr>
      <w:tr>
        <w:trPr>
          <w:trHeight w:val="219"/>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 of premises and equipment and equipment for operating leases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w:t>
            </w:r>
          </w:p>
        </w:tc>
      </w:tr>
      <w:tr>
        <w:trPr>
          <w:trHeight w:val="213"/>
        </w:trPr>
        <w:tc>
          <w:tcPr>
            <w:tcW w:w="8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r>
      <w:tr>
        <w:trPr>
          <w:trHeight w:val="219"/>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accretion of purchase accounting adjustments on loans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13"/>
        </w:trPr>
        <w:tc>
          <w:tcPr>
            <w:tcW w:w="8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amortization and accretion</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r>
      <w:tr>
        <w:trPr>
          <w:trHeight w:val="219"/>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SBIC investments income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13"/>
        </w:trPr>
        <w:tc>
          <w:tcPr>
            <w:tcW w:w="8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(gain) on sale of premises and equipment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19"/>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sale or writedown of REO</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3"/>
        </w:trPr>
        <w:tc>
          <w:tcPr>
            <w:tcW w:w="8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(gain) incurred at the end of operating leases - lessor</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BOLI income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13"/>
        </w:trPr>
        <w:tc>
          <w:tcPr>
            <w:tcW w:w="8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r>
      <w:tr>
        <w:trPr>
          <w:trHeight w:val="219"/>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Origination of loans held for sale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(80,293)</w:t>
            </w:r>
          </w:p>
        </w:tc>
      </w:tr>
      <w:tr>
        <w:trPr>
          <w:trHeight w:val="213"/>
        </w:trPr>
        <w:tc>
          <w:tcPr>
            <w:tcW w:w="8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sales of loans held for sale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62,253</w:t>
            </w:r>
          </w:p>
        </w:tc>
      </w:tr>
      <w:tr>
        <w:trPr>
          <w:trHeight w:val="219"/>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New deferred loan origination costs, net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3"/>
        </w:trPr>
        <w:tc>
          <w:tcPr>
            <w:tcW w:w="8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(Increase) decrease in accrued interest receivable and other assets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r>
      <w:tr>
        <w:trPr>
          <w:trHeight w:val="219"/>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13"/>
        </w:trPr>
        <w:tc>
          <w:tcPr>
            <w:tcW w:w="8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19"/>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Increase (decrease) in other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r>
      <w:tr>
        <w:trPr>
          <w:trHeight w:val="207"/>
        </w:trPr>
        <w:tc>
          <w:tcPr>
            <w:tcW w:w="87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(4,005)</w:t>
            </w:r>
          </w:p>
        </w:tc>
      </w:tr>
      <w:tr>
        <w:trPr>
          <w:trHeight w:val="212"/>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3"/>
        </w:trPr>
        <w:tc>
          <w:tcPr>
            <w:tcW w:w="8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 of debt securities available for sale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(7,938)</w:t>
            </w:r>
          </w:p>
        </w:tc>
      </w:tr>
      <w:tr>
        <w:trPr>
          <w:trHeight w:val="219"/>
        </w:trPr>
        <w:tc>
          <w:tcPr>
            <w:tcW w:w="8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maturities, calls and paydowns of debt securities available for sale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12,832</w:t>
            </w:r>
          </w:p>
        </w:tc>
      </w:tr>
      <w:tr>
        <w:trPr>
          <w:trHeight w:val="213"/>
        </w:trPr>
        <w:tc>
          <w:tcPr>
            <w:tcW w:w="8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 of CDs in other banks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(6,221)</w:t>
            </w:r>
          </w:p>
        </w:tc>
      </w:tr>
      <w:tr>
        <w:trPr>
          <w:trHeight w:val="219"/>
        </w:trPr>
        <w:tc>
          <w:tcPr>
            <w:tcW w:w="8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maturities of CDs in other banks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w:t>
            </w:r>
          </w:p>
        </w:tc>
      </w:tr>
      <w:tr>
        <w:trPr>
          <w:trHeight w:val="213"/>
        </w:trPr>
        <w:tc>
          <w:tcPr>
            <w:tcW w:w="8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(purchases) redemptions of FHLB and FRB stock</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(4,339)</w:t>
            </w:r>
          </w:p>
        </w:tc>
      </w:tr>
      <w:tr>
        <w:trPr>
          <w:trHeight w:val="219"/>
        </w:trPr>
        <w:tc>
          <w:tcPr>
            <w:tcW w:w="8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capital contributions in SBIC investments, at cost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r>
      <w:tr>
        <w:trPr>
          <w:trHeight w:val="213"/>
        </w:trPr>
        <w:tc>
          <w:tcPr>
            <w:tcW w:w="8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increase in loans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(97,332)</w:t>
            </w:r>
          </w:p>
        </w:tc>
      </w:tr>
      <w:tr>
        <w:trPr>
          <w:trHeight w:val="219"/>
        </w:trPr>
        <w:tc>
          <w:tcPr>
            <w:tcW w:w="8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of BOLI</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8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Collection of receivable representing proceeds from redemption of BOLI policies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of equipment for operating leases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r>
      <w:tr>
        <w:trPr>
          <w:trHeight w:val="213"/>
        </w:trPr>
        <w:tc>
          <w:tcPr>
            <w:tcW w:w="8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sale of equipment for operating leases - lessor</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of premises and equipment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w:t>
            </w:r>
          </w:p>
        </w:tc>
      </w:tr>
      <w:tr>
        <w:trPr>
          <w:trHeight w:val="213"/>
        </w:trPr>
        <w:tc>
          <w:tcPr>
            <w:tcW w:w="8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sale of premises and equipment and assets held for sale</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w:t>
            </w:r>
          </w:p>
        </w:tc>
      </w:tr>
      <w:tr>
        <w:trPr>
          <w:trHeight w:val="219"/>
        </w:trPr>
        <w:tc>
          <w:tcPr>
            <w:tcW w:w="8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cash received in merger</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30,601</w:t>
            </w:r>
          </w:p>
        </w:tc>
      </w:tr>
      <w:tr>
        <w:trPr>
          <w:trHeight w:val="207"/>
        </w:trPr>
        <w:tc>
          <w:tcPr>
            <w:tcW w:w="87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48,147</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(71,265)</w:t>
            </w:r>
          </w:p>
        </w:tc>
      </w:tr>
    </w:tbl>
    <w:p>
      <w:pPr>
        <w:spacing w:after="0" w:line="200" w:lineRule="exact"/>
        <w:rPr>
          <w:sz w:val="20"/>
          <w:szCs w:val="20"/>
          <w:color w:val="auto"/>
        </w:rPr>
      </w:pPr>
    </w:p>
    <w:p>
      <w:pPr>
        <w:sectPr>
          <w:pgSz w:w="11900" w:h="16838" w:orient="portrait"/>
          <w:cols w:equalWidth="0" w:num="1">
            <w:col w:w="11180"/>
          </w:cols>
          <w:pgMar w:left="36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5" w:right="359" w:bottom="1440" w:gutter="0" w:footer="0" w:header="0"/>
          <w:type w:val="continuous"/>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Consolidated Statements of Cash Flows (continued)</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8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r>
      <w:tr>
        <w:trPr>
          <w:trHeight w:val="211"/>
        </w:trPr>
        <w:tc>
          <w:tcPr>
            <w:tcW w:w="87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40" w:type="dxa"/>
            <w:vAlign w:val="bottom"/>
            <w:tcBorders>
              <w:bottom w:val="single" w:sz="8" w:color="auto"/>
            </w:tcBorders>
          </w:tcPr>
          <w:p>
            <w:pPr>
              <w:spacing w:after="0"/>
              <w:rPr>
                <w:sz w:val="18"/>
                <w:szCs w:val="18"/>
                <w:color w:val="auto"/>
              </w:rPr>
            </w:pPr>
          </w:p>
        </w:tc>
      </w:tr>
      <w:tr>
        <w:trPr>
          <w:trHeight w:val="211"/>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8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increase in deposits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56,977</w:t>
            </w:r>
          </w:p>
        </w:tc>
        <w:tc>
          <w:tcPr>
            <w:tcW w:w="40" w:type="dxa"/>
            <w:vAlign w:val="bottom"/>
          </w:tcPr>
          <w:p>
            <w:pPr>
              <w:spacing w:after="0"/>
              <w:rPr>
                <w:sz w:val="18"/>
                <w:szCs w:val="18"/>
                <w:color w:val="auto"/>
              </w:rPr>
            </w:pPr>
          </w:p>
        </w:tc>
      </w:tr>
      <w:tr>
        <w:trPr>
          <w:trHeight w:val="219"/>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increase (decrease) in revolving line of credit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20,263</w:t>
            </w:r>
          </w:p>
        </w:tc>
        <w:tc>
          <w:tcPr>
            <w:tcW w:w="40" w:type="dxa"/>
            <w:vAlign w:val="bottom"/>
            <w:shd w:val="clear" w:color="auto" w:fill="CCEEFF"/>
          </w:tcPr>
          <w:p>
            <w:pPr>
              <w:spacing w:after="0"/>
              <w:rPr>
                <w:sz w:val="19"/>
                <w:szCs w:val="19"/>
                <w:color w:val="auto"/>
              </w:rPr>
            </w:pPr>
          </w:p>
        </w:tc>
      </w:tr>
      <w:tr>
        <w:trPr>
          <w:trHeight w:val="213"/>
        </w:trPr>
        <w:tc>
          <w:tcPr>
            <w:tcW w:w="8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increase (decrease) in short-term borrowings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(139,000)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170,000</w:t>
            </w:r>
          </w:p>
        </w:tc>
        <w:tc>
          <w:tcPr>
            <w:tcW w:w="40" w:type="dxa"/>
            <w:vAlign w:val="bottom"/>
          </w:tcPr>
          <w:p>
            <w:pPr>
              <w:spacing w:after="0"/>
              <w:rPr>
                <w:sz w:val="18"/>
                <w:szCs w:val="18"/>
                <w:color w:val="auto"/>
              </w:rPr>
            </w:pPr>
          </w:p>
        </w:tc>
      </w:tr>
      <w:tr>
        <w:trPr>
          <w:trHeight w:val="219"/>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Repayment of long-term borrowings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(24,728)</w:t>
            </w:r>
          </w:p>
        </w:tc>
      </w:tr>
      <w:tr>
        <w:trPr>
          <w:trHeight w:val="213"/>
        </w:trPr>
        <w:tc>
          <w:tcPr>
            <w:tcW w:w="8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dividends paid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(1,870)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(1,680)</w:t>
            </w:r>
          </w:p>
        </w:tc>
      </w:tr>
      <w:tr>
        <w:trPr>
          <w:trHeight w:val="219"/>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(249)</w:t>
            </w:r>
          </w:p>
        </w:tc>
      </w:tr>
      <w:tr>
        <w:trPr>
          <w:trHeight w:val="213"/>
        </w:trPr>
        <w:tc>
          <w:tcPr>
            <w:tcW w:w="8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4,066</w:t>
            </w:r>
          </w:p>
        </w:tc>
        <w:tc>
          <w:tcPr>
            <w:tcW w:w="40" w:type="dxa"/>
            <w:vAlign w:val="bottom"/>
            <w:tcBorders>
              <w:bottom w:val="single" w:sz="8" w:color="auto"/>
            </w:tcBorders>
          </w:tcPr>
          <w:p>
            <w:pPr>
              <w:spacing w:after="0"/>
              <w:rPr>
                <w:sz w:val="18"/>
                <w:szCs w:val="18"/>
                <w:color w:val="auto"/>
              </w:rPr>
            </w:pPr>
          </w:p>
        </w:tc>
      </w:tr>
      <w:tr>
        <w:trPr>
          <w:trHeight w:val="212"/>
        </w:trPr>
        <w:tc>
          <w:tcPr>
            <w:tcW w:w="8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(5,760)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224,649</w:t>
            </w:r>
          </w:p>
        </w:tc>
        <w:tc>
          <w:tcPr>
            <w:tcW w:w="40" w:type="dxa"/>
            <w:vAlign w:val="bottom"/>
            <w:tcBorders>
              <w:bottom w:val="single" w:sz="8" w:color="auto"/>
            </w:tcBorders>
            <w:shd w:val="clear" w:color="auto" w:fill="CCEEFF"/>
          </w:tcPr>
          <w:p>
            <w:pPr>
              <w:spacing w:after="0"/>
              <w:rPr>
                <w:sz w:val="18"/>
                <w:szCs w:val="18"/>
                <w:color w:val="auto"/>
              </w:rPr>
            </w:pPr>
          </w:p>
        </w:tc>
      </w:tr>
      <w:tr>
        <w:trPr>
          <w:trHeight w:val="207"/>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cash and cash equivalents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149,379</w:t>
            </w:r>
          </w:p>
        </w:tc>
        <w:tc>
          <w:tcPr>
            <w:tcW w:w="40" w:type="dxa"/>
            <w:vAlign w:val="bottom"/>
          </w:tcPr>
          <w:p>
            <w:pPr>
              <w:spacing w:after="0"/>
              <w:rPr>
                <w:sz w:val="17"/>
                <w:szCs w:val="17"/>
                <w:color w:val="auto"/>
              </w:rPr>
            </w:pPr>
          </w:p>
        </w:tc>
      </w:tr>
      <w:tr>
        <w:trPr>
          <w:trHeight w:val="21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347,140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165,034</w:t>
            </w:r>
          </w:p>
        </w:tc>
        <w:tc>
          <w:tcPr>
            <w:tcW w:w="40" w:type="dxa"/>
            <w:vAlign w:val="bottom"/>
            <w:tcBorders>
              <w:bottom w:val="single" w:sz="8" w:color="auto"/>
            </w:tcBorders>
            <w:shd w:val="clear" w:color="auto" w:fill="CCEEFF"/>
          </w:tcPr>
          <w:p>
            <w:pPr>
              <w:spacing w:after="0"/>
              <w:rPr>
                <w:sz w:val="19"/>
                <w:szCs w:val="19"/>
                <w:color w:val="auto"/>
              </w:rPr>
            </w:pPr>
          </w:p>
        </w:tc>
      </w:tr>
      <w:tr>
        <w:trPr>
          <w:trHeight w:val="207"/>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380,493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314,413</w:t>
            </w:r>
          </w:p>
        </w:tc>
        <w:tc>
          <w:tcPr>
            <w:tcW w:w="40" w:type="dxa"/>
            <w:vAlign w:val="bottom"/>
            <w:tcBorders>
              <w:bottom w:val="single" w:sz="8" w:color="auto"/>
            </w:tcBorders>
          </w:tcPr>
          <w:p>
            <w:pPr>
              <w:spacing w:after="0"/>
              <w:rPr>
                <w:sz w:val="17"/>
                <w:szCs w:val="17"/>
                <w:color w:val="auto"/>
              </w:rPr>
            </w:pPr>
          </w:p>
        </w:tc>
      </w:tr>
      <w:tr>
        <w:trPr>
          <w:trHeight w:val="23"/>
        </w:trPr>
        <w:tc>
          <w:tcPr>
            <w:tcW w:w="8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15"/>
        </w:trPr>
        <w:tc>
          <w:tcPr>
            <w:tcW w:w="8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1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8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20,221</w:t>
            </w:r>
          </w:p>
        </w:tc>
        <w:tc>
          <w:tcPr>
            <w:tcW w:w="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7,866</w:t>
            </w:r>
          </w:p>
        </w:tc>
        <w:tc>
          <w:tcPr>
            <w:tcW w:w="40" w:type="dxa"/>
            <w:vAlign w:val="bottom"/>
          </w:tcPr>
          <w:p>
            <w:pPr>
              <w:spacing w:after="0"/>
              <w:rPr>
                <w:sz w:val="19"/>
                <w:szCs w:val="19"/>
                <w:color w:val="auto"/>
              </w:rPr>
            </w:pPr>
          </w:p>
        </w:tc>
      </w:tr>
      <w:tr>
        <w:trPr>
          <w:trHeight w:val="213"/>
        </w:trPr>
        <w:tc>
          <w:tcPr>
            <w:tcW w:w="8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4,755</w:t>
            </w:r>
          </w:p>
        </w:tc>
        <w:tc>
          <w:tcPr>
            <w:tcW w:w="40" w:type="dxa"/>
            <w:vAlign w:val="bottom"/>
          </w:tcPr>
          <w:p>
            <w:pPr>
              <w:spacing w:after="0"/>
              <w:rPr>
                <w:sz w:val="18"/>
                <w:szCs w:val="18"/>
                <w:color w:val="auto"/>
              </w:rPr>
            </w:pPr>
          </w:p>
        </w:tc>
      </w:tr>
      <w:tr>
        <w:trPr>
          <w:trHeight w:val="253"/>
        </w:trPr>
        <w:tc>
          <w:tcPr>
            <w:tcW w:w="8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Noncash transactions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13"/>
        </w:trPr>
        <w:tc>
          <w:tcPr>
            <w:tcW w:w="8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 (loss) in value of debt securities available for sale, net of income taxes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20" w:type="dxa"/>
            <w:vAlign w:val="bottom"/>
          </w:tcPr>
          <w:p>
            <w:pPr>
              <w:spacing w:after="0"/>
              <w:rPr>
                <w:sz w:val="18"/>
                <w:szCs w:val="18"/>
                <w:color w:val="auto"/>
              </w:rPr>
            </w:pPr>
          </w:p>
        </w:tc>
        <w:tc>
          <w:tcPr>
            <w:tcW w:w="50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40" w:type="dxa"/>
            <w:vAlign w:val="bottom"/>
          </w:tcPr>
          <w:p>
            <w:pPr>
              <w:spacing w:after="0"/>
              <w:rPr>
                <w:sz w:val="18"/>
                <w:szCs w:val="18"/>
                <w:color w:val="auto"/>
              </w:rPr>
            </w:pPr>
          </w:p>
        </w:tc>
      </w:tr>
      <w:tr>
        <w:trPr>
          <w:trHeight w:val="219"/>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Transfer of loans held for sale to loans held for investment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w:t>
            </w:r>
          </w:p>
        </w:tc>
        <w:tc>
          <w:tcPr>
            <w:tcW w:w="40" w:type="dxa"/>
            <w:vAlign w:val="bottom"/>
          </w:tcPr>
          <w:p>
            <w:pPr>
              <w:spacing w:after="0"/>
              <w:rPr>
                <w:sz w:val="19"/>
                <w:szCs w:val="19"/>
                <w:color w:val="auto"/>
              </w:rPr>
            </w:pPr>
          </w:p>
        </w:tc>
      </w:tr>
      <w:tr>
        <w:trPr>
          <w:trHeight w:val="210"/>
        </w:trPr>
        <w:tc>
          <w:tcPr>
            <w:tcW w:w="8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Establish receivable for death benefit proceeds from BOLI policies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r>
      <w:tr>
        <w:trPr>
          <w:trHeight w:val="222"/>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ROU asset and lease liabilities for operating lease accounting</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r>
      <w:tr>
        <w:trPr>
          <w:trHeight w:val="213"/>
        </w:trPr>
        <w:tc>
          <w:tcPr>
            <w:tcW w:w="8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Business combinations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8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of assets acquired</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664,840</w:t>
            </w:r>
          </w:p>
        </w:tc>
        <w:tc>
          <w:tcPr>
            <w:tcW w:w="40" w:type="dxa"/>
            <w:vAlign w:val="bottom"/>
          </w:tcPr>
          <w:p>
            <w:pPr>
              <w:spacing w:after="0"/>
              <w:rPr>
                <w:sz w:val="19"/>
                <w:szCs w:val="19"/>
                <w:color w:val="auto"/>
              </w:rPr>
            </w:pPr>
          </w:p>
        </w:tc>
      </w:tr>
      <w:tr>
        <w:trPr>
          <w:trHeight w:val="213"/>
        </w:trPr>
        <w:tc>
          <w:tcPr>
            <w:tcW w:w="8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Fair value of liabilities assumed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609,938</w:t>
            </w:r>
          </w:p>
        </w:tc>
        <w:tc>
          <w:tcPr>
            <w:tcW w:w="40" w:type="dxa"/>
            <w:vAlign w:val="bottom"/>
          </w:tcPr>
          <w:p>
            <w:pPr>
              <w:spacing w:after="0"/>
              <w:rPr>
                <w:sz w:val="18"/>
                <w:szCs w:val="18"/>
                <w:color w:val="auto"/>
              </w:rPr>
            </w:pPr>
          </w:p>
        </w:tc>
      </w:tr>
      <w:tr>
        <w:trPr>
          <w:trHeight w:val="209"/>
        </w:trPr>
        <w:tc>
          <w:tcPr>
            <w:tcW w:w="8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assets acquired</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54,902</w:t>
            </w:r>
          </w:p>
        </w:tc>
        <w:tc>
          <w:tcPr>
            <w:tcW w:w="40" w:type="dxa"/>
            <w:vAlign w:val="bottom"/>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00" w:hanging="292"/>
        <w:spacing w:after="0"/>
        <w:tabs>
          <w:tab w:leader="none" w:pos="30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Summary of Significant Accounting Policies</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consolidated unaudited financial statements presented in this report include the accounts of HomeTrust Bancshares, Inc., a Maryland corporation (“HomeTrust”), and its wholly-owned subsidiary, HomeTrust Bank (the “Bank”). As used throughout this report, the term the “Company” refers to HomeTrust and its consolidated subsidiary, unless the context otherwise requires. HomeTrust is a bank holding company primarily engaged in the business of planning, directing and coordinating the business activities of the Bank. The Bank is a North Carolina state chartered bank and provides a wide range of retail and commercial banking products within its geographic footprint, which includes: North Carolina (the Asheville metropolitan area, the "Piedmont" region, Charlotte and Raleigh/Cary), South Carolina (Greenville and Charleston), East Tennessee (Kingsport/Johnson City, Knoxville and Morristown), Southwest Virginia (the Roanoke Valley) and Georgia (Greater Atlanta). The Bank operates under a single set of corporate policies and procedures and is recognized as a single banking segment for financial reporting purposes.</w:t>
      </w:r>
    </w:p>
    <w:p>
      <w:pPr>
        <w:spacing w:after="0" w:line="47"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As a result of its merger with Quantum on February 12, 2023, HomeTrust became the 100% successor owner of the Quantum Capital Statutory Trust II Delaware trust. The sole assets of the trust represent the proceeds of offerings loaned in exchange for subordinated debentures with similar terms to the trust preferred securities.</w:t>
      </w:r>
    </w:p>
    <w:p>
      <w:pPr>
        <w:spacing w:after="0" w:line="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accompanying unaudited consolidated financial statements have been prepared in accordance with US GAAP for interim financial information and in accordance with the instructions to Form 10-Q and Article 10 of Regulation S-X as promulgated by the SEC. Accordingly, they do not include all the information and footnotes required by US GAAP for complete financial statements. In the opinion of management, all adjustments (consisting of normal recurring accruals) considered necessary for a fair presentation of the financial position and results of operations for the periods presented have been included. It is recommended that these unaudited interim consolidated financial statements be read in conjunction with the audited consolidated financial statements and notes thereto included in the Company's Transition Report on Form 10-KT for the six-month transition period ended December 31, 2023 ("2023 Form 10-KT") filed with the SEC on March 12, 2024. The results of operations for the three months ended March 31, 2024 are not necessarily indicative of results that may be expected for the year ending December 31, 2024, the period which will be covered on a Report on Form 10-K.</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amounts reported in the financial statements. Various elements of the Company's accounting policies, by their nature, are inherently subject to estimation techniques, valuation assumptions and other subjective assessments. In particular, management has identified the determination of the provision and the ACL on loans as an accounting policy that, due to the judgments, estimates and assumptions inherent in the policy, is critical to an understanding of the Company's financial statements. This policy and the related judgments, estimates and assumptions are described in greater detail in the notes to the Consolidated Financial Statements and Management's Discussion and Analysis of Financial Condition and Results of Operations (Critical Accounting Policies and Estimates) in the 2023 Form 10-KT. Management believes that the judgments, estimates and assumptions used in the preparation of the financial statements are appropriate based on the factual circumstances at the time. However, given the sensitivity of the financial statements to this critical accounting policy, the use of other judgments, estimates and assumptions could result in material differences in the Company's results of operations or financial condition. Further, subsequent changes in economic or market conditions could have a material impact on these estimates and the Company's financial condition and operating results in future periods.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Prior Period Disclosure Correction</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231F20"/>
        </w:rPr>
        <w:t xml:space="preserve">Within </w:t>
      </w:r>
      <w:r>
        <w:rPr>
          <w:rFonts w:ascii="Times New Roman" w:cs="Times New Roman" w:eastAsia="Times New Roman" w:hAnsi="Times New Roman"/>
          <w:sz w:val="16"/>
          <w:szCs w:val="16"/>
          <w:color w:val="000000"/>
        </w:rPr>
        <w:t>"Note 6 – Loans and Allowance for Credit Losses on Loans", the tables disclosing our credit risk profile by origination year as of December 31, 2023, beginning on</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 xml:space="preserve">page 17 of this document, reflect the correction of an immaterial error in the prior period disclosure. The correction of the disclosure error redistributed $264,101 in loans from the "Revolving" columns to the "Term Loans By Origination Fiscal Year" columns. The error's only impact was to the identified disclosure and therefore had </w:t>
      </w:r>
      <w:r>
        <w:rPr>
          <w:rFonts w:ascii="Times New Roman" w:cs="Times New Roman" w:eastAsia="Times New Roman" w:hAnsi="Times New Roman"/>
          <w:sz w:val="16"/>
          <w:szCs w:val="16"/>
          <w:color w:val="231F20"/>
        </w:rPr>
        <w:t>no effect</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231F20"/>
        </w:rPr>
        <w:t>on net income or stockholders' equity as previously reported.</w:t>
      </w:r>
    </w:p>
    <w:p>
      <w:pPr>
        <w:spacing w:after="0" w:line="110" w:lineRule="exact"/>
        <w:rPr>
          <w:sz w:val="20"/>
          <w:szCs w:val="20"/>
          <w:color w:val="auto"/>
        </w:rPr>
      </w:pPr>
    </w:p>
    <w:p>
      <w:pPr>
        <w:ind w:right="8440" w:firstLine="8"/>
        <w:spacing w:after="0" w:line="299" w:lineRule="auto"/>
        <w:tabs>
          <w:tab w:leader="none" w:pos="283"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Recent Accounting Pronouncements </w:t>
      </w:r>
      <w:r>
        <w:rPr>
          <w:rFonts w:ascii="Times New Roman" w:cs="Times New Roman" w:eastAsia="Times New Roman" w:hAnsi="Times New Roman"/>
          <w:sz w:val="16"/>
          <w:szCs w:val="16"/>
          <w:b w:val="1"/>
          <w:bCs w:val="1"/>
          <w:i w:val="1"/>
          <w:iCs w:val="1"/>
          <w:color w:val="212529"/>
        </w:rPr>
        <w:t>Adoption of New Accounting Standards</w:t>
      </w:r>
    </w:p>
    <w:p>
      <w:pPr>
        <w:jc w:val="both"/>
        <w:spacing w:after="0" w:line="26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 xml:space="preserve">ASU 2023-02, "Investments—Equity Method and Joint Ventures (Topic 323): Accounting for Investments in Tax Credit Structures Using the Proportional Amortization Method." </w:t>
      </w:r>
      <w:r>
        <w:rPr>
          <w:rFonts w:ascii="Times New Roman" w:cs="Times New Roman" w:eastAsia="Times New Roman" w:hAnsi="Times New Roman"/>
          <w:sz w:val="16"/>
          <w:szCs w:val="16"/>
          <w:color w:val="auto"/>
        </w:rPr>
        <w:t>This ASU permits reporting entities to elect to account for their tax equity investments, regardless of the tax credit program from which the income tax credits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received, using the proportional amortization method if certain conditions are met. The Company adopted this ASU on January 1, 2024, making an accounting policy election to apply the proportional amortization method on a tax credit program by tax credit program basis. The adoption did not result in a change in accounting for any of the Company's existing tax equity investments.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Newly Issued but Not Yet Effective Accounting Standards</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ASU 2023-07, "Segment Reporting (Topic 280): Improvements to Reportable Segment Disclosures." </w:t>
      </w:r>
      <w:r>
        <w:rPr>
          <w:rFonts w:ascii="Times New Roman" w:cs="Times New Roman" w:eastAsia="Times New Roman" w:hAnsi="Times New Roman"/>
          <w:sz w:val="16"/>
          <w:szCs w:val="16"/>
          <w:color w:val="auto"/>
        </w:rPr>
        <w:t>In November 2023, the FASB issued ASU 2023-07 which will require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public entities to disclose information about their reportable segments' significant expenses on an interim and annual basis. Public entities will be required to disclose other segment items for each reportable segment and provide a description of its composition. Significant expense categories are derived from expenses that are regularly reported to an entity's chief operating decision-makers and included in segment-reported measures of profit or loss. The ASU will also require a public entity to disclose the title and position of the chief operating decision-maker and explain how the chief operating decision-maker uses the reported measures of profit or loss to assess segment performance. Lastly, ASU 2023-07 also requires interim disclosures of certain segment-related disclosures that previously were required only on an annual basis and clarifies that entities with a single reportable segment are subject to both new and existing segment reporting requirements under Topic 280.</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ASU 2023-07 is effective for fiscal years beginning after December 15, 2023 and interim periods within fiscal years beginning after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December 15, 2024. The ASU requires entities to adopt the changes to the segment reporting guidance on a retrospective basis and early adoption is permitted. The Company will update its segment-related disclosures upon adoption of the ASU.</w:t>
      </w:r>
    </w:p>
    <w:p>
      <w:pPr>
        <w:spacing w:after="0" w:line="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ASU 2023-09, "Income Taxes (Topic 740): Improvements to Income Tax Disclosures." </w:t>
      </w:r>
      <w:r>
        <w:rPr>
          <w:rFonts w:ascii="Times New Roman" w:cs="Times New Roman" w:eastAsia="Times New Roman" w:hAnsi="Times New Roman"/>
          <w:sz w:val="16"/>
          <w:szCs w:val="16"/>
          <w:color w:val="auto"/>
        </w:rPr>
        <w:t>In December 2023, the FASB issued ASU 2023-09 which requires entities to disclose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more detailed information in the reconciliation of their statutory tax rate to their effective tax rate. The ASU also requires entities to disclose more detailed information about income taxes paid, including by jurisdiction. This ASU is effective for public business entities for annual reporting periods beginning after December 15, 2024 and interim periods beginning after December 15, 2025. The Company will update its income tax disclosures upon adoption of the ASU.</w:t>
      </w:r>
    </w:p>
    <w:p>
      <w:pPr>
        <w:spacing w:after="0" w:line="108"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Merger with Quantum</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February 12, 2023, the Company merged with Quantum which operated two locations in the Atlanta metro area. The aggregate amount of consideration to be paid per the purchase agreement of approximately $70,771, inclusive of consideration of common stock, other cash consideration, and cash in lieu of fractional shares, included $15,869 of cash consideration paid by Quantum to its stockholders in advance of the closing date as is further described below. These distributions reduced Quantum's stockholders' equity by an equal amount prior to the transaction closing date.</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following table provides a summary of the assets acquired, liabilities assumed, associated preliminary fair value adjustments and provisional period adjustments by the Company as of the merger date. As provided for under US GAAP, management had up to 12 months following the date of merger to finalize the fair value adjustments. Management has completed its evaluation and the values in the table below are considered final.</w:t>
      </w:r>
    </w:p>
    <w:tbl>
      <w:tblPr>
        <w:tblLayout w:type="fixed"/>
        <w:tblInd w:w="0" w:type="dxa"/>
        <w:tblCellMar>
          <w:top w:w="0" w:type="dxa"/>
          <w:left w:w="0" w:type="dxa"/>
          <w:bottom w:w="0" w:type="dxa"/>
          <w:right w:w="0" w:type="dxa"/>
        </w:tblCellMar>
      </w:tblPr>
      <w:tr>
        <w:trPr>
          <w:trHeight w:val="178"/>
        </w:trPr>
        <w:tc>
          <w:tcPr>
            <w:tcW w:w="5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Quantum</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line="178" w:lineRule="exact"/>
              <w:rPr>
                <w:sz w:val="20"/>
                <w:szCs w:val="20"/>
                <w:color w:val="auto"/>
              </w:rPr>
            </w:pPr>
            <w:r>
              <w:rPr>
                <w:rFonts w:ascii="Times New Roman" w:cs="Times New Roman" w:eastAsia="Times New Roman" w:hAnsi="Times New Roman"/>
                <w:sz w:val="16"/>
                <w:szCs w:val="16"/>
                <w:b w:val="1"/>
                <w:bCs w:val="1"/>
                <w:color w:val="auto"/>
                <w:w w:val="98"/>
              </w:rPr>
              <w:t>Fair Value</w:t>
            </w:r>
          </w:p>
        </w:tc>
        <w:tc>
          <w:tcPr>
            <w:tcW w:w="142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Provisional Period</w:t>
            </w:r>
          </w:p>
        </w:tc>
        <w:tc>
          <w:tcPr>
            <w:tcW w:w="100" w:type="dxa"/>
            <w:vAlign w:val="bottom"/>
          </w:tcPr>
          <w:p>
            <w:pPr>
              <w:spacing w:after="0"/>
              <w:rPr>
                <w:sz w:val="15"/>
                <w:szCs w:val="15"/>
                <w:color w:val="auto"/>
              </w:rPr>
            </w:pPr>
          </w:p>
        </w:tc>
        <w:tc>
          <w:tcPr>
            <w:tcW w:w="1220" w:type="dxa"/>
            <w:vAlign w:val="bottom"/>
          </w:tcPr>
          <w:p>
            <w:pPr>
              <w:jc w:val="right"/>
              <w:ind w:right="39"/>
              <w:spacing w:after="0" w:line="178" w:lineRule="exact"/>
              <w:rPr>
                <w:sz w:val="20"/>
                <w:szCs w:val="20"/>
                <w:color w:val="auto"/>
              </w:rPr>
            </w:pPr>
            <w:r>
              <w:rPr>
                <w:rFonts w:ascii="Times New Roman" w:cs="Times New Roman" w:eastAsia="Times New Roman" w:hAnsi="Times New Roman"/>
                <w:sz w:val="16"/>
                <w:szCs w:val="16"/>
                <w:b w:val="1"/>
                <w:bCs w:val="1"/>
                <w:color w:val="auto"/>
                <w:w w:val="99"/>
              </w:rPr>
              <w:t>As Recorded by</w:t>
            </w:r>
          </w:p>
        </w:tc>
        <w:tc>
          <w:tcPr>
            <w:tcW w:w="0" w:type="dxa"/>
            <w:vAlign w:val="bottom"/>
          </w:tcPr>
          <w:p>
            <w:pPr>
              <w:spacing w:after="0"/>
              <w:rPr>
                <w:sz w:val="1"/>
                <w:szCs w:val="1"/>
                <w:color w:val="auto"/>
              </w:rPr>
            </w:pPr>
          </w:p>
        </w:tc>
      </w:tr>
      <w:tr>
        <w:trPr>
          <w:trHeight w:val="214"/>
        </w:trPr>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8"/>
                <w:szCs w:val="18"/>
                <w:color w:val="auto"/>
              </w:rPr>
            </w:pP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HomeTrust</w:t>
            </w:r>
          </w:p>
        </w:tc>
        <w:tc>
          <w:tcPr>
            <w:tcW w:w="0" w:type="dxa"/>
            <w:vAlign w:val="bottom"/>
          </w:tcPr>
          <w:p>
            <w:pPr>
              <w:spacing w:after="0"/>
              <w:rPr>
                <w:sz w:val="1"/>
                <w:szCs w:val="1"/>
                <w:color w:val="auto"/>
              </w:rPr>
            </w:pPr>
          </w:p>
        </w:tc>
      </w:tr>
      <w:tr>
        <w:trPr>
          <w:trHeight w:val="198"/>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 acquired</w:t>
            </w: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47,769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47,769</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w:t>
            </w:r>
          </w:p>
        </w:tc>
        <w:tc>
          <w:tcPr>
            <w:tcW w:w="0" w:type="dxa"/>
            <w:vAlign w:val="bottom"/>
          </w:tcPr>
          <w:p>
            <w:pPr>
              <w:spacing w:after="0"/>
              <w:rPr>
                <w:sz w:val="1"/>
                <w:szCs w:val="1"/>
                <w:color w:val="auto"/>
              </w:rPr>
            </w:pPr>
          </w:p>
        </w:tc>
      </w:tr>
      <w:tr>
        <w:trPr>
          <w:trHeight w:val="213"/>
        </w:trPr>
        <w:tc>
          <w:tcPr>
            <w:tcW w:w="5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FHLB and FRB stock</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Loans</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561,933</w:t>
            </w:r>
          </w:p>
        </w:tc>
        <w:tc>
          <w:tcPr>
            <w:tcW w:w="0" w:type="dxa"/>
            <w:vAlign w:val="bottom"/>
          </w:tcPr>
          <w:p>
            <w:pPr>
              <w:spacing w:after="0"/>
              <w:rPr>
                <w:sz w:val="1"/>
                <w:szCs w:val="1"/>
                <w:color w:val="auto"/>
              </w:rPr>
            </w:pPr>
          </w:p>
        </w:tc>
      </w:tr>
      <w:tr>
        <w:trPr>
          <w:trHeight w:val="213"/>
        </w:trPr>
        <w:tc>
          <w:tcPr>
            <w:tcW w:w="5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Premises and equipment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9,083</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0" w:type="dxa"/>
            <w:vAlign w:val="bottom"/>
          </w:tcPr>
          <w:p>
            <w:pPr>
              <w:spacing w:after="0"/>
              <w:rPr>
                <w:sz w:val="1"/>
                <w:szCs w:val="1"/>
                <w:color w:val="auto"/>
              </w:rPr>
            </w:pPr>
          </w:p>
        </w:tc>
      </w:tr>
      <w:tr>
        <w:trPr>
          <w:trHeight w:val="213"/>
        </w:trPr>
        <w:tc>
          <w:tcPr>
            <w:tcW w:w="5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BOLI</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9,066</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Core deposit intangibles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12,210</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0" w:type="dxa"/>
            <w:vAlign w:val="bottom"/>
          </w:tcPr>
          <w:p>
            <w:pPr>
              <w:spacing w:after="0"/>
              <w:rPr>
                <w:sz w:val="1"/>
                <w:szCs w:val="1"/>
                <w:color w:val="auto"/>
              </w:rPr>
            </w:pPr>
          </w:p>
        </w:tc>
      </w:tr>
      <w:tr>
        <w:trPr>
          <w:trHeight w:val="235"/>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644,556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656,617</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assumed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5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Deposits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570,419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570,602</w:t>
            </w:r>
          </w:p>
        </w:tc>
        <w:tc>
          <w:tcPr>
            <w:tcW w:w="0" w:type="dxa"/>
            <w:vAlign w:val="bottom"/>
          </w:tcPr>
          <w:p>
            <w:pPr>
              <w:spacing w:after="0"/>
              <w:rPr>
                <w:sz w:val="1"/>
                <w:szCs w:val="1"/>
                <w:color w:val="auto"/>
              </w:rPr>
            </w:pPr>
          </w:p>
        </w:tc>
      </w:tr>
      <w:tr>
        <w:trPr>
          <w:trHeight w:val="213"/>
        </w:trPr>
        <w:tc>
          <w:tcPr>
            <w:tcW w:w="5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9,933</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borrowings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24,728</w:t>
            </w:r>
          </w:p>
        </w:tc>
        <w:tc>
          <w:tcPr>
            <w:tcW w:w="0" w:type="dxa"/>
            <w:vAlign w:val="bottom"/>
          </w:tcPr>
          <w:p>
            <w:pPr>
              <w:spacing w:after="0"/>
              <w:rPr>
                <w:sz w:val="1"/>
                <w:szCs w:val="1"/>
                <w:color w:val="auto"/>
              </w:rPr>
            </w:pPr>
          </w:p>
        </w:tc>
      </w:tr>
      <w:tr>
        <w:trPr>
          <w:trHeight w:val="213"/>
        </w:trPr>
        <w:tc>
          <w:tcPr>
            <w:tcW w:w="5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0" w:type="dxa"/>
            <w:vAlign w:val="bottom"/>
          </w:tcPr>
          <w:p>
            <w:pPr>
              <w:spacing w:after="0"/>
              <w:rPr>
                <w:sz w:val="1"/>
                <w:szCs w:val="1"/>
                <w:color w:val="auto"/>
              </w:rPr>
            </w:pPr>
          </w:p>
        </w:tc>
      </w:tr>
      <w:tr>
        <w:trPr>
          <w:trHeight w:val="207"/>
        </w:trPr>
        <w:tc>
          <w:tcPr>
            <w:tcW w:w="56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609,822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610,188</w:t>
            </w:r>
          </w:p>
        </w:tc>
        <w:tc>
          <w:tcPr>
            <w:tcW w:w="0" w:type="dxa"/>
            <w:vAlign w:val="bottom"/>
          </w:tcPr>
          <w:p>
            <w:pPr>
              <w:spacing w:after="0"/>
              <w:rPr>
                <w:sz w:val="1"/>
                <w:szCs w:val="1"/>
                <w:color w:val="auto"/>
              </w:rPr>
            </w:pPr>
          </w:p>
        </w:tc>
      </w:tr>
      <w:tr>
        <w:trPr>
          <w:trHeight w:val="23"/>
        </w:trPr>
        <w:tc>
          <w:tcPr>
            <w:tcW w:w="5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acquired</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 paid</w:t>
            </w: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 consideration</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of Quantum</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574,157</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Exchange ratio</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2.3942</w:t>
            </w:r>
          </w:p>
        </w:tc>
        <w:tc>
          <w:tcPr>
            <w:tcW w:w="0" w:type="dxa"/>
            <w:vAlign w:val="bottom"/>
          </w:tcPr>
          <w:p>
            <w:pPr>
              <w:spacing w:after="0"/>
              <w:rPr>
                <w:sz w:val="1"/>
                <w:szCs w:val="1"/>
                <w:color w:val="auto"/>
              </w:rPr>
            </w:pPr>
          </w:p>
        </w:tc>
      </w:tr>
      <w:tr>
        <w:trPr>
          <w:trHeight w:val="207"/>
        </w:trPr>
        <w:tc>
          <w:tcPr>
            <w:tcW w:w="5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HomeTrust common stock issued</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1,374,647</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Price per share of HomeTrust common stock on February 10, 2023</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0" w:type="dxa"/>
            <w:vAlign w:val="bottom"/>
          </w:tcPr>
          <w:p>
            <w:pPr>
              <w:spacing w:after="0"/>
              <w:rPr>
                <w:sz w:val="1"/>
                <w:szCs w:val="1"/>
                <w:color w:val="auto"/>
              </w:rPr>
            </w:pPr>
          </w:p>
        </w:tc>
      </w:tr>
      <w:tr>
        <w:trPr>
          <w:trHeight w:val="207"/>
        </w:trPr>
        <w:tc>
          <w:tcPr>
            <w:tcW w:w="5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HomeTrust common stock consideration</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37,734</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Cash consideration</w:t>
            </w:r>
            <w:r>
              <w:rPr>
                <w:rFonts w:ascii="Times New Roman" w:cs="Times New Roman" w:eastAsia="Times New Roman" w:hAnsi="Times New Roman"/>
                <w:sz w:val="21"/>
                <w:szCs w:val="21"/>
                <w:color w:val="auto"/>
                <w:vertAlign w:val="superscript"/>
              </w:rPr>
              <w:t>(2)</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17,168</w:t>
            </w:r>
          </w:p>
        </w:tc>
        <w:tc>
          <w:tcPr>
            <w:tcW w:w="0" w:type="dxa"/>
            <w:vAlign w:val="bottom"/>
          </w:tcPr>
          <w:p>
            <w:pPr>
              <w:spacing w:after="0"/>
              <w:rPr>
                <w:sz w:val="1"/>
                <w:szCs w:val="1"/>
                <w:color w:val="auto"/>
              </w:rPr>
            </w:pPr>
          </w:p>
        </w:tc>
      </w:tr>
      <w:tr>
        <w:trPr>
          <w:trHeight w:val="207"/>
        </w:trPr>
        <w:tc>
          <w:tcPr>
            <w:tcW w:w="56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54,902</w:t>
            </w:r>
          </w:p>
        </w:tc>
        <w:tc>
          <w:tcPr>
            <w:tcW w:w="0" w:type="dxa"/>
            <w:vAlign w:val="bottom"/>
          </w:tcPr>
          <w:p>
            <w:pPr>
              <w:spacing w:after="0"/>
              <w:rPr>
                <w:sz w:val="1"/>
                <w:szCs w:val="1"/>
                <w:color w:val="auto"/>
              </w:rPr>
            </w:pPr>
          </w:p>
        </w:tc>
      </w:tr>
      <w:tr>
        <w:trPr>
          <w:trHeight w:val="23"/>
        </w:trPr>
        <w:tc>
          <w:tcPr>
            <w:tcW w:w="5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8,473</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both"/>
        <w:ind w:left="260" w:hanging="252"/>
        <w:spacing w:after="0" w:line="271" w:lineRule="auto"/>
        <w:tabs>
          <w:tab w:leader="none" w:pos="25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Quantum's total loans include the elimination of Quantum's existing allowance for loan losses of $5,972, the recognition of an ACL at close on PCD loans of $369, and adjustments to reflect the estimated credit fair value mark on the non-PCD loan portfolio of $2,932 and the estimated interest rate fair value adjustment on the loan portfolio as a whole (non-PCD and PCD) of $7,878.</w:t>
      </w:r>
    </w:p>
    <w:p>
      <w:pPr>
        <w:spacing w:after="0" w:line="8" w:lineRule="exact"/>
        <w:rPr>
          <w:rFonts w:ascii="Times New Roman" w:cs="Times New Roman" w:eastAsia="Times New Roman" w:hAnsi="Times New Roman"/>
          <w:sz w:val="14"/>
          <w:szCs w:val="14"/>
          <w:color w:val="auto"/>
        </w:rPr>
      </w:pPr>
    </w:p>
    <w:p>
      <w:pPr>
        <w:jc w:val="both"/>
        <w:ind w:left="260" w:hanging="252"/>
        <w:spacing w:after="0" w:line="268" w:lineRule="auto"/>
        <w:tabs>
          <w:tab w:leader="none" w:pos="25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indicated in the Current Report on Form 8-K/A filed with the SEC on March 30, 2023, the amount of cash consideration paid at closing differs from the $57.54 per share, or $33,037, reported in the Current Report on Form 8-K filed on February 13, 2023, which announced the closing of the merger. Consistent with the merger agreement, between the execution of the merger agreement and the transaction closing date, Quantum's principal stockholders had the option to withdraw some or all of the amount of cash consideration to eventually be paid at closing in advance of the closing date. The amount of cash consideration paid at closing was reduced by the amount withdrawn during this time period.</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Goodwill of $8,473 arising from the merger consisted largely of synergies and the cost saves resulting from the combining of operations of the companies, and is not expected to be deductible for income tax purposes.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4.  Debt Securities</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Debt securities available for sale consist of the following at the dates indicated:</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3"/>
                <w:szCs w:val="13"/>
                <w:color w:val="auto"/>
              </w:rPr>
            </w:pPr>
          </w:p>
        </w:tc>
        <w:tc>
          <w:tcPr>
            <w:tcW w:w="1120" w:type="dxa"/>
            <w:vAlign w:val="bottom"/>
          </w:tcPr>
          <w:p>
            <w:pPr>
              <w:jc w:val="center"/>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4"/>
                <w:szCs w:val="14"/>
                <w:color w:val="auto"/>
              </w:rPr>
            </w:pPr>
          </w:p>
        </w:tc>
        <w:tc>
          <w:tcPr>
            <w:tcW w:w="1120" w:type="dxa"/>
            <w:vAlign w:val="bottom"/>
          </w:tcPr>
          <w:p>
            <w:pPr>
              <w:jc w:val="center"/>
              <w:ind w:right="139"/>
              <w:spacing w:after="0" w:line="162"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56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115,128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113,181</w:t>
            </w:r>
          </w:p>
        </w:tc>
        <w:tc>
          <w:tcPr>
            <w:tcW w:w="0" w:type="dxa"/>
            <w:vAlign w:val="bottom"/>
          </w:tcPr>
          <w:p>
            <w:pPr>
              <w:spacing w:after="0"/>
              <w:rPr>
                <w:sz w:val="1"/>
                <w:szCs w:val="1"/>
                <w:color w:val="auto"/>
              </w:rPr>
            </w:pPr>
          </w:p>
        </w:tc>
      </w:tr>
      <w:tr>
        <w:trPr>
          <w:trHeight w:val="213"/>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0" w:type="dxa"/>
            <w:vAlign w:val="bottom"/>
          </w:tcPr>
          <w:p>
            <w:pPr>
              <w:spacing w:after="0"/>
              <w:rPr>
                <w:sz w:val="1"/>
                <w:szCs w:val="1"/>
                <w:color w:val="auto"/>
              </w:rPr>
            </w:pPr>
          </w:p>
        </w:tc>
      </w:tr>
      <w:tr>
        <w:trPr>
          <w:trHeight w:val="219"/>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0" w:type="dxa"/>
            <w:vAlign w:val="bottom"/>
          </w:tcPr>
          <w:p>
            <w:pPr>
              <w:spacing w:after="0"/>
              <w:rPr>
                <w:sz w:val="1"/>
                <w:szCs w:val="1"/>
                <w:color w:val="auto"/>
              </w:rPr>
            </w:pPr>
          </w:p>
        </w:tc>
      </w:tr>
      <w:tr>
        <w:trPr>
          <w:trHeight w:val="207"/>
        </w:trPr>
        <w:tc>
          <w:tcPr>
            <w:tcW w:w="56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123,606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120,807</w:t>
            </w:r>
          </w:p>
        </w:tc>
        <w:tc>
          <w:tcPr>
            <w:tcW w:w="0" w:type="dxa"/>
            <w:vAlign w:val="bottom"/>
          </w:tcPr>
          <w:p>
            <w:pPr>
              <w:spacing w:after="0"/>
              <w:rPr>
                <w:sz w:val="1"/>
                <w:szCs w:val="1"/>
                <w:color w:val="auto"/>
              </w:rPr>
            </w:pPr>
          </w:p>
        </w:tc>
      </w:tr>
      <w:tr>
        <w:trPr>
          <w:trHeight w:val="23"/>
        </w:trPr>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8"/>
        </w:trPr>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3"/>
                <w:szCs w:val="13"/>
                <w:color w:val="auto"/>
              </w:rPr>
            </w:pPr>
          </w:p>
        </w:tc>
        <w:tc>
          <w:tcPr>
            <w:tcW w:w="1120" w:type="dxa"/>
            <w:vAlign w:val="bottom"/>
          </w:tcPr>
          <w:p>
            <w:pPr>
              <w:jc w:val="center"/>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4"/>
                <w:szCs w:val="14"/>
                <w:color w:val="auto"/>
              </w:rPr>
            </w:pPr>
          </w:p>
        </w:tc>
        <w:tc>
          <w:tcPr>
            <w:tcW w:w="1120" w:type="dxa"/>
            <w:vAlign w:val="bottom"/>
          </w:tcPr>
          <w:p>
            <w:pPr>
              <w:jc w:val="center"/>
              <w:ind w:right="139"/>
              <w:spacing w:after="0" w:line="162"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56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105,477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104,499</w:t>
            </w:r>
          </w:p>
        </w:tc>
        <w:tc>
          <w:tcPr>
            <w:tcW w:w="0" w:type="dxa"/>
            <w:vAlign w:val="bottom"/>
          </w:tcPr>
          <w:p>
            <w:pPr>
              <w:spacing w:after="0"/>
              <w:rPr>
                <w:sz w:val="1"/>
                <w:szCs w:val="1"/>
                <w:color w:val="auto"/>
              </w:rPr>
            </w:pPr>
          </w:p>
        </w:tc>
      </w:tr>
      <w:tr>
        <w:trPr>
          <w:trHeight w:val="213"/>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w:t>
            </w:r>
          </w:p>
        </w:tc>
        <w:tc>
          <w:tcPr>
            <w:tcW w:w="0" w:type="dxa"/>
            <w:vAlign w:val="bottom"/>
          </w:tcPr>
          <w:p>
            <w:pPr>
              <w:spacing w:after="0"/>
              <w:rPr>
                <w:sz w:val="1"/>
                <w:szCs w:val="1"/>
                <w:color w:val="auto"/>
              </w:rPr>
            </w:pPr>
          </w:p>
        </w:tc>
      </w:tr>
      <w:tr>
        <w:trPr>
          <w:trHeight w:val="219"/>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19,042</w:t>
            </w:r>
          </w:p>
        </w:tc>
        <w:tc>
          <w:tcPr>
            <w:tcW w:w="0" w:type="dxa"/>
            <w:vAlign w:val="bottom"/>
          </w:tcPr>
          <w:p>
            <w:pPr>
              <w:spacing w:after="0"/>
              <w:rPr>
                <w:sz w:val="1"/>
                <w:szCs w:val="1"/>
                <w:color w:val="auto"/>
              </w:rPr>
            </w:pPr>
          </w:p>
        </w:tc>
      </w:tr>
      <w:tr>
        <w:trPr>
          <w:trHeight w:val="207"/>
        </w:trPr>
        <w:tc>
          <w:tcPr>
            <w:tcW w:w="56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128,964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126,950</w:t>
            </w:r>
          </w:p>
        </w:tc>
        <w:tc>
          <w:tcPr>
            <w:tcW w:w="0" w:type="dxa"/>
            <w:vAlign w:val="bottom"/>
          </w:tcPr>
          <w:p>
            <w:pPr>
              <w:spacing w:after="0"/>
              <w:rPr>
                <w:sz w:val="1"/>
                <w:szCs w:val="1"/>
                <w:color w:val="auto"/>
              </w:rPr>
            </w:pPr>
          </w:p>
        </w:tc>
      </w:tr>
      <w:tr>
        <w:trPr>
          <w:trHeight w:val="23"/>
        </w:trPr>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Debt securities available for sale by contractual maturity at March 31, 2024 and December 31, 2023 are shown below. MBS are not included in the maturity categories because the borrowers in the underlying pools may prepay without penalty; therefore, it is unlikely that the securities will pay at their stated maturity schedule.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59"/>
        </w:trPr>
        <w:tc>
          <w:tcPr>
            <w:tcW w:w="8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13"/>
                <w:szCs w:val="13"/>
                <w:color w:val="auto"/>
              </w:rPr>
            </w:pPr>
          </w:p>
        </w:tc>
        <w:tc>
          <w:tcPr>
            <w:tcW w:w="114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14"/>
        </w:trPr>
        <w:tc>
          <w:tcPr>
            <w:tcW w:w="8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0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one year</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ten years</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113,181</w:t>
            </w:r>
          </w:p>
        </w:tc>
      </w:tr>
      <w:tr>
        <w:trPr>
          <w:trHeight w:val="207"/>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123,606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120,807</w:t>
            </w:r>
          </w:p>
        </w:tc>
      </w:tr>
      <w:tr>
        <w:trPr>
          <w:trHeight w:val="23"/>
        </w:trPr>
        <w:tc>
          <w:tcPr>
            <w:tcW w:w="8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58"/>
        </w:trPr>
        <w:tc>
          <w:tcPr>
            <w:tcW w:w="8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13"/>
                <w:szCs w:val="13"/>
                <w:color w:val="auto"/>
              </w:rPr>
            </w:pPr>
          </w:p>
        </w:tc>
        <w:tc>
          <w:tcPr>
            <w:tcW w:w="114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14"/>
        </w:trPr>
        <w:tc>
          <w:tcPr>
            <w:tcW w:w="8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0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one year</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14,848</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ten years</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104,499</w:t>
            </w:r>
          </w:p>
        </w:tc>
      </w:tr>
      <w:tr>
        <w:trPr>
          <w:trHeight w:val="207"/>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128,964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126,950</w:t>
            </w:r>
          </w:p>
        </w:tc>
      </w:tr>
      <w:tr>
        <w:trPr>
          <w:trHeight w:val="23"/>
        </w:trPr>
        <w:tc>
          <w:tcPr>
            <w:tcW w:w="8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The Company had no sales of debt securities available for sale and no gross realized gains or losses were recognized during the three months ended March 31, 2024 and 2023.</w:t>
      </w:r>
    </w:p>
    <w:p>
      <w:pPr>
        <w:spacing w:after="0" w:line="26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Debt securities available for sale with amortized costs totaling $57,692 and $43,846 and market values of $57,794 and $42,329 at March 31, 2024 and December 31, 2023, respectively, were pledged as collateral to secure various public deposits and other borrowings.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gross unrealized losses and the fair value for debt securities available for sale aggregated by the length of time that individual securities have been in a continuous unrealized loss position as of March 31, 2024 and December 31, 2023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8"/>
          </w:tcPr>
          <w:p>
            <w:pPr>
              <w:ind w:left="3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8"/>
          </w:tcPr>
          <w:p>
            <w:pPr>
              <w:ind w:left="24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7"/>
        </w:trPr>
        <w:tc>
          <w:tcPr>
            <w:tcW w:w="41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r>
      <w:tr>
        <w:trPr>
          <w:trHeight w:val="214"/>
        </w:trPr>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Losses</w:t>
            </w:r>
          </w:p>
        </w:tc>
      </w:tr>
      <w:tr>
        <w:trPr>
          <w:trHeight w:val="211"/>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40" w:type="dxa"/>
            <w:vAlign w:val="bottom"/>
            <w:tcBorders>
              <w:top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93,658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20" w:type="dxa"/>
            <w:vAlign w:val="bottom"/>
          </w:tcPr>
          <w:p>
            <w:pPr>
              <w:spacing w:after="0"/>
              <w:rPr>
                <w:sz w:val="18"/>
                <w:szCs w:val="18"/>
                <w:color w:val="auto"/>
              </w:rPr>
            </w:pPr>
          </w:p>
        </w:tc>
      </w:tr>
      <w:tr>
        <w:trPr>
          <w:trHeight w:val="213"/>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0" w:type="dxa"/>
            <w:vAlign w:val="bottom"/>
          </w:tcPr>
          <w:p>
            <w:pPr>
              <w:spacing w:after="0"/>
              <w:rPr>
                <w:sz w:val="18"/>
                <w:szCs w:val="18"/>
                <w:color w:val="auto"/>
              </w:rPr>
            </w:pPr>
          </w:p>
        </w:tc>
      </w:tr>
      <w:tr>
        <w:trPr>
          <w:trHeight w:val="21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20" w:type="dxa"/>
            <w:vAlign w:val="bottom"/>
          </w:tcPr>
          <w:p>
            <w:pPr>
              <w:spacing w:after="0"/>
              <w:rPr>
                <w:sz w:val="19"/>
                <w:szCs w:val="19"/>
                <w:color w:val="auto"/>
              </w:rPr>
            </w:pPr>
          </w:p>
        </w:tc>
      </w:tr>
      <w:tr>
        <w:trPr>
          <w:trHeight w:val="207"/>
        </w:trPr>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46,718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100,534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20" w:type="dxa"/>
            <w:vAlign w:val="bottom"/>
          </w:tcPr>
          <w:p>
            <w:pPr>
              <w:spacing w:after="0"/>
              <w:rPr>
                <w:sz w:val="17"/>
                <w:szCs w:val="17"/>
                <w:color w:val="auto"/>
              </w:rPr>
            </w:pPr>
          </w:p>
        </w:tc>
      </w:tr>
      <w:tr>
        <w:trPr>
          <w:trHeight w:val="23"/>
        </w:trPr>
        <w:tc>
          <w:tcPr>
            <w:tcW w:w="4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55"/>
        </w:trPr>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1"/>
        </w:trPr>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8"/>
          </w:tcPr>
          <w:p>
            <w:pPr>
              <w:ind w:left="28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7"/>
        </w:trPr>
        <w:tc>
          <w:tcPr>
            <w:tcW w:w="4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4"/>
        </w:trPr>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11"/>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46,978</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(393)</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(1,779)</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82,178</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(2,172)</w:t>
            </w:r>
          </w:p>
        </w:tc>
      </w:tr>
      <w:tr>
        <w:trPr>
          <w:trHeight w:val="213"/>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(78)</w:t>
            </w:r>
          </w:p>
        </w:tc>
      </w:tr>
      <w:tr>
        <w:trPr>
          <w:trHeight w:val="21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18,292</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(958)</w:t>
            </w:r>
          </w:p>
        </w:tc>
      </w:tr>
      <w:tr>
        <w:trPr>
          <w:trHeight w:val="207"/>
        </w:trPr>
        <w:tc>
          <w:tcPr>
            <w:tcW w:w="41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47,596</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56,283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(2,683)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103,879</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(3,208)</w:t>
            </w:r>
          </w:p>
        </w:tc>
      </w:tr>
      <w:tr>
        <w:trPr>
          <w:trHeight w:val="23"/>
        </w:trPr>
        <w:tc>
          <w:tcPr>
            <w:tcW w:w="4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number of securities with unrealized losses at March 31, 2024 and December 31, 2023 were 186 and 187, respectively.</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Management evaluates securities for impairment where there has been a decline in fair value below the amortized cost basis of a security to determine whether there is a credit loss associated with the decline in fair value on at least a quarterly basis, and more frequently when economic or market concerns warrant such evaluation. All debt securities available for sale in an unrealized loss position as of March 31, 2024 continue to perform as scheduled and management does not believe that there is a credit loss or that a provision for credit losses is necessary. Also, as part of management's evaluation of its intent and ability to hold investments for a period of time sufficient to allow for any anticipated recovery in the market, management considers its investment strategy, cash flow needs, liquidity position, capital adequacy and interest rate risk position. Management does not currently intend to sell the securities within the portfolio and it is not more-likely-than-not that securities will be required to be sold. See "Note 1 – Summary of Significant Accounting Policies" in our 2023 Form 10-KT for further discussion.</w:t>
      </w:r>
    </w:p>
    <w:p>
      <w:pPr>
        <w:spacing w:after="0" w:line="4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Management continues to monitor all of its securities with a high degree of scrutiny. There can be no assurance that management will not conclude in future periods that conditions existing at that time indicate some or all of its securities may be sold or would require a charge to earnings as a provision for credit losses in such periods.</w:t>
      </w:r>
    </w:p>
    <w:p>
      <w:pPr>
        <w:spacing w:after="0" w:line="3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Management excludes the accrued interest receivable balance from the amortized cost basis in measuring ECL on investment securities and does not record an ACL on accrued interest receivable. As of March 31, 2024 and December 31, 2023, accrued interest receivable for debt securities available for sale was $425 and $469, respectively.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5.  Loans Held For Sale</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44"/>
        </w:trPr>
        <w:tc>
          <w:tcPr>
            <w:tcW w:w="7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Loans held for sale, at the lower of cost or fair value, consist of the following as of the dates indicated:</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46"/>
        </w:trPr>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21"/>
                <w:szCs w:val="21"/>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3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One-to-four family</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30,650</w:t>
            </w:r>
          </w:p>
        </w:tc>
      </w:tr>
      <w:tr>
        <w:trPr>
          <w:trHeight w:val="219"/>
        </w:trPr>
        <w:tc>
          <w:tcPr>
            <w:tcW w:w="7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HELOCs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167,783</w:t>
            </w:r>
          </w:p>
        </w:tc>
      </w:tr>
      <w:tr>
        <w:trPr>
          <w:trHeight w:val="207"/>
        </w:trPr>
        <w:tc>
          <w:tcPr>
            <w:tcW w:w="73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Total loans held for sale, at the lower of cost or fair value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220,699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198,433</w:t>
            </w:r>
          </w:p>
        </w:tc>
      </w:tr>
      <w:tr>
        <w:trPr>
          <w:trHeight w:val="23"/>
        </w:trPr>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0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carrying balance of loans held for sale, at fair value, was $2,764 and $3,359 at March 31, 2024 and December 31, 2023, respectively, while the amortized cost of these loans was $2,702 and $3,286 at the same dates.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ind w:right="7560" w:firstLine="8"/>
        <w:spacing w:after="0" w:line="256" w:lineRule="auto"/>
        <w:tabs>
          <w:tab w:leader="none" w:pos="283"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Loans and Allowance for Credit Losses on Loans </w:t>
      </w:r>
      <w:r>
        <w:rPr>
          <w:rFonts w:ascii="Times New Roman" w:cs="Times New Roman" w:eastAsia="Times New Roman" w:hAnsi="Times New Roman"/>
          <w:sz w:val="16"/>
          <w:szCs w:val="16"/>
          <w:color w:val="auto"/>
        </w:rPr>
        <w:t>Loans consist of the following at the dates indicated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7"/>
                <w:szCs w:val="17"/>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6"/>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 loans</w:t>
            </w: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13"/>
        </w:trPr>
        <w:tc>
          <w:tcPr>
            <w:tcW w:w="7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304,727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305,269</w:t>
            </w:r>
          </w:p>
        </w:tc>
      </w:tr>
      <w:tr>
        <w:trPr>
          <w:trHeight w:val="219"/>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532,547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536,545</w:t>
            </w:r>
          </w:p>
        </w:tc>
      </w:tr>
      <w:tr>
        <w:trPr>
          <w:trHeight w:val="213"/>
        </w:trPr>
        <w:tc>
          <w:tcPr>
            <w:tcW w:w="7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881,143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875,694</w:t>
            </w:r>
          </w:p>
        </w:tc>
      </w:tr>
      <w:tr>
        <w:trPr>
          <w:trHeight w:val="219"/>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88,623</w:t>
            </w:r>
          </w:p>
        </w:tc>
      </w:tr>
      <w:tr>
        <w:trPr>
          <w:trHeight w:val="207"/>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 loans</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1,808,109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1,806,131</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3"/>
        </w:trPr>
        <w:tc>
          <w:tcPr>
            <w:tcW w:w="7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237,255</w:t>
            </w:r>
          </w:p>
        </w:tc>
      </w:tr>
      <w:tr>
        <w:trPr>
          <w:trHeight w:val="219"/>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462,649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465,573</w:t>
            </w:r>
          </w:p>
        </w:tc>
      </w:tr>
      <w:tr>
        <w:trPr>
          <w:trHeight w:val="213"/>
        </w:trPr>
        <w:tc>
          <w:tcPr>
            <w:tcW w:w="7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151,894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150,292</w:t>
            </w:r>
          </w:p>
        </w:tc>
      </w:tr>
      <w:tr>
        <w:trPr>
          <w:trHeight w:val="212"/>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 loans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858,275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853,120</w:t>
            </w:r>
          </w:p>
        </w:tc>
      </w:tr>
      <w:tr>
        <w:trPr>
          <w:trHeight w:val="21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8"/>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96,646</w:t>
            </w:r>
          </w:p>
        </w:tc>
      </w:tr>
      <w:tr>
        <w:trPr>
          <w:trHeight w:val="213"/>
        </w:trPr>
        <w:tc>
          <w:tcPr>
            <w:tcW w:w="7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605,570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584,405</w:t>
            </w:r>
          </w:p>
        </w:tc>
      </w:tr>
      <w:tr>
        <w:trPr>
          <w:trHeight w:val="219"/>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185,878</w:t>
            </w:r>
          </w:p>
        </w:tc>
      </w:tr>
      <w:tr>
        <w:trPr>
          <w:trHeight w:val="207"/>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 loans</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875,684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866,929</w:t>
            </w:r>
          </w:p>
        </w:tc>
      </w:tr>
      <w:tr>
        <w:trPr>
          <w:trHeight w:val="219"/>
        </w:trPr>
        <w:tc>
          <w:tcPr>
            <w:tcW w:w="7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 loans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113,842</w:t>
            </w:r>
          </w:p>
        </w:tc>
      </w:tr>
      <w:tr>
        <w:trPr>
          <w:trHeight w:val="207"/>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net of deferred loan fees and costs</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3,648,152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3,640,022</w:t>
            </w:r>
          </w:p>
        </w:tc>
      </w:tr>
      <w:tr>
        <w:trPr>
          <w:trHeight w:val="219"/>
        </w:trPr>
        <w:tc>
          <w:tcPr>
            <w:tcW w:w="7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ACL on loans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(48,641)</w:t>
            </w:r>
          </w:p>
        </w:tc>
      </w:tr>
      <w:tr>
        <w:trPr>
          <w:trHeight w:val="207"/>
        </w:trPr>
        <w:tc>
          <w:tcPr>
            <w:tcW w:w="75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Loans, net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3,600,650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3,591,381</w:t>
            </w:r>
          </w:p>
        </w:tc>
      </w:tr>
      <w:tr>
        <w:trPr>
          <w:trHeight w:val="23"/>
        </w:trPr>
        <w:tc>
          <w:tcPr>
            <w:tcW w:w="7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At March 31, 2024 and December 31, 2023 accrued interest receivable of $16,187 and $16,218, respectively, was accounted for separately from the amortized cost basis.</w:t>
      </w:r>
    </w:p>
    <w:p>
      <w:pPr>
        <w:spacing w:after="0" w:line="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All qualifying one-to-four family loans, HELOCs, commercial real estate loans and FHLB of Atlanta stock are pledged as collateral by a blanket pledge to secure outstanding FHLB advances.</w:t>
      </w:r>
    </w:p>
    <w:p>
      <w:pPr>
        <w:spacing w:after="0" w:line="3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Loans are made to the Company's executive officers, directors and their associates during the ordinary course of business. The aggregate amount of loans to such related parties totaled approximately $205 and $209 at March 31, 2024 and December 31, 2023, respectively. In relation to these loans are unfunded commitments that totaled approximately $3 at both March 31, 2024 and December 31, 2023, respectively.</w:t>
      </w:r>
    </w:p>
    <w:p>
      <w:pPr>
        <w:spacing w:after="0" w:line="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Loans are monitored for credit quality on a recurring basis and the composition of the loans outstanding by credit quality indicator is provided below. Loan credit quality indicators are developed through review of individual borrowers on an ongoing basis. Generally, loans are monitored for performance on a quarterly basis with the credit quality indicators adjusted as needed. The indicators represent the rating for loans as of the date presented based on the most recent assessment performed. These credit quality indicators are defined as follows:</w:t>
      </w:r>
    </w:p>
    <w:p>
      <w:pPr>
        <w:ind w:left="180"/>
        <w:spacing w:after="0"/>
        <w:rPr>
          <w:sz w:val="20"/>
          <w:szCs w:val="20"/>
          <w:color w:val="auto"/>
        </w:rPr>
      </w:pPr>
      <w:r>
        <w:rPr>
          <w:rFonts w:ascii="Times New Roman" w:cs="Times New Roman" w:eastAsia="Times New Roman" w:hAnsi="Times New Roman"/>
          <w:sz w:val="16"/>
          <w:szCs w:val="16"/>
          <w:u w:val="single" w:color="auto"/>
          <w:color w:val="auto"/>
        </w:rPr>
        <w:t>Pass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 pass rated loan is not adversely classified because it does not display any of the characteristics for adverse classification.</w:t>
      </w:r>
    </w:p>
    <w:p>
      <w:pPr>
        <w:spacing w:after="0" w:line="48" w:lineRule="exact"/>
        <w:rPr>
          <w:sz w:val="20"/>
          <w:szCs w:val="20"/>
          <w:color w:val="auto"/>
        </w:rPr>
      </w:pPr>
    </w:p>
    <w:p>
      <w:pPr>
        <w:jc w:val="both"/>
        <w:ind w:left="180"/>
        <w:spacing w:after="0" w:line="276" w:lineRule="auto"/>
        <w:rPr>
          <w:sz w:val="20"/>
          <w:szCs w:val="20"/>
          <w:color w:val="auto"/>
        </w:rPr>
      </w:pPr>
      <w:r>
        <w:rPr>
          <w:rFonts w:ascii="Times New Roman" w:cs="Times New Roman" w:eastAsia="Times New Roman" w:hAnsi="Times New Roman"/>
          <w:sz w:val="16"/>
          <w:szCs w:val="16"/>
          <w:u w:val="single" w:color="auto"/>
          <w:color w:val="auto"/>
        </w:rPr>
        <w:t>Special Mention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 special mention loan has potential weaknesses that deserve management’s close attention. If left uncorrected, such potential weaknesses may result in deterioration of the repayment prospects or collateral position at some future date. Special mention loans are not adversely classified and do not warrant adverse classification.</w:t>
      </w:r>
    </w:p>
    <w:p>
      <w:pPr>
        <w:jc w:val="both"/>
        <w:ind w:left="180"/>
        <w:spacing w:after="0" w:line="270" w:lineRule="auto"/>
        <w:rPr>
          <w:sz w:val="20"/>
          <w:szCs w:val="20"/>
          <w:color w:val="auto"/>
        </w:rPr>
      </w:pPr>
      <w:r>
        <w:rPr>
          <w:rFonts w:ascii="Times New Roman" w:cs="Times New Roman" w:eastAsia="Times New Roman" w:hAnsi="Times New Roman"/>
          <w:sz w:val="16"/>
          <w:szCs w:val="16"/>
          <w:u w:val="single" w:color="auto"/>
          <w:color w:val="auto"/>
        </w:rPr>
        <w:t>Substandard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 substandard loan is inadequately protected by the current net worth and paying capacity of the obligor, or of the collateral pledged, if any. Loans classified as substandard generally have a well-defined weakness, or weaknesses, that jeopardize the liquidation of the debt. These loans are characterized by the distinct possibility of loss if the deficiencies are not corrected.</w:t>
      </w:r>
    </w:p>
    <w:p>
      <w:pPr>
        <w:spacing w:after="0" w:line="1" w:lineRule="exact"/>
        <w:rPr>
          <w:sz w:val="20"/>
          <w:szCs w:val="20"/>
          <w:color w:val="auto"/>
        </w:rPr>
      </w:pPr>
    </w:p>
    <w:p>
      <w:pPr>
        <w:jc w:val="both"/>
        <w:ind w:left="180"/>
        <w:spacing w:after="0" w:line="281" w:lineRule="auto"/>
        <w:rPr>
          <w:sz w:val="20"/>
          <w:szCs w:val="20"/>
          <w:color w:val="auto"/>
        </w:rPr>
      </w:pPr>
      <w:r>
        <w:rPr>
          <w:rFonts w:ascii="Times New Roman" w:cs="Times New Roman" w:eastAsia="Times New Roman" w:hAnsi="Times New Roman"/>
          <w:sz w:val="16"/>
          <w:szCs w:val="16"/>
          <w:u w:val="single" w:color="auto"/>
          <w:color w:val="auto"/>
        </w:rPr>
        <w:t>Doubtful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 loan classified as doubtful has all the weaknesses inherent in a loan classified substandard with the added characteristic that the weaknesses make collection or liquidation in full highly questionable and improbable, on the basis of currently existing facts, conditions and values.</w:t>
      </w:r>
    </w:p>
    <w:p>
      <w:pPr>
        <w:spacing w:after="0" w:line="1" w:lineRule="exact"/>
        <w:rPr>
          <w:sz w:val="20"/>
          <w:szCs w:val="20"/>
          <w:color w:val="auto"/>
        </w:rPr>
      </w:pPr>
    </w:p>
    <w:p>
      <w:pPr>
        <w:jc w:val="both"/>
        <w:ind w:left="180"/>
        <w:spacing w:after="0" w:line="284" w:lineRule="auto"/>
        <w:rPr>
          <w:sz w:val="20"/>
          <w:szCs w:val="20"/>
          <w:color w:val="auto"/>
        </w:rPr>
      </w:pPr>
      <w:r>
        <w:rPr>
          <w:rFonts w:ascii="Times New Roman" w:cs="Times New Roman" w:eastAsia="Times New Roman" w:hAnsi="Times New Roman"/>
          <w:sz w:val="16"/>
          <w:szCs w:val="16"/>
          <w:u w:val="single" w:color="auto"/>
          <w:color w:val="auto"/>
        </w:rPr>
        <w:t>Loss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Loans classified as loss are considered uncollectible and of such little value that their continuing to be carried as a loan is not warranted. This classification is not necessarily equivalent to no potential for recovery or salvage value, but rather that it is not appropriate to defer a full write-off even though partial recovery may be effected in the future.</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credit risk profile by risk grade for commercial real estate, commercial, residential real estate and consumer loans by origination year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2024:</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9"/>
                <w:szCs w:val="9"/>
                <w:b w:val="1"/>
                <w:bCs w:val="1"/>
                <w:color w:val="auto"/>
              </w:rPr>
              <w:t>(1)</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73,342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304,727</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23,514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73,342</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86,245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70,988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37,620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304,727</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 – owner occupied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32,923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525,739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4,169</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 real estate – owner occupied</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32,923</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68,776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103,061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90,031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225,525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532,547</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 – non-owner occupied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372,497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858,521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9,520</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3120" w:type="dxa"/>
            <w:vAlign w:val="bottom"/>
          </w:tcPr>
          <w:p>
            <w:pPr>
              <w:ind w:left="180"/>
              <w:spacing w:after="0" w:line="119" w:lineRule="exact"/>
              <w:rPr>
                <w:sz w:val="20"/>
                <w:szCs w:val="20"/>
                <w:color w:val="auto"/>
              </w:rPr>
            </w:pPr>
            <w:r>
              <w:rPr>
                <w:rFonts w:ascii="Times New Roman" w:cs="Times New Roman" w:eastAsia="Times New Roman" w:hAnsi="Times New Roman"/>
                <w:sz w:val="13"/>
                <w:szCs w:val="13"/>
                <w:color w:val="auto"/>
              </w:rPr>
              <w:t>Total commercial real estate – non-owner</w:t>
            </w:r>
          </w:p>
        </w:tc>
        <w:tc>
          <w:tcPr>
            <w:tcW w:w="2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19,786</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12,183</w:t>
            </w:r>
          </w:p>
        </w:tc>
        <w:tc>
          <w:tcPr>
            <w:tcW w:w="8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108,346</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159,449</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183,448</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392,041</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5,890</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881,143</w:t>
            </w:r>
          </w:p>
        </w:tc>
        <w:tc>
          <w:tcPr>
            <w:tcW w:w="0" w:type="dxa"/>
            <w:vAlign w:val="bottom"/>
          </w:tcPr>
          <w:p>
            <w:pPr>
              <w:spacing w:after="0"/>
              <w:rPr>
                <w:sz w:val="1"/>
                <w:szCs w:val="1"/>
                <w:color w:val="auto"/>
              </w:rPr>
            </w:pPr>
          </w:p>
        </w:tc>
      </w:tr>
      <w:tr>
        <w:trPr>
          <w:trHeight w:val="198"/>
        </w:trPr>
        <w:tc>
          <w:tcPr>
            <w:tcW w:w="3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occupied</w:t>
            </w:r>
          </w:p>
        </w:tc>
        <w:tc>
          <w:tcPr>
            <w:tcW w:w="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89,333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multifamily</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5,512</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19,780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21,174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36,448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89,692</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 real estate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123,960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352,749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331,827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635,543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1,778,320</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13,777</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15,718</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51,111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123,960</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269,994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353,278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332,273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661,035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16,458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1,808,109</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260" w:right="20" w:hanging="252"/>
        <w:spacing w:after="0" w:line="262" w:lineRule="auto"/>
        <w:tabs>
          <w:tab w:leader="none" w:pos="258"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previously announced, on July 24, 2023, the Board of Directors approved a change in the Company's fiscal year end from June 30 to December 31. "2023-S" represents the six-month transition period ended December 31, 2023.</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9"/>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18"/>
                <w:szCs w:val="18"/>
                <w:b w:val="1"/>
                <w:bCs w:val="1"/>
                <w:color w:val="auto"/>
                <w:vertAlign w:val="superscript"/>
              </w:rPr>
              <w:t>(1)</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238,441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13,491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18,866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49,295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44,629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32,827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71,139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243,732</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 finance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452,536</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6,306</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equipment finance</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39,373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79,763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164,073</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105,008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49,668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24,764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462,649</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Municipal leases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151,894</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municipal leases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17,579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33,835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26,490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14,988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52,781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151,894</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842,871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2,747</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7,617</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59,085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116,208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247,203</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176,127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78,141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110,372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71,139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858,275</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1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40" w:type="dxa"/>
            <w:vAlign w:val="bottom"/>
            <w:gridSpan w:val="2"/>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3"/>
          </w:tcPr>
          <w:p>
            <w:pPr>
              <w:ind w:left="60"/>
              <w:spacing w:after="0" w:line="196" w:lineRule="exact"/>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18"/>
                <w:szCs w:val="18"/>
                <w:b w:val="1"/>
                <w:bCs w:val="1"/>
                <w:color w:val="auto"/>
                <w:vertAlign w:val="superscript"/>
              </w:rPr>
              <w:t>(1)</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85,703</w:t>
            </w:r>
          </w:p>
        </w:tc>
        <w:tc>
          <w:tcPr>
            <w:tcW w:w="0" w:type="dxa"/>
            <w:vAlign w:val="bottom"/>
          </w:tcPr>
          <w:p>
            <w:pPr>
              <w:spacing w:after="0"/>
              <w:rPr>
                <w:sz w:val="1"/>
                <w:szCs w:val="1"/>
                <w:color w:val="auto"/>
              </w:rPr>
            </w:pPr>
          </w:p>
        </w:tc>
      </w:tr>
      <w:tr>
        <w:trPr>
          <w:trHeight w:val="195"/>
        </w:trPr>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95"/>
        </w:trPr>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13,289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52,100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15,098</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85,840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One-to-four family</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123,796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600,415</w:t>
            </w:r>
          </w:p>
        </w:tc>
        <w:tc>
          <w:tcPr>
            <w:tcW w:w="0" w:type="dxa"/>
            <w:vAlign w:val="bottom"/>
          </w:tcPr>
          <w:p>
            <w:pPr>
              <w:spacing w:after="0"/>
              <w:rPr>
                <w:sz w:val="1"/>
                <w:szCs w:val="1"/>
                <w:color w:val="auto"/>
              </w:rPr>
            </w:pPr>
          </w:p>
        </w:tc>
      </w:tr>
      <w:tr>
        <w:trPr>
          <w:trHeight w:val="195"/>
        </w:trPr>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210"/>
        </w:trPr>
        <w:tc>
          <w:tcPr>
            <w:tcW w:w="3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4,776</w:t>
            </w:r>
          </w:p>
        </w:tc>
        <w:tc>
          <w:tcPr>
            <w:tcW w:w="0" w:type="dxa"/>
            <w:vAlign w:val="bottom"/>
          </w:tcPr>
          <w:p>
            <w:pPr>
              <w:spacing w:after="0"/>
              <w:rPr>
                <w:sz w:val="1"/>
                <w:szCs w:val="1"/>
                <w:color w:val="auto"/>
              </w:rPr>
            </w:pPr>
          </w:p>
        </w:tc>
      </w:tr>
      <w:tr>
        <w:trPr>
          <w:trHeight w:val="195"/>
        </w:trPr>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3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one-to-four family</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8,992</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18,960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124,178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152,597</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108,309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183,896</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605,570</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HELOCs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181,870</w:t>
            </w:r>
          </w:p>
        </w:tc>
        <w:tc>
          <w:tcPr>
            <w:tcW w:w="0" w:type="dxa"/>
            <w:vAlign w:val="bottom"/>
          </w:tcPr>
          <w:p>
            <w:pPr>
              <w:spacing w:after="0"/>
              <w:rPr>
                <w:sz w:val="1"/>
                <w:szCs w:val="1"/>
                <w:color w:val="auto"/>
              </w:rPr>
            </w:pPr>
          </w:p>
        </w:tc>
      </w:tr>
      <w:tr>
        <w:trPr>
          <w:trHeight w:val="195"/>
        </w:trPr>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0" w:type="dxa"/>
            <w:vAlign w:val="bottom"/>
          </w:tcPr>
          <w:p>
            <w:pPr>
              <w:spacing w:after="0"/>
              <w:rPr>
                <w:sz w:val="1"/>
                <w:szCs w:val="1"/>
                <w:color w:val="auto"/>
              </w:rPr>
            </w:pPr>
          </w:p>
        </w:tc>
      </w:tr>
      <w:tr>
        <w:trPr>
          <w:trHeight w:val="195"/>
        </w:trPr>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HELOCs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184,274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184,274</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real estate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175,896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180,171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867,988</w:t>
            </w:r>
          </w:p>
        </w:tc>
        <w:tc>
          <w:tcPr>
            <w:tcW w:w="0" w:type="dxa"/>
            <w:vAlign w:val="bottom"/>
          </w:tcPr>
          <w:p>
            <w:pPr>
              <w:spacing w:after="0"/>
              <w:rPr>
                <w:sz w:val="1"/>
                <w:szCs w:val="1"/>
                <w:color w:val="auto"/>
              </w:rPr>
            </w:pPr>
          </w:p>
        </w:tc>
      </w:tr>
      <w:tr>
        <w:trPr>
          <w:trHeight w:val="195"/>
        </w:trPr>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210"/>
        </w:trPr>
        <w:tc>
          <w:tcPr>
            <w:tcW w:w="3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7,317</w:t>
            </w:r>
          </w:p>
        </w:tc>
        <w:tc>
          <w:tcPr>
            <w:tcW w:w="0" w:type="dxa"/>
            <w:vAlign w:val="bottom"/>
          </w:tcPr>
          <w:p>
            <w:pPr>
              <w:spacing w:after="0"/>
              <w:rPr>
                <w:sz w:val="1"/>
                <w:szCs w:val="1"/>
                <w:color w:val="auto"/>
              </w:rPr>
            </w:pPr>
          </w:p>
        </w:tc>
      </w:tr>
      <w:tr>
        <w:trPr>
          <w:trHeight w:val="195"/>
        </w:trPr>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3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residential real estate</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10,123</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32,249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176,278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167,695</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111,602</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184,825</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192,912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875,684</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1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3"/>
          </w:tcPr>
          <w:p>
            <w:pPr>
              <w:ind w:left="40"/>
              <w:spacing w:after="0" w:line="196" w:lineRule="exact"/>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18"/>
                <w:szCs w:val="18"/>
                <w:b w:val="1"/>
                <w:bCs w:val="1"/>
                <w:color w:val="auto"/>
                <w:vertAlign w:val="superscript"/>
              </w:rPr>
              <w:t>(1)</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consumer</w:t>
            </w: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24,641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104,832</w:t>
            </w:r>
          </w:p>
        </w:tc>
        <w:tc>
          <w:tcPr>
            <w:tcW w:w="0" w:type="dxa"/>
            <w:vAlign w:val="bottom"/>
          </w:tcPr>
          <w:p>
            <w:pPr>
              <w:spacing w:after="0"/>
              <w:rPr>
                <w:sz w:val="1"/>
                <w:szCs w:val="1"/>
                <w:color w:val="auto"/>
              </w:rPr>
            </w:pPr>
          </w:p>
        </w:tc>
      </w:tr>
      <w:tr>
        <w:trPr>
          <w:trHeight w:val="195"/>
        </w:trPr>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0" w:type="dxa"/>
            <w:vAlign w:val="bottom"/>
          </w:tcPr>
          <w:p>
            <w:pPr>
              <w:spacing w:after="0"/>
              <w:rPr>
                <w:sz w:val="1"/>
                <w:szCs w:val="1"/>
                <w:color w:val="auto"/>
              </w:rPr>
            </w:pPr>
          </w:p>
        </w:tc>
      </w:tr>
      <w:tr>
        <w:trPr>
          <w:trHeight w:val="195"/>
        </w:trPr>
        <w:tc>
          <w:tcPr>
            <w:tcW w:w="31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0"/>
        </w:trPr>
        <w:tc>
          <w:tcPr>
            <w:tcW w:w="3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consumer</w:t>
            </w:r>
          </w:p>
        </w:tc>
        <w:tc>
          <w:tcPr>
            <w:tcW w:w="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24,733</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46,919</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13,054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106,084</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149"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credit risk profile by risk grade for commercial real estate, commercial, residential real estate and consumer loans by origination year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2023</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9"/>
                <w:szCs w:val="9"/>
                <w:b w:val="1"/>
                <w:bCs w:val="1"/>
                <w:color w:val="auto"/>
              </w:rPr>
              <w:t>(1)</w:t>
            </w:r>
          </w:p>
        </w:tc>
        <w:tc>
          <w:tcPr>
            <w:tcW w:w="200" w:type="dxa"/>
            <w:vAlign w:val="bottom"/>
          </w:tcPr>
          <w:p>
            <w:pPr>
              <w:spacing w:after="0"/>
              <w:rPr>
                <w:sz w:val="17"/>
                <w:szCs w:val="17"/>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17"/>
                <w:szCs w:val="17"/>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105,170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304,990</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61,716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105,170</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88,599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37,197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305,269</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Commercial 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owner occupied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61,090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525,964</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6,476</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3,604</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 real estate – owner occupied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35,428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61,239</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104,532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90,954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74,781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166,125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536,545</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Commercial 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non-owner occupied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104,881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862,193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13,207</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3120" w:type="dxa"/>
            <w:vAlign w:val="bottom"/>
          </w:tcPr>
          <w:p>
            <w:pPr>
              <w:ind w:left="180"/>
              <w:spacing w:after="0" w:line="119" w:lineRule="exact"/>
              <w:rPr>
                <w:sz w:val="20"/>
                <w:szCs w:val="20"/>
                <w:color w:val="auto"/>
              </w:rPr>
            </w:pPr>
            <w:r>
              <w:rPr>
                <w:rFonts w:ascii="Times New Roman" w:cs="Times New Roman" w:eastAsia="Times New Roman" w:hAnsi="Times New Roman"/>
                <w:sz w:val="13"/>
                <w:szCs w:val="13"/>
                <w:color w:val="auto"/>
              </w:rPr>
              <w:t>Total commercial real estate – non-owner</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11,716</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107,959</w:t>
            </w:r>
          </w:p>
        </w:tc>
        <w:tc>
          <w:tcPr>
            <w:tcW w:w="8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155,782</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185,264</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101,929</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306,584</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6,460</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875,694</w:t>
            </w:r>
          </w:p>
        </w:tc>
        <w:tc>
          <w:tcPr>
            <w:tcW w:w="0" w:type="dxa"/>
            <w:vAlign w:val="bottom"/>
          </w:tcPr>
          <w:p>
            <w:pPr>
              <w:spacing w:after="0"/>
              <w:rPr>
                <w:sz w:val="1"/>
                <w:szCs w:val="1"/>
                <w:color w:val="auto"/>
              </w:rPr>
            </w:pPr>
          </w:p>
        </w:tc>
      </w:tr>
      <w:tr>
        <w:trPr>
          <w:trHeight w:val="198"/>
        </w:trPr>
        <w:tc>
          <w:tcPr>
            <w:tcW w:w="3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occupied</w:t>
            </w:r>
          </w:p>
        </w:tc>
        <w:tc>
          <w:tcPr>
            <w:tcW w:w="1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86,672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multifamily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4,184</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21,411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25,768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88,623</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 real estate</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275,325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366,704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1,779,819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114,375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278,552</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369,093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334,826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187,832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506,058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15,395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1,806,131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60" w:right="440" w:hanging="252"/>
        <w:spacing w:after="0" w:line="262" w:lineRule="auto"/>
        <w:tabs>
          <w:tab w:leader="none" w:pos="258"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previously announced, on July 24, 2023, the Board of Directors approved a change in the Company's fiscal year end from June 30 to December 31. "2023-S" represents the six-month transition period ended December 31, 2023.</w:t>
      </w:r>
    </w:p>
    <w:p>
      <w:pPr>
        <w:spacing w:after="0" w:line="65" w:lineRule="exact"/>
        <w:rPr>
          <w:rFonts w:ascii="Times New Roman" w:cs="Times New Roman" w:eastAsia="Times New Roman" w:hAnsi="Times New Roman"/>
          <w:sz w:val="13"/>
          <w:szCs w:val="13"/>
          <w:color w:val="auto"/>
        </w:rPr>
      </w:pPr>
    </w:p>
    <w:p>
      <w:pPr>
        <w:ind w:left="240" w:hanging="232"/>
        <w:spacing w:after="0"/>
        <w:tabs>
          <w:tab w:leader="none" w:pos="240" w:val="left"/>
        </w:tabs>
        <w:numPr>
          <w:ilvl w:val="0"/>
          <w:numId w:val="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This table reflects the correction of an immaterial error in the prior period disclosure. See "Note 1 – Summary of Significant Accounting Policies" for further information.</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18"/>
                <w:szCs w:val="18"/>
                <w:b w:val="1"/>
                <w:bCs w:val="1"/>
                <w:color w:val="auto"/>
                <w:vertAlign w:val="superscript"/>
              </w:rPr>
              <w:t>(1)</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228,641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6,435</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53,455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61,055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14,333</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12,727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22,871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53,634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237,255</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 finance</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457,100</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6,153</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equipment finance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83,332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175,893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116,527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58,304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26,277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465,573</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Municipal leases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150,292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municipal leases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17,372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34,203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28,241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47,376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150,292</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836,033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7,352</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119,884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263,551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205,823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88,379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46,362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75,487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53,634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853,120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1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4"/>
          </w:tcPr>
          <w:p>
            <w:pPr>
              <w:ind w:left="80"/>
              <w:spacing w:after="0" w:line="196" w:lineRule="exact"/>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18"/>
                <w:szCs w:val="18"/>
                <w:b w:val="1"/>
                <w:bCs w:val="1"/>
                <w:color w:val="auto"/>
                <w:vertAlign w:val="superscript"/>
              </w:rPr>
              <w:t>(1)</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64,716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96,509</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tcPr>
          <w:p>
            <w:pPr>
              <w:spacing w:after="0"/>
              <w:rPr>
                <w:sz w:val="16"/>
                <w:szCs w:val="16"/>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140" w:type="dxa"/>
            <w:vAlign w:val="bottom"/>
          </w:tcPr>
          <w:p>
            <w:pPr>
              <w:spacing w:after="0"/>
              <w:rPr>
                <w:sz w:val="16"/>
                <w:szCs w:val="16"/>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7,669</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64,716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18,841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4,002</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96,646</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One-to-four family</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102,902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153,029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139,061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578,760</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tcPr>
          <w:p>
            <w:pPr>
              <w:spacing w:after="0"/>
              <w:rPr>
                <w:sz w:val="16"/>
                <w:szCs w:val="16"/>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140" w:type="dxa"/>
            <w:vAlign w:val="bottom"/>
          </w:tcPr>
          <w:p>
            <w:pPr>
              <w:spacing w:after="0"/>
              <w:rPr>
                <w:sz w:val="16"/>
                <w:szCs w:val="16"/>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one-to-four family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19,532</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103,285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153,287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109,870</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49,173</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143,863</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584,405</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HELOCs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183,815</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tcPr>
          <w:p>
            <w:pPr>
              <w:spacing w:after="0"/>
              <w:rPr>
                <w:sz w:val="16"/>
                <w:szCs w:val="16"/>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140" w:type="dxa"/>
            <w:vAlign w:val="bottom"/>
          </w:tcPr>
          <w:p>
            <w:pPr>
              <w:spacing w:after="0"/>
              <w:rPr>
                <w:sz w:val="16"/>
                <w:szCs w:val="16"/>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HELOCs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185,878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185,878</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real estate</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167,618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140,298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859,084</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tcPr>
          <w:p>
            <w:pPr>
              <w:spacing w:after="0"/>
              <w:rPr>
                <w:sz w:val="16"/>
                <w:szCs w:val="16"/>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7,282</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140" w:type="dxa"/>
            <w:vAlign w:val="bottom"/>
          </w:tcPr>
          <w:p>
            <w:pPr>
              <w:spacing w:after="0"/>
              <w:rPr>
                <w:sz w:val="16"/>
                <w:szCs w:val="16"/>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residential real estate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27,201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168,001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172,128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113,872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49,217</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145,237</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191,273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866,929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1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2"/>
                <w:szCs w:val="2"/>
                <w:color w:val="auto"/>
              </w:rPr>
            </w:pPr>
          </w:p>
        </w:tc>
        <w:tc>
          <w:tcPr>
            <w:tcW w:w="90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2023-S</w:t>
            </w:r>
            <w:r>
              <w:rPr>
                <w:rFonts w:ascii="Times New Roman" w:cs="Times New Roman" w:eastAsia="Times New Roman" w:hAnsi="Times New Roman"/>
                <w:sz w:val="9"/>
                <w:szCs w:val="9"/>
                <w:b w:val="1"/>
                <w:bCs w:val="1"/>
                <w:color w:val="auto"/>
              </w:rPr>
              <w:t>(1)</w:t>
            </w: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consumer</w:t>
            </w: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51,351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112,690</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tcPr>
          <w:p>
            <w:pPr>
              <w:spacing w:after="0"/>
              <w:rPr>
                <w:sz w:val="16"/>
                <w:szCs w:val="16"/>
                <w:color w:val="auto"/>
              </w:rPr>
            </w:pPr>
          </w:p>
        </w:tc>
        <w:tc>
          <w:tcPr>
            <w:tcW w:w="9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Doubtful</w:t>
            </w:r>
          </w:p>
        </w:tc>
        <w:tc>
          <w:tcPr>
            <w:tcW w:w="140" w:type="dxa"/>
            <w:vAlign w:val="bottom"/>
          </w:tcPr>
          <w:p>
            <w:pPr>
              <w:spacing w:after="0"/>
              <w:rPr>
                <w:sz w:val="16"/>
                <w:szCs w:val="16"/>
                <w:color w:val="auto"/>
              </w:rPr>
            </w:pPr>
          </w:p>
        </w:tc>
        <w:tc>
          <w:tcPr>
            <w:tcW w:w="9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consumer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26,569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51,687</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14,673</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113,842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period gross charge-offs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aging analyses of past due loans (including nonaccrual loans) by segment and class for the periods indicated: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4"/>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8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8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Loans</w:t>
            </w:r>
          </w:p>
        </w:tc>
      </w:tr>
      <w:tr>
        <w:trPr>
          <w:trHeight w:val="19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304,727</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531,709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532,547</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881,143</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89,692</w:t>
            </w:r>
          </w:p>
        </w:tc>
      </w:tr>
      <w:tr>
        <w:trPr>
          <w:trHeight w:val="212"/>
        </w:trPr>
        <w:tc>
          <w:tcPr>
            <w:tcW w:w="4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1,807,271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1,808,109</w:t>
            </w: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243,732</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456,385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462,649</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151,894</w:t>
            </w:r>
          </w:p>
        </w:tc>
      </w:tr>
      <w:tr>
        <w:trPr>
          <w:trHeight w:val="20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7,002</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10,632</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847,643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858,275</w:t>
            </w: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85,840</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605,570</w:t>
            </w:r>
          </w:p>
        </w:tc>
      </w:tr>
      <w:tr>
        <w:trPr>
          <w:trHeight w:val="213"/>
        </w:trPr>
        <w:tc>
          <w:tcPr>
            <w:tcW w:w="4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181,577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184,274</w:t>
            </w:r>
          </w:p>
        </w:tc>
      </w:tr>
      <w:tr>
        <w:trPr>
          <w:trHeight w:val="212"/>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870,985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875,684</w:t>
            </w:r>
          </w:p>
        </w:tc>
      </w:tr>
      <w:tr>
        <w:trPr>
          <w:trHeight w:val="214"/>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105,280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106,084</w:t>
            </w:r>
          </w:p>
        </w:tc>
      </w:tr>
      <w:tr>
        <w:trPr>
          <w:trHeight w:val="234"/>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3,631,179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3,648,152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4"/>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8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8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Loans</w:t>
            </w:r>
          </w:p>
        </w:tc>
      </w:tr>
      <w:tr>
        <w:trPr>
          <w:trHeight w:val="19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305,269</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535,387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536,545</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871,662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875,694</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88,623</w:t>
            </w:r>
          </w:p>
        </w:tc>
      </w:tr>
      <w:tr>
        <w:trPr>
          <w:trHeight w:val="212"/>
        </w:trPr>
        <w:tc>
          <w:tcPr>
            <w:tcW w:w="4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1,800,941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1,806,131</w:t>
            </w: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237,255</w:t>
            </w: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456,143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465,573</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150,292</w:t>
            </w:r>
          </w:p>
        </w:tc>
      </w:tr>
      <w:tr>
        <w:trPr>
          <w:trHeight w:val="20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6,385</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6,686</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840,049</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853,120</w:t>
            </w: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4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96,646</w:t>
            </w:r>
          </w:p>
        </w:tc>
      </w:tr>
      <w:tr>
        <w:trPr>
          <w:trHeight w:val="21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582,379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584,405</w:t>
            </w:r>
          </w:p>
        </w:tc>
      </w:tr>
      <w:tr>
        <w:trPr>
          <w:trHeight w:val="213"/>
        </w:trPr>
        <w:tc>
          <w:tcPr>
            <w:tcW w:w="4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183,016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185,878</w:t>
            </w:r>
          </w:p>
        </w:tc>
      </w:tr>
      <w:tr>
        <w:trPr>
          <w:trHeight w:val="212"/>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861,909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866,929</w:t>
            </w:r>
          </w:p>
        </w:tc>
      </w:tr>
      <w:tr>
        <w:trPr>
          <w:trHeight w:val="214"/>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113,842</w:t>
            </w:r>
          </w:p>
        </w:tc>
      </w:tr>
      <w:tr>
        <w:trPr>
          <w:trHeight w:val="23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3,615,905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3,640,022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recorded investment in loans on nonaccrual status, by segment and class, including restructured loans. It also includes interest income recognized on nonaccrual loans for the three months ended March 31, 2024.</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90 Days+ &amp;</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Nonaccrual with No</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Still Accruing as of</w:t>
            </w:r>
          </w:p>
        </w:tc>
        <w:tc>
          <w:tcPr>
            <w:tcW w:w="16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ACL as of March 31,</w:t>
            </w: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360" w:type="dxa"/>
            <w:vAlign w:val="bottom"/>
          </w:tcPr>
          <w:p>
            <w:pPr>
              <w:spacing w:after="0"/>
              <w:rPr>
                <w:sz w:val="18"/>
                <w:szCs w:val="18"/>
                <w:color w:val="auto"/>
              </w:rPr>
            </w:pPr>
          </w:p>
        </w:tc>
        <w:tc>
          <w:tcPr>
            <w:tcW w:w="120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0" w:type="dxa"/>
            <w:vAlign w:val="bottom"/>
          </w:tcPr>
          <w:p>
            <w:pPr>
              <w:spacing w:after="0"/>
              <w:rPr>
                <w:sz w:val="1"/>
                <w:szCs w:val="1"/>
                <w:color w:val="auto"/>
              </w:rPr>
            </w:pPr>
          </w:p>
        </w:tc>
      </w:tr>
      <w:tr>
        <w:trPr>
          <w:trHeight w:val="198"/>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3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4"/>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2"/>
        </w:trPr>
        <w:tc>
          <w:tcPr>
            <w:tcW w:w="3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4"/>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7"/>
        </w:trPr>
        <w:tc>
          <w:tcPr>
            <w:tcW w:w="3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7"/>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19,333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following tables present analyses of the ACL on loans by segment for the periods indicated. In addition to the provision (benefit) for credit losses on loans presented below, provisions of $20 and $400 for off-balance sheet credit exposures were recorded during the three months ended March 31, 2024 and 2023, respectively, while no provision for commercial paper was recorded for either period. For the three months ended March 31, 2023, $4,921 and $369 of the provision for credit losses was recognized to establish ACLs on Quantum's loan portfolio and off-balance-sheet credit exposure, respectively.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Estate</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48,641</w:t>
            </w:r>
          </w:p>
        </w:tc>
        <w:tc>
          <w:tcPr>
            <w:tcW w:w="0" w:type="dxa"/>
            <w:vAlign w:val="bottom"/>
          </w:tcPr>
          <w:p>
            <w:pPr>
              <w:spacing w:after="0"/>
              <w:rPr>
                <w:sz w:val="1"/>
                <w:szCs w:val="1"/>
                <w:color w:val="auto"/>
              </w:rPr>
            </w:pPr>
          </w:p>
        </w:tc>
      </w:tr>
      <w:tr>
        <w:trPr>
          <w:trHeight w:val="213"/>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0" w:type="dxa"/>
            <w:vAlign w:val="bottom"/>
          </w:tcPr>
          <w:p>
            <w:pPr>
              <w:spacing w:after="0"/>
              <w:rPr>
                <w:sz w:val="1"/>
                <w:szCs w:val="1"/>
                <w:color w:val="auto"/>
              </w:rPr>
            </w:pPr>
          </w:p>
        </w:tc>
      </w:tr>
      <w:tr>
        <w:trPr>
          <w:trHeight w:val="213"/>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(charge-offs) recoveries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0" w:type="dxa"/>
            <w:vAlign w:val="bottom"/>
          </w:tcPr>
          <w:p>
            <w:pPr>
              <w:spacing w:after="0"/>
              <w:rPr>
                <w:sz w:val="1"/>
                <w:szCs w:val="1"/>
                <w:color w:val="auto"/>
              </w:rPr>
            </w:pPr>
          </w:p>
        </w:tc>
      </w:tr>
      <w:tr>
        <w:trPr>
          <w:trHeight w:val="20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16,620</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9,157</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47,502</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Estate</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38,859</w:t>
            </w:r>
          </w:p>
        </w:tc>
        <w:tc>
          <w:tcPr>
            <w:tcW w:w="0" w:type="dxa"/>
            <w:vAlign w:val="bottom"/>
          </w:tcPr>
          <w:p>
            <w:pPr>
              <w:spacing w:after="0"/>
              <w:rPr>
                <w:sz w:val="1"/>
                <w:szCs w:val="1"/>
                <w:color w:val="auto"/>
              </w:rPr>
            </w:pPr>
          </w:p>
        </w:tc>
      </w:tr>
      <w:tr>
        <w:trPr>
          <w:trHeight w:val="213"/>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8,360</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Initial ACL on PCD loans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3"/>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07"/>
        </w:trPr>
        <w:tc>
          <w:tcPr>
            <w:tcW w:w="5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(charge-offs) recoveries</w:t>
            </w: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3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 loan is considered to be collateral dependent when the borrower is experiencing financial difficulty and the repayment is expected to be provided substantially through the operation or sale of collateral. The following tables provide a breakdown between loans identified as CDAs and non-CDAs, by segment and class, as well as collateral coverage for those loans for the periods indicated below:</w:t>
      </w:r>
    </w:p>
    <w:tbl>
      <w:tblPr>
        <w:tblLayout w:type="fixed"/>
        <w:tblInd w:w="0" w:type="dxa"/>
        <w:tblCellMar>
          <w:top w:w="0" w:type="dxa"/>
          <w:left w:w="0" w:type="dxa"/>
          <w:bottom w:w="0" w:type="dxa"/>
          <w:right w:w="0" w:type="dxa"/>
        </w:tblCellMar>
      </w:tblPr>
      <w:tr>
        <w:trPr>
          <w:trHeight w:val="215"/>
        </w:trPr>
        <w:tc>
          <w:tcPr>
            <w:tcW w:w="4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Type and Extent of Collateral Securing CDAs</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40" w:type="dxa"/>
            <w:vAlign w:val="bottom"/>
          </w:tcPr>
          <w:p>
            <w:pPr>
              <w:spacing w:after="0"/>
              <w:rPr>
                <w:sz w:val="13"/>
                <w:szCs w:val="13"/>
                <w:color w:val="auto"/>
              </w:rPr>
            </w:pPr>
          </w:p>
        </w:tc>
        <w:tc>
          <w:tcPr>
            <w:tcW w:w="11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Investment</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Pr>
          <w:p>
            <w:pPr>
              <w:spacing w:after="0"/>
              <w:rPr>
                <w:sz w:val="13"/>
                <w:szCs w:val="13"/>
                <w:color w:val="auto"/>
              </w:rPr>
            </w:pPr>
          </w:p>
        </w:tc>
        <w:tc>
          <w:tcPr>
            <w:tcW w:w="84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Business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Non-CDAs</w:t>
            </w:r>
          </w:p>
        </w:tc>
        <w:tc>
          <w:tcPr>
            <w:tcW w:w="240" w:type="dxa"/>
            <w:vAlign w:val="bottom"/>
          </w:tcPr>
          <w:p>
            <w:pPr>
              <w:spacing w:after="0"/>
              <w:rPr>
                <w:sz w:val="13"/>
                <w:szCs w:val="13"/>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00" w:type="dxa"/>
            <w:vAlign w:val="bottom"/>
          </w:tcPr>
          <w:p>
            <w:pPr>
              <w:spacing w:after="0"/>
              <w:rPr>
                <w:sz w:val="18"/>
                <w:szCs w:val="18"/>
                <w:color w:val="auto"/>
              </w:rPr>
            </w:pP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304,727</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304,727</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531,028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532,547</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876,834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881,143</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89,692</w:t>
            </w:r>
          </w:p>
        </w:tc>
        <w:tc>
          <w:tcPr>
            <w:tcW w:w="0" w:type="dxa"/>
            <w:vAlign w:val="bottom"/>
          </w:tcPr>
          <w:p>
            <w:pPr>
              <w:spacing w:after="0"/>
              <w:rPr>
                <w:sz w:val="1"/>
                <w:szCs w:val="1"/>
                <w:color w:val="auto"/>
              </w:rPr>
            </w:pPr>
          </w:p>
        </w:tc>
      </w:tr>
      <w:tr>
        <w:trPr>
          <w:trHeight w:val="20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5,828</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1,802,281</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1,808,109</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243,732</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461,908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462,649</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151,894</w:t>
            </w:r>
          </w:p>
        </w:tc>
        <w:tc>
          <w:tcPr>
            <w:tcW w:w="0" w:type="dxa"/>
            <w:vAlign w:val="bottom"/>
          </w:tcPr>
          <w:p>
            <w:pPr>
              <w:spacing w:after="0"/>
              <w:rPr>
                <w:sz w:val="1"/>
                <w:szCs w:val="1"/>
                <w:color w:val="auto"/>
              </w:rPr>
            </w:pPr>
          </w:p>
        </w:tc>
      </w:tr>
      <w:tr>
        <w:trPr>
          <w:trHeight w:val="212"/>
        </w:trPr>
        <w:tc>
          <w:tcPr>
            <w:tcW w:w="4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855,946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858,275</w:t>
            </w:r>
          </w:p>
        </w:tc>
        <w:tc>
          <w:tcPr>
            <w:tcW w:w="0" w:type="dxa"/>
            <w:vAlign w:val="bottom"/>
          </w:tcPr>
          <w:p>
            <w:pPr>
              <w:spacing w:after="0"/>
              <w:rPr>
                <w:sz w:val="1"/>
                <w:szCs w:val="1"/>
                <w:color w:val="auto"/>
              </w:rPr>
            </w:pPr>
          </w:p>
        </w:tc>
      </w:tr>
      <w:tr>
        <w:trPr>
          <w:trHeight w:val="214"/>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85,840</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605,570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605,570</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184,274</w:t>
            </w:r>
          </w:p>
        </w:tc>
        <w:tc>
          <w:tcPr>
            <w:tcW w:w="0" w:type="dxa"/>
            <w:vAlign w:val="bottom"/>
          </w:tcPr>
          <w:p>
            <w:pPr>
              <w:spacing w:after="0"/>
              <w:rPr>
                <w:sz w:val="1"/>
                <w:szCs w:val="1"/>
                <w:color w:val="auto"/>
              </w:rPr>
            </w:pPr>
          </w:p>
        </w:tc>
      </w:tr>
      <w:tr>
        <w:trPr>
          <w:trHeight w:val="20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875,174</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875,684</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106,084</w:t>
            </w: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3,639,485</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3,648,152</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collateral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Type and Extent of Collateral Securing CDAs</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40" w:type="dxa"/>
            <w:vAlign w:val="bottom"/>
          </w:tcPr>
          <w:p>
            <w:pPr>
              <w:spacing w:after="0"/>
              <w:rPr>
                <w:sz w:val="13"/>
                <w:szCs w:val="13"/>
                <w:color w:val="auto"/>
              </w:rPr>
            </w:pPr>
          </w:p>
        </w:tc>
        <w:tc>
          <w:tcPr>
            <w:tcW w:w="11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Investment</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Pr>
          <w:p>
            <w:pPr>
              <w:spacing w:after="0"/>
              <w:rPr>
                <w:sz w:val="13"/>
                <w:szCs w:val="13"/>
                <w:color w:val="auto"/>
              </w:rPr>
            </w:pPr>
          </w:p>
        </w:tc>
        <w:tc>
          <w:tcPr>
            <w:tcW w:w="84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Business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Non-CDAs</w:t>
            </w:r>
          </w:p>
        </w:tc>
        <w:tc>
          <w:tcPr>
            <w:tcW w:w="240" w:type="dxa"/>
            <w:vAlign w:val="bottom"/>
          </w:tcPr>
          <w:p>
            <w:pPr>
              <w:spacing w:after="0"/>
              <w:rPr>
                <w:sz w:val="13"/>
                <w:szCs w:val="13"/>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200" w:type="dxa"/>
            <w:vAlign w:val="bottom"/>
          </w:tcPr>
          <w:p>
            <w:pPr>
              <w:spacing w:after="0"/>
              <w:rPr>
                <w:sz w:val="18"/>
                <w:szCs w:val="18"/>
                <w:color w:val="auto"/>
              </w:rPr>
            </w:pP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305,269</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305,269</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534,724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536,545</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871,384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875,694</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88,623</w:t>
            </w:r>
          </w:p>
        </w:tc>
        <w:tc>
          <w:tcPr>
            <w:tcW w:w="0" w:type="dxa"/>
            <w:vAlign w:val="bottom"/>
          </w:tcPr>
          <w:p>
            <w:pPr>
              <w:spacing w:after="0"/>
              <w:rPr>
                <w:sz w:val="1"/>
                <w:szCs w:val="1"/>
                <w:color w:val="auto"/>
              </w:rPr>
            </w:pPr>
          </w:p>
        </w:tc>
      </w:tr>
      <w:tr>
        <w:trPr>
          <w:trHeight w:val="20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1,800,000</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1,806,131</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237,255</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465,573</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150,292</w:t>
            </w:r>
          </w:p>
        </w:tc>
        <w:tc>
          <w:tcPr>
            <w:tcW w:w="0" w:type="dxa"/>
            <w:vAlign w:val="bottom"/>
          </w:tcPr>
          <w:p>
            <w:pPr>
              <w:spacing w:after="0"/>
              <w:rPr>
                <w:sz w:val="1"/>
                <w:szCs w:val="1"/>
                <w:color w:val="auto"/>
              </w:rPr>
            </w:pPr>
          </w:p>
        </w:tc>
      </w:tr>
      <w:tr>
        <w:trPr>
          <w:trHeight w:val="212"/>
        </w:trPr>
        <w:tc>
          <w:tcPr>
            <w:tcW w:w="4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850,494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853,120</w:t>
            </w:r>
          </w:p>
        </w:tc>
        <w:tc>
          <w:tcPr>
            <w:tcW w:w="0" w:type="dxa"/>
            <w:vAlign w:val="bottom"/>
          </w:tcPr>
          <w:p>
            <w:pPr>
              <w:spacing w:after="0"/>
              <w:rPr>
                <w:sz w:val="1"/>
                <w:szCs w:val="1"/>
                <w:color w:val="auto"/>
              </w:rPr>
            </w:pPr>
          </w:p>
        </w:tc>
      </w:tr>
      <w:tr>
        <w:trPr>
          <w:trHeight w:val="214"/>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96,646</w:t>
            </w:r>
          </w:p>
        </w:tc>
        <w:tc>
          <w:tcPr>
            <w:tcW w:w="0" w:type="dxa"/>
            <w:vAlign w:val="bottom"/>
          </w:tcPr>
          <w:p>
            <w:pPr>
              <w:spacing w:after="0"/>
              <w:rPr>
                <w:sz w:val="1"/>
                <w:szCs w:val="1"/>
                <w:color w:val="auto"/>
              </w:rPr>
            </w:pPr>
          </w:p>
        </w:tc>
      </w:tr>
      <w:tr>
        <w:trPr>
          <w:trHeight w:val="213"/>
        </w:trPr>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584,405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584,405</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185,878</w:t>
            </w:r>
          </w:p>
        </w:tc>
        <w:tc>
          <w:tcPr>
            <w:tcW w:w="0" w:type="dxa"/>
            <w:vAlign w:val="bottom"/>
          </w:tcPr>
          <w:p>
            <w:pPr>
              <w:spacing w:after="0"/>
              <w:rPr>
                <w:sz w:val="1"/>
                <w:szCs w:val="1"/>
                <w:color w:val="auto"/>
              </w:rPr>
            </w:pPr>
          </w:p>
        </w:tc>
      </w:tr>
      <w:tr>
        <w:trPr>
          <w:trHeight w:val="20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866,419</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866,929</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113,842</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3,630,755</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3,640,022</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collateral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Modifications to Borrowers Experiencing Financial Difficulty</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modifies loans to borrowers experiencing financial difficulty by providing principal forgiveness, a term extension, an other-than-insignificant payment delay or interest rate adjustments. In some cases, the Company provides multiple types of modifications on one loan. Typically, one type of modification, such as a term extension, is granted initially. If the borrower continues to experience financial difficulty, another modification, such as principal forgiveness, may be granted. For loans included in the combination columns in the table below, multiple types of modifications have been made on the same loan within the current reporting period.</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following table presents the amortized cost basis of loans at March 31, 2024, that were both experiencing financial difficulty and modified during the three months ended March 31, 2024, by class and type of modification. The percentage of the amortized cost basis of loans that were modified to borrowers in financial difficulty as compared to the amortized cost basis of each class of financing receivable is also presented.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Combination</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of Total Class</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120" w:type="dxa"/>
            <w:vAlign w:val="bottom"/>
          </w:tcPr>
          <w:p>
            <w:pPr>
              <w:spacing w:after="0"/>
              <w:rPr>
                <w:sz w:val="14"/>
                <w:szCs w:val="14"/>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Term</w:t>
            </w:r>
          </w:p>
        </w:tc>
        <w:tc>
          <w:tcPr>
            <w:tcW w:w="10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Term Extension</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Term Extension</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&amp; Principal</w:t>
            </w:r>
          </w:p>
        </w:tc>
        <w:tc>
          <w:tcPr>
            <w:tcW w:w="132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&amp; Interest Rate</w:t>
            </w: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Financing</w:t>
            </w: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Delay</w:t>
            </w:r>
          </w:p>
        </w:tc>
        <w:tc>
          <w:tcPr>
            <w:tcW w:w="12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98"/>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Commercial real estate – non-owner-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0.18 %</w:t>
            </w: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occupied</w:t>
            </w:r>
          </w:p>
        </w:tc>
        <w:tc>
          <w:tcPr>
            <w:tcW w:w="1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0.57</w:t>
            </w:r>
          </w:p>
        </w:tc>
        <w:tc>
          <w:tcPr>
            <w:tcW w:w="0" w:type="dxa"/>
            <w:vAlign w:val="bottom"/>
          </w:tcPr>
          <w:p>
            <w:pPr>
              <w:spacing w:after="0"/>
              <w:rPr>
                <w:sz w:val="1"/>
                <w:szCs w:val="1"/>
                <w:color w:val="auto"/>
              </w:rPr>
            </w:pPr>
          </w:p>
        </w:tc>
      </w:tr>
      <w:tr>
        <w:trPr>
          <w:trHeight w:val="237"/>
        </w:trPr>
        <w:tc>
          <w:tcPr>
            <w:tcW w:w="2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0.06 %</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520"/>
        <w:spacing w:after="0" w:line="325" w:lineRule="auto"/>
        <w:rPr>
          <w:sz w:val="20"/>
          <w:szCs w:val="20"/>
          <w:color w:val="auto"/>
        </w:rPr>
      </w:pPr>
      <w:r>
        <w:rPr>
          <w:rFonts w:ascii="Times New Roman" w:cs="Times New Roman" w:eastAsia="Times New Roman" w:hAnsi="Times New Roman"/>
          <w:sz w:val="16"/>
          <w:szCs w:val="16"/>
          <w:color w:val="auto"/>
        </w:rPr>
        <w:t xml:space="preserve">There were also no loans that had a payment default during the three months ended March 31, 2024 that had previously been modified within the last twelve months. </w:t>
      </w:r>
      <w:r>
        <w:rPr>
          <w:rFonts w:ascii="Times New Roman" w:cs="Times New Roman" w:eastAsia="Times New Roman" w:hAnsi="Times New Roman"/>
          <w:sz w:val="16"/>
          <w:szCs w:val="16"/>
          <w:i w:val="1"/>
          <w:iCs w:val="1"/>
          <w:u w:val="single" w:color="auto"/>
          <w:color w:val="auto"/>
        </w:rPr>
        <w:t>Off-Balance Sheet Credit Exposure</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Company maintains a separate reserve for credit losses on off-balance sheet credit exposures, including unfunded loan commitments, which is included in other liabilities on the consolidated balance sheet. The reserve for credit losses on off-balance sheet credit exposures is adjusted as a provision for credit losses in the consolidated statement of income. The estimate includes consideration of the likelihood that funding will occur and an estimate of ECLs on commitments expected to be funded over its estimated life, utilizing the same models and approaches for the Company's other loan portfolio segments described above, as these unfunded commitments share similar risk characteristics as its loan portfolio segments. The Company has identified the unfunded portion of certain lines of credit as unconditionally cancellable credit exposures, meaning the Company can cancel the unfunded commitment at any time. No credit loss estimate is reported for off-balance sheet credit exposures that are unconditionally cancellable by the Company or for undrawn amounts under such arrangements that may be drawn prior to the cancellation of the arrangement. At March 31, 2024 and December 31, 2023, the ACL on off-balance sheet credit exposures included in other liabilities was $2,607 and $2,587, respectively.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7. Deposit Accounts</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
        </w:trPr>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44"/>
        </w:trPr>
        <w:tc>
          <w:tcPr>
            <w:tcW w:w="7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Deposit accounts at the dates indicated consist of the following:</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46"/>
        </w:trPr>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21"/>
                <w:szCs w:val="21"/>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5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accounts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773,901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784,950</w:t>
            </w:r>
          </w:p>
        </w:tc>
      </w:tr>
      <w:tr>
        <w:trPr>
          <w:trHeight w:val="213"/>
        </w:trPr>
        <w:tc>
          <w:tcPr>
            <w:tcW w:w="75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NOW accounts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600,561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591,270</w:t>
            </w:r>
          </w:p>
        </w:tc>
      </w:tr>
      <w:tr>
        <w:trPr>
          <w:trHeight w:val="219"/>
        </w:trPr>
        <w:tc>
          <w:tcPr>
            <w:tcW w:w="7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accounts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1,308,467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1,246,807</w:t>
            </w:r>
          </w:p>
        </w:tc>
      </w:tr>
      <w:tr>
        <w:trPr>
          <w:trHeight w:val="213"/>
        </w:trPr>
        <w:tc>
          <w:tcPr>
            <w:tcW w:w="75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Savings accounts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194,486</w:t>
            </w:r>
          </w:p>
        </w:tc>
      </w:tr>
      <w:tr>
        <w:trPr>
          <w:trHeight w:val="219"/>
        </w:trPr>
        <w:tc>
          <w:tcPr>
            <w:tcW w:w="7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925,576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843,860</w:t>
            </w:r>
          </w:p>
        </w:tc>
      </w:tr>
      <w:tr>
        <w:trPr>
          <w:trHeight w:val="207"/>
        </w:trPr>
        <w:tc>
          <w:tcPr>
            <w:tcW w:w="75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3,799,807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3,661,373</w:t>
            </w:r>
          </w:p>
        </w:tc>
      </w:tr>
      <w:tr>
        <w:trPr>
          <w:trHeight w:val="23"/>
        </w:trPr>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Deposits from executive officers and directors and their associates totaled approximately $1,314 and $1,555 at March 31, 2024 and December 31, 2023, respectively.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20" w:type="dxa"/>
            <w:vAlign w:val="bottom"/>
          </w:tcPr>
          <w:p>
            <w:pPr>
              <w:spacing w:after="0"/>
              <w:rPr>
                <w:sz w:val="20"/>
                <w:szCs w:val="20"/>
                <w:color w:val="auto"/>
              </w:rPr>
            </w:pPr>
            <w:r>
              <w:rPr>
                <w:rFonts w:ascii="Times New Roman" w:cs="Times New Roman" w:eastAsia="Times New Roman" w:hAnsi="Times New Roman"/>
                <w:sz w:val="16"/>
                <w:szCs w:val="16"/>
                <w:color w:val="auto"/>
              </w:rPr>
              <w:t>As of March 31, 2024, scheduled maturities of certificates of deposit were as follows: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9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9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Remainder of 2024</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727,808</w:t>
            </w:r>
          </w:p>
        </w:tc>
      </w:tr>
      <w:tr>
        <w:trPr>
          <w:trHeight w:val="213"/>
        </w:trPr>
        <w:tc>
          <w:tcPr>
            <w:tcW w:w="9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2025</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185,736</w:t>
            </w:r>
          </w:p>
        </w:tc>
      </w:tr>
      <w:tr>
        <w:trPr>
          <w:trHeight w:val="219"/>
        </w:trPr>
        <w:tc>
          <w:tcPr>
            <w:tcW w:w="9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2026</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5,855</w:t>
            </w:r>
          </w:p>
        </w:tc>
      </w:tr>
      <w:tr>
        <w:trPr>
          <w:trHeight w:val="213"/>
        </w:trPr>
        <w:tc>
          <w:tcPr>
            <w:tcW w:w="9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2027</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4,087</w:t>
            </w:r>
          </w:p>
        </w:tc>
      </w:tr>
      <w:tr>
        <w:trPr>
          <w:trHeight w:val="219"/>
        </w:trPr>
        <w:tc>
          <w:tcPr>
            <w:tcW w:w="9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w:t>
            </w:r>
          </w:p>
        </w:tc>
      </w:tr>
      <w:tr>
        <w:trPr>
          <w:trHeight w:val="213"/>
        </w:trPr>
        <w:tc>
          <w:tcPr>
            <w:tcW w:w="9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Thereafter</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w:t>
            </w:r>
          </w:p>
        </w:tc>
      </w:tr>
      <w:tr>
        <w:trPr>
          <w:trHeight w:val="234"/>
        </w:trPr>
        <w:tc>
          <w:tcPr>
            <w:tcW w:w="9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925,576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Certificates of deposit with balances of $250 or greater totaled $144,616 and $118,035 at March 31, 2024 and December 31, 2023, respectively. Generally, deposit amounts in excess of $250 are not federally insured.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Borrowings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Junior Subordinated Debentures</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February 21, 2007, Quantum formed a Connecticut statutory trust, Quantum Capital Statutory Trust II (the "Trust"), which issued $11,000 of trust preferred securities that were designed to qualify as Tier I capital under Federal Reserve Board guidelines. All of the common securities of the Trust were owned by Quantum. The proceeds from the issuance of the common securities and the trust preferred securities were used by the Trust to purchase $11,341 of junior subordinated debentures of Quantum. As a result of its merger with Quantum on February 12, 2023, HomeTrust became the 100% successor owner of the Trust.</w:t>
      </w:r>
    </w:p>
    <w:p>
      <w:pPr>
        <w:spacing w:after="0" w:line="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trust preferred securities accrue and pay quarterly distributions at a floating rate of 3-month Term SOFR plus 2.20%, which was 7.50% at March 31, 2024. The Company has guaranteed distributions and other payments due on the trust preferred securities to the extent the Trust has insufficient funds with which to make the distributions and other payments. The net combined effect of all documents entered into in connection with the trust preferred securities is that the Company is liable to make the distributions and other payments required on the trust preferred securities.</w:t>
      </w:r>
    </w:p>
    <w:p>
      <w:pPr>
        <w:spacing w:after="0" w:line="4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trust preferred securities are mandatorily redeemable upon maturity of the debentures on March 15, 2037, or upon earlier redemption as provided in the indenture. The Company has the right to redeem the debentures purchased by the Trust, in whole or in part, on or after March 15, 2012. As specified in the indenture, if the debentures are redeemed prior to maturity, the redemption price will be the principal amount and any accrued but unpaid interest.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Borrowings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Borrowings, outside of junior subordinated debt, consist of the following at the dates indicated: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4"/>
          </w:tcPr>
          <w:p>
            <w:pPr>
              <w:ind w:left="6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40" w:type="dxa"/>
            <w:vAlign w:val="bottom"/>
          </w:tcPr>
          <w:p>
            <w:pPr>
              <w:spacing w:after="0"/>
              <w:rPr>
                <w:sz w:val="18"/>
                <w:szCs w:val="18"/>
                <w:color w:val="auto"/>
              </w:rPr>
            </w:pPr>
          </w:p>
        </w:tc>
        <w:tc>
          <w:tcPr>
            <w:tcW w:w="266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8"/>
        </w:trPr>
        <w:tc>
          <w:tcPr>
            <w:tcW w:w="53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4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480" w:type="dxa"/>
            <w:vAlign w:val="bottom"/>
            <w:tcBorders>
              <w:top w:val="single" w:sz="8" w:color="auto"/>
            </w:tcBorders>
          </w:tcPr>
          <w:p>
            <w:pPr>
              <w:ind w:left="42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14"/>
        </w:trPr>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2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1"/>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 advances (short-term)</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5.44 %</w:t>
            </w:r>
          </w:p>
        </w:tc>
        <w:tc>
          <w:tcPr>
            <w:tcW w:w="0" w:type="dxa"/>
            <w:vAlign w:val="bottom"/>
          </w:tcPr>
          <w:p>
            <w:pPr>
              <w:spacing w:after="0"/>
              <w:rPr>
                <w:sz w:val="1"/>
                <w:szCs w:val="1"/>
                <w:color w:val="auto"/>
              </w:rPr>
            </w:pPr>
          </w:p>
        </w:tc>
      </w:tr>
      <w:tr>
        <w:trPr>
          <w:trHeight w:val="213"/>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FRB advances (short-term)</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276,000</w:t>
            </w:r>
          </w:p>
        </w:tc>
        <w:tc>
          <w:tcPr>
            <w:tcW w:w="100" w:type="dxa"/>
            <w:vAlign w:val="bottom"/>
          </w:tcPr>
          <w:p>
            <w:pPr>
              <w:spacing w:after="0"/>
              <w:rPr>
                <w:sz w:val="18"/>
                <w:szCs w:val="18"/>
                <w:color w:val="auto"/>
              </w:rPr>
            </w:pPr>
          </w:p>
        </w:tc>
        <w:tc>
          <w:tcPr>
            <w:tcW w:w="14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310,000</w:t>
            </w:r>
          </w:p>
        </w:tc>
        <w:tc>
          <w:tcPr>
            <w:tcW w:w="80" w:type="dxa"/>
            <w:vAlign w:val="bottom"/>
          </w:tcPr>
          <w:p>
            <w:pPr>
              <w:spacing w:after="0"/>
              <w:rPr>
                <w:sz w:val="18"/>
                <w:szCs w:val="18"/>
                <w:color w:val="auto"/>
              </w:rPr>
            </w:pPr>
          </w:p>
        </w:tc>
        <w:tc>
          <w:tcPr>
            <w:tcW w:w="148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lines of credit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15,513</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18,763</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07"/>
        </w:trPr>
        <w:tc>
          <w:tcPr>
            <w:tcW w:w="53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other borrowings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291,513</w:t>
            </w:r>
          </w:p>
        </w:tc>
        <w:tc>
          <w:tcPr>
            <w:tcW w:w="100" w:type="dxa"/>
            <w:vAlign w:val="bottom"/>
          </w:tcPr>
          <w:p>
            <w:pPr>
              <w:spacing w:after="0"/>
              <w:rPr>
                <w:sz w:val="17"/>
                <w:szCs w:val="17"/>
                <w:color w:val="auto"/>
              </w:rPr>
            </w:pPr>
          </w:p>
        </w:tc>
        <w:tc>
          <w:tcPr>
            <w:tcW w:w="14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5.69 %</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433,763</w:t>
            </w:r>
          </w:p>
        </w:tc>
        <w:tc>
          <w:tcPr>
            <w:tcW w:w="80" w:type="dxa"/>
            <w:vAlign w:val="bottom"/>
          </w:tcPr>
          <w:p>
            <w:pPr>
              <w:spacing w:after="0"/>
              <w:rPr>
                <w:sz w:val="17"/>
                <w:szCs w:val="17"/>
                <w:color w:val="auto"/>
              </w:rPr>
            </w:pPr>
          </w:p>
        </w:tc>
        <w:tc>
          <w:tcPr>
            <w:tcW w:w="14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5.64 %</w:t>
            </w:r>
          </w:p>
        </w:tc>
        <w:tc>
          <w:tcPr>
            <w:tcW w:w="0" w:type="dxa"/>
            <w:vAlign w:val="bottom"/>
          </w:tcPr>
          <w:p>
            <w:pPr>
              <w:spacing w:after="0"/>
              <w:rPr>
                <w:sz w:val="1"/>
                <w:szCs w:val="1"/>
                <w:color w:val="auto"/>
              </w:rPr>
            </w:pPr>
          </w:p>
        </w:tc>
      </w:tr>
      <w:tr>
        <w:trPr>
          <w:trHeight w:val="23"/>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All qualifying one-to-four family loans, HELOCs, commercial real estate loans, multifamily loans and FHLB of Atlanta stock are pledged as collateral to secure outstanding FHLB advances while commercial construction, indirect auto, and equipment and municipal leases are pledged as collateral to secure outstanding FRB advances. At March 31, 2024 and December 31, 2023, the Company had the ability to borrow $170,017 and $72,766, respectively, through additional FHLB advances and $80,602 and $55,254, respectively, through the unused portion of a line of credit with the FRB.</w:t>
      </w:r>
    </w:p>
    <w:p>
      <w:pPr>
        <w:spacing w:after="0" w:line="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At March 31, 2024 and December 31, 2023, the Company maintained revolving lines of credit with three unaffiliated banks, the unused portions of which totaled $149,487 and $146,237, respectively. At March 31, 2024 and December 31, 2023, HomeTrust had drawn $15,513 and $18,763, respectively, on a $40,000 revolving line of credit which bears interest at </w:t>
      </w:r>
      <w:r>
        <w:rPr>
          <w:rFonts w:ascii="Times New Roman" w:cs="Times New Roman" w:eastAsia="Times New Roman" w:hAnsi="Times New Roman"/>
          <w:sz w:val="16"/>
          <w:szCs w:val="16"/>
          <w:i w:val="1"/>
          <w:iCs w:val="1"/>
          <w:color w:val="auto"/>
        </w:rPr>
        <w:t>The Wall Street Journal</w:t>
      </w:r>
      <w:r>
        <w:rPr>
          <w:rFonts w:ascii="Times New Roman" w:cs="Times New Roman" w:eastAsia="Times New Roman" w:hAnsi="Times New Roman"/>
          <w:sz w:val="16"/>
          <w:szCs w:val="16"/>
          <w:color w:val="auto"/>
        </w:rPr>
        <w:t xml:space="preserve"> prime rate plus 50 basis points, maturing on January 28, 2025, although the term may be extended for an additional year if no events of default have occurred.</w:t>
      </w:r>
    </w:p>
    <w:p>
      <w:pPr>
        <w:spacing w:after="0" w:line="110" w:lineRule="exact"/>
        <w:rPr>
          <w:sz w:val="20"/>
          <w:szCs w:val="20"/>
          <w:color w:val="auto"/>
        </w:rPr>
      </w:pPr>
    </w:p>
    <w:p>
      <w:pPr>
        <w:ind w:left="300" w:hanging="292"/>
        <w:spacing w:after="0"/>
        <w:tabs>
          <w:tab w:leader="none" w:pos="30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Leases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Lessee - Operating Leases</w:t>
      </w:r>
    </w:p>
    <w:p>
      <w:pPr>
        <w:spacing w:after="0" w:line="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Company's operating leases primarily include office space and bank branches. Certain leases include one or more options to renew, with renewal terms that can extend the lease term up to 15 additional years. The exercise of lease renewal options is at management's sole discretion. When it is reasonably certain that the Company will exercise our option to renew or extend the lease term, that option is included in estimating the value of the ROU and lease liability. The Company's lease agreements do not contain any material residual value guarantees or material restrictive covenants. Most of the Company's lease agreements include periodic rate adjustments for inflation. The depreciable life of ROU assets and leasehold improvements are limited to the shorter of the useful life or the expected lease term. Leases with an initial term of 12 months or less are not recorded on the Company's Consolidated Balance Sheet. The Company recognizes lease expenses for these leases over the lease term.</w:t>
      </w:r>
    </w:p>
    <w:p>
      <w:pPr>
        <w:spacing w:after="0" w:line="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following table presents supplemental balance sheet information related to operating leases. ROU assets are included in other assets and lease liabilities are included in other liabilities.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9"/>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balance sheet information</w:t>
            </w:r>
          </w:p>
        </w:tc>
        <w:tc>
          <w:tcPr>
            <w:tcW w:w="2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r>
      <w:tr>
        <w:trPr>
          <w:trHeight w:val="213"/>
        </w:trPr>
        <w:tc>
          <w:tcPr>
            <w:tcW w:w="7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ROU assets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8,967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9,259</w:t>
            </w:r>
          </w:p>
        </w:tc>
      </w:tr>
      <w:tr>
        <w:trPr>
          <w:trHeight w:val="219"/>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Lease liabilities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10,975</w:t>
            </w:r>
          </w:p>
        </w:tc>
      </w:tr>
      <w:tr>
        <w:trPr>
          <w:trHeight w:val="213"/>
        </w:trPr>
        <w:tc>
          <w:tcPr>
            <w:tcW w:w="7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Weighted-average remaining lease terms (years)</w:t>
            </w:r>
          </w:p>
        </w:tc>
        <w:tc>
          <w:tcPr>
            <w:tcW w:w="260" w:type="dxa"/>
            <w:vAlign w:val="bottom"/>
          </w:tcPr>
          <w:p>
            <w:pPr>
              <w:spacing w:after="0"/>
              <w:rPr>
                <w:sz w:val="18"/>
                <w:szCs w:val="18"/>
                <w:color w:val="auto"/>
              </w:rPr>
            </w:pPr>
          </w:p>
        </w:tc>
        <w:tc>
          <w:tcPr>
            <w:tcW w:w="16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8.8</w:t>
            </w:r>
          </w:p>
        </w:tc>
      </w:tr>
      <w:tr>
        <w:trPr>
          <w:trHeight w:val="219"/>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3.41 %</w:t>
            </w: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9"/>
        </w:trPr>
        <w:tc>
          <w:tcPr>
            <w:tcW w:w="8800" w:type="dxa"/>
            <w:vAlign w:val="bottom"/>
          </w:tcPr>
          <w:p>
            <w:pPr>
              <w:jc w:val="center"/>
              <w:ind w:left="2379"/>
              <w:spacing w:after="0"/>
              <w:rPr>
                <w:sz w:val="20"/>
                <w:szCs w:val="20"/>
                <w:color w:val="auto"/>
              </w:rPr>
            </w:pPr>
            <w:r>
              <w:rPr>
                <w:rFonts w:ascii="Times New Roman" w:cs="Times New Roman" w:eastAsia="Times New Roman" w:hAnsi="Times New Roman"/>
                <w:sz w:val="16"/>
                <w:szCs w:val="16"/>
                <w:color w:val="auto"/>
              </w:rPr>
              <w:t>HOMETRUST BANCSHARES, INC. AND SUBSIDIARY</w:t>
            </w: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0" w:type="dxa"/>
            <w:vAlign w:val="bottom"/>
          </w:tcPr>
          <w:p>
            <w:pPr>
              <w:jc w:val="center"/>
              <w:ind w:left="2359"/>
              <w:spacing w:after="0"/>
              <w:rPr>
                <w:sz w:val="20"/>
                <w:szCs w:val="20"/>
                <w:color w:val="auto"/>
              </w:rPr>
            </w:pPr>
            <w:r>
              <w:rPr>
                <w:rFonts w:ascii="Times New Roman" w:cs="Times New Roman" w:eastAsia="Times New Roman" w:hAnsi="Times New Roman"/>
                <w:sz w:val="16"/>
                <w:szCs w:val="16"/>
                <w:color w:val="auto"/>
              </w:rPr>
              <w:t>Notes to Consolidated Financial Statements</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0" w:type="dxa"/>
            <w:vAlign w:val="bottom"/>
          </w:tcPr>
          <w:p>
            <w:pPr>
              <w:jc w:val="center"/>
              <w:ind w:left="2359"/>
              <w:spacing w:after="0"/>
              <w:rPr>
                <w:sz w:val="20"/>
                <w:szCs w:val="20"/>
                <w:color w:val="auto"/>
              </w:rPr>
            </w:pPr>
            <w:r>
              <w:rPr>
                <w:rFonts w:ascii="Times New Roman" w:cs="Times New Roman" w:eastAsia="Times New Roman" w:hAnsi="Times New Roman"/>
                <w:sz w:val="16"/>
                <w:szCs w:val="16"/>
                <w:color w:val="auto"/>
              </w:rPr>
              <w:t>(Dollars in thousands, except per share data)</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2"/>
        </w:trPr>
        <w:tc>
          <w:tcPr>
            <w:tcW w:w="880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schedule summarizes aggregate future minimum lease payments under these operating leases at March 31, 2024:</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2024</w:t>
            </w: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8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4,370</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undiscounted minimum lease payments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12,439</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8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0" w:type="dxa"/>
            <w:vAlign w:val="bottom"/>
          </w:tcPr>
          <w:p>
            <w:pPr>
              <w:spacing w:after="0"/>
              <w:rPr>
                <w:sz w:val="1"/>
                <w:szCs w:val="1"/>
                <w:color w:val="auto"/>
              </w:rPr>
            </w:pPr>
          </w:p>
        </w:tc>
      </w:tr>
      <w:tr>
        <w:trPr>
          <w:trHeight w:val="234"/>
        </w:trPr>
        <w:tc>
          <w:tcPr>
            <w:tcW w:w="8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lease liability</w:t>
            </w:r>
          </w:p>
        </w:tc>
        <w:tc>
          <w:tcPr>
            <w:tcW w:w="8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10,625</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The following table presents components of operating lease expense for the periods indicated:</w:t>
            </w: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88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800" w:type="dxa"/>
            <w:vAlign w:val="bottom"/>
          </w:tcPr>
          <w:p>
            <w:pPr>
              <w:spacing w:after="0"/>
              <w:rPr>
                <w:sz w:val="20"/>
                <w:szCs w:val="20"/>
                <w:color w:val="auto"/>
              </w:rPr>
            </w:pPr>
          </w:p>
        </w:tc>
        <w:tc>
          <w:tcPr>
            <w:tcW w:w="24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88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 (included in occupancy expense, net)</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 (included in occupancy expense, net)</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Sublease income (included in other noninterest income)</w:t>
            </w:r>
          </w:p>
        </w:tc>
        <w:tc>
          <w:tcPr>
            <w:tcW w:w="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7"/>
        </w:trPr>
        <w:tc>
          <w:tcPr>
            <w:tcW w:w="88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operating lease expense, net</w:t>
            </w: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3"/>
        </w:trPr>
        <w:tc>
          <w:tcPr>
            <w:tcW w:w="88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Lessee - Finance Lease</w:t>
      </w:r>
    </w:p>
    <w:p>
      <w:pPr>
        <w:spacing w:after="0" w:line="4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During the quarter ended March 31, 2023, the Company purchased the property associated with the finance lease reported historically. The Company purchased the property for $1,249, terminating the existing land lease. Prior to the purchase, interest expense on the lease liability totaled $15 for the three months ended March 31,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lease cash flow information for the periods indicated:</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6"/>
        </w:trPr>
        <w:tc>
          <w:tcPr>
            <w:tcW w:w="8800" w:type="dxa"/>
            <w:vAlign w:val="bottom"/>
          </w:tcPr>
          <w:p>
            <w:pPr>
              <w:spacing w:after="0"/>
              <w:rPr>
                <w:sz w:val="21"/>
                <w:szCs w:val="21"/>
                <w:color w:val="auto"/>
              </w:rPr>
            </w:pPr>
          </w:p>
        </w:tc>
        <w:tc>
          <w:tcPr>
            <w:tcW w:w="2440" w:type="dxa"/>
            <w:vAlign w:val="bottom"/>
            <w:tcBorders>
              <w:bottom w:val="single" w:sz="8" w:color="auto"/>
            </w:tcBorders>
            <w:gridSpan w:val="5"/>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8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assets - noncash additions (operating leases)</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 (operating leases)</w:t>
            </w: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 (finance leases)</w:t>
            </w:r>
          </w:p>
        </w:tc>
        <w:tc>
          <w:tcPr>
            <w:tcW w:w="8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Lessor - General</w:t>
      </w:r>
    </w:p>
    <w:p>
      <w:pPr>
        <w:spacing w:after="0" w:line="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leases equipment to commercial end users under operating and finance lease arrangements. The Company's equipment finance leases consist mainly of construction, transportation, healthcare and manufacturing equipment. Many of its operating and finance leases offer the lessee the option to purchase the equipment at fair value or for a fixed purchase option, and most of the leases that do not have a purchase option include renewal provisions resulting in some leases continuing beyond initial contractual terms. The Company's leases do not include early termination options, and continued rent payments are due if leased equipment is not returned at the end of the lease.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Lessor - Operating Leases</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Operating lease income is recognized as a component of noninterest income on a straight-line basis over the lease term. Lease terms range from one to seven years. Assets related to operating leases are included in other assets and the corresponding depreciation expense is recorded on a straight-line basis as a component of other noninterest expense. The net book value of leased assets totaled $29,713 and $30,121 with a residual value of $13,917 and $14,958 as of March 31, 2024 and December 31, 2023, respectively.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presents total equipment finance operating lease income and depreciation expense for the periods indicated:</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3"/>
        </w:trPr>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r>
      <w:tr>
        <w:trPr>
          <w:trHeight w:val="211"/>
        </w:trPr>
        <w:tc>
          <w:tcPr>
            <w:tcW w:w="88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r>
      <w:tr>
        <w:trPr>
          <w:trHeight w:val="210"/>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r>
      <w:tr>
        <w:trPr>
          <w:trHeight w:val="364"/>
        </w:trPr>
        <w:tc>
          <w:tcPr>
            <w:tcW w:w="880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schedule summarizes aggregate future minimum lease payments to be received at March 31, 2024:</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
        </w:trPr>
        <w:tc>
          <w:tcPr>
            <w:tcW w:w="8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5,546</w:t>
            </w: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w:t>
            </w: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w:t>
            </w: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r>
      <w:tr>
        <w:trPr>
          <w:trHeight w:val="213"/>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w:t>
            </w:r>
          </w:p>
        </w:tc>
      </w:tr>
      <w:tr>
        <w:trPr>
          <w:trHeight w:val="235"/>
        </w:trPr>
        <w:tc>
          <w:tcPr>
            <w:tcW w:w="8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of future minimum payments</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20,863</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Lessor - Financing Leases</w:t>
      </w:r>
    </w:p>
    <w:p>
      <w:pPr>
        <w:spacing w:after="0" w:line="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Finance lease income is recognized as a component of loan interest income over the lease term. The finance leases are included as a component of the equipment finance class of financing receivables under the commercial loan segment of the loan portfolio. For the three months ended March 31, 2024 and 2023, interest income on equipment finance leases totaled $1,055 and $860, respectively.</w:t>
      </w:r>
    </w:p>
    <w:p>
      <w:pPr>
        <w:spacing w:after="0" w:line="3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lease receivable component of finance lease net investment included within the equipment finance class of financing receivables was $69,442 and $70,150 at March 31, 2024 and December 31, 2023, respectively.</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94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schedule summarizes, as of March 31, 2024, aggregate future minimum finance lease payments to be received:</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6"/>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2024</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19,700</w:t>
            </w:r>
          </w:p>
        </w:tc>
      </w:tr>
      <w:tr>
        <w:trPr>
          <w:trHeight w:val="213"/>
        </w:trPr>
        <w:tc>
          <w:tcPr>
            <w:tcW w:w="9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20,943</w:t>
            </w:r>
          </w:p>
        </w:tc>
      </w:tr>
      <w:tr>
        <w:trPr>
          <w:trHeight w:val="219"/>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16,821</w:t>
            </w:r>
          </w:p>
        </w:tc>
      </w:tr>
      <w:tr>
        <w:trPr>
          <w:trHeight w:val="213"/>
        </w:trPr>
        <w:tc>
          <w:tcPr>
            <w:tcW w:w="9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12,171</w:t>
            </w:r>
          </w:p>
        </w:tc>
      </w:tr>
      <w:tr>
        <w:trPr>
          <w:trHeight w:val="219"/>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5,847</w:t>
            </w:r>
          </w:p>
        </w:tc>
      </w:tr>
      <w:tr>
        <w:trPr>
          <w:trHeight w:val="213"/>
        </w:trPr>
        <w:tc>
          <w:tcPr>
            <w:tcW w:w="9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4,503</w:t>
            </w:r>
          </w:p>
        </w:tc>
      </w:tr>
      <w:tr>
        <w:trPr>
          <w:trHeight w:val="212"/>
        </w:trPr>
        <w:tc>
          <w:tcPr>
            <w:tcW w:w="9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undiscounted minimum lease payments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79,985</w:t>
            </w:r>
          </w:p>
        </w:tc>
      </w:tr>
      <w:tr>
        <w:trPr>
          <w:trHeight w:val="213"/>
        </w:trPr>
        <w:tc>
          <w:tcPr>
            <w:tcW w:w="9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(10,543)</w:t>
            </w:r>
          </w:p>
        </w:tc>
      </w:tr>
      <w:tr>
        <w:trPr>
          <w:trHeight w:val="237"/>
        </w:trPr>
        <w:tc>
          <w:tcPr>
            <w:tcW w:w="9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lease receivable</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69,442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Equity Incentive Plan</w:t>
      </w:r>
    </w:p>
    <w:p>
      <w:pPr>
        <w:spacing w:after="0" w:line="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Company historically provided stock-based awards through the 2013 Omnibus Incentive Plan, which provided for awards of restricted stock, restricted stock units, stock options, stock appreciation rights and cash awards to directors, directors emeritus, officers, employees and advisory directors. On November 14, 2022, at the Company's annual meeting, stockholders approved the 2022 Omnibus Incentive Plan which provides for the same types of awards as described under the 2013 Omnibus Incentive Plan. Going forward, any future grants will be made under this plan.</w:t>
      </w:r>
    </w:p>
    <w:p>
      <w:pPr>
        <w:spacing w:after="0" w:line="2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cost of equity-based awards under the 2022 Omnibus Incentive Plan generally is based on the fair value of the awards on their grant date. The maximum number of shares that may be utilized for awards under the plan is 1,000,000. Shares of common stock issued under the plan will be issued out of authorized but unissued shares, some or all of which may be repurchased shares.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share-based compensation expense and the estimated related tax benefit for stock options and restricted stock for the dates indicated below:</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40" w:type="dxa"/>
            <w:vAlign w:val="bottom"/>
          </w:tcPr>
          <w:p>
            <w:pPr>
              <w:spacing w:after="0"/>
              <w:rPr>
                <w:sz w:val="18"/>
                <w:szCs w:val="18"/>
                <w:color w:val="auto"/>
              </w:rPr>
            </w:pPr>
          </w:p>
        </w:tc>
        <w:tc>
          <w:tcPr>
            <w:tcW w:w="2500" w:type="dxa"/>
            <w:vAlign w:val="bottom"/>
            <w:tcBorders>
              <w:bottom w:val="single" w:sz="8" w:color="auto"/>
            </w:tcBorders>
            <w:gridSpan w:val="5"/>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7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10"/>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benefit</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stock option activity and related information for the three months ended March 31, 2024 and 2023:</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60" w:type="dxa"/>
            <w:vAlign w:val="bottom"/>
          </w:tcPr>
          <w:p>
            <w:pPr>
              <w:spacing w:after="0"/>
              <w:rPr>
                <w:sz w:val="16"/>
                <w:szCs w:val="16"/>
                <w:color w:val="auto"/>
              </w:rPr>
            </w:pPr>
          </w:p>
        </w:tc>
        <w:tc>
          <w:tcPr>
            <w:tcW w:w="12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16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260" w:type="dxa"/>
            <w:vAlign w:val="bottom"/>
          </w:tcPr>
          <w:p>
            <w:pPr>
              <w:spacing w:after="0"/>
              <w:rPr>
                <w:sz w:val="14"/>
                <w:szCs w:val="14"/>
                <w:color w:val="auto"/>
              </w:rPr>
            </w:pPr>
          </w:p>
        </w:tc>
        <w:tc>
          <w:tcPr>
            <w:tcW w:w="1280" w:type="dxa"/>
            <w:vAlign w:val="bottom"/>
          </w:tcPr>
          <w:p>
            <w:pPr>
              <w:jc w:val="center"/>
              <w:ind w:right="179"/>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4"/>
        </w:trPr>
        <w:tc>
          <w:tcPr>
            <w:tcW w:w="486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260" w:type="dxa"/>
            <w:vAlign w:val="bottom"/>
          </w:tcPr>
          <w:p>
            <w:pPr>
              <w:spacing w:after="0"/>
              <w:rPr>
                <w:sz w:val="18"/>
                <w:szCs w:val="18"/>
                <w:color w:val="auto"/>
              </w:rPr>
            </w:pPr>
          </w:p>
        </w:tc>
        <w:tc>
          <w:tcPr>
            <w:tcW w:w="12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December 31, 2022</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849,623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w:t>
            </w:r>
          </w:p>
        </w:tc>
        <w:tc>
          <w:tcPr>
            <w:tcW w:w="0" w:type="dxa"/>
            <w:vAlign w:val="bottom"/>
          </w:tcPr>
          <w:p>
            <w:pPr>
              <w:spacing w:after="0"/>
              <w:rPr>
                <w:sz w:val="1"/>
                <w:szCs w:val="1"/>
                <w:color w:val="auto"/>
              </w:rPr>
            </w:pPr>
          </w:p>
        </w:tc>
      </w:tr>
      <w:tr>
        <w:trPr>
          <w:trHeight w:val="213"/>
        </w:trPr>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Exercised</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Options outstanding at March 31, 2023</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570,574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at March 31,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March 31, 2023</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vMerge w:val="continue"/>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76,810</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486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December 31, 2023</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534,350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Options outstanding at March 31, 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524,350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at March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475,380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March 31, 2024</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vMerge w:val="continue"/>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48,970</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options granted during the three months ended March 31, 2024 and 2023.</w:t>
      </w:r>
    </w:p>
    <w:p>
      <w:pPr>
        <w:spacing w:after="0" w:line="7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At March 31, 2024, the Company had $340 of unrecognized compensation expense related to 48,970 stock options originally scheduled to vest over a five-year period. The weighted average period over which compensation cost related to non-vested awards is expected to be recognized was 1.5 years at March 31, 2024. At March 31, 2023, the Company had $529 of unrecognized compensation expense related to 76,810 stock options originally scheduled to vest over a five-year period. The weighted average period over which compensation cost related to non-vested awards is expected to be recognized was 1.8 years at March 31, 2023.</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The table below presents restricted stock award activity and related information: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280" w:type="dxa"/>
            <w:vAlign w:val="bottom"/>
          </w:tcPr>
          <w:p>
            <w:pPr>
              <w:spacing w:after="0"/>
              <w:rPr>
                <w:sz w:val="15"/>
                <w:szCs w:val="15"/>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7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Performance-Based</w:t>
            </w: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5"/>
                <w:szCs w:val="15"/>
                <w:color w:val="auto"/>
              </w:rPr>
            </w:pPr>
          </w:p>
        </w:tc>
        <w:tc>
          <w:tcPr>
            <w:tcW w:w="1080" w:type="dxa"/>
            <w:vAlign w:val="bottom"/>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7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Restricted</w:t>
            </w:r>
          </w:p>
        </w:tc>
        <w:tc>
          <w:tcPr>
            <w:tcW w:w="160" w:type="dxa"/>
            <w:vAlign w:val="bottom"/>
          </w:tcPr>
          <w:p>
            <w:pPr>
              <w:spacing w:after="0"/>
              <w:rPr>
                <w:sz w:val="14"/>
                <w:szCs w:val="14"/>
                <w:color w:val="auto"/>
              </w:rPr>
            </w:pPr>
          </w:p>
        </w:tc>
        <w:tc>
          <w:tcPr>
            <w:tcW w:w="14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180" w:type="dxa"/>
            <w:vAlign w:val="bottom"/>
          </w:tcPr>
          <w:p>
            <w:pPr>
              <w:spacing w:after="0"/>
              <w:rPr>
                <w:sz w:val="14"/>
                <w:szCs w:val="14"/>
                <w:color w:val="auto"/>
              </w:rPr>
            </w:pPr>
          </w:p>
        </w:tc>
        <w:tc>
          <w:tcPr>
            <w:tcW w:w="108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36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color w:val="auto"/>
                <w:w w:val="96"/>
              </w:rPr>
              <w:t>Stock Awards</w:t>
            </w:r>
            <w:r>
              <w:rPr>
                <w:rFonts w:ascii="Times New Roman" w:cs="Times New Roman" w:eastAsia="Times New Roman" w:hAnsi="Times New Roman"/>
                <w:sz w:val="21"/>
                <w:szCs w:val="21"/>
                <w:b w:val="1"/>
                <w:bCs w:val="1"/>
                <w:color w:val="auto"/>
                <w:w w:val="96"/>
                <w:vertAlign w:val="superscript"/>
              </w:rPr>
              <w:t>(1)</w:t>
            </w:r>
          </w:p>
        </w:tc>
        <w:tc>
          <w:tcPr>
            <w:tcW w:w="172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color w:val="auto"/>
                <w:w w:val="96"/>
              </w:rPr>
              <w:t>Stock Units</w:t>
            </w:r>
            <w:r>
              <w:rPr>
                <w:rFonts w:ascii="Times New Roman" w:cs="Times New Roman" w:eastAsia="Times New Roman" w:hAnsi="Times New Roman"/>
                <w:sz w:val="21"/>
                <w:szCs w:val="21"/>
                <w:b w:val="1"/>
                <w:bCs w:val="1"/>
                <w:color w:val="auto"/>
                <w:w w:val="96"/>
                <w:vertAlign w:val="superscript"/>
              </w:rPr>
              <w:t>(2)</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December 31, 2022</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100,992</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0" w:type="dxa"/>
            <w:vAlign w:val="bottom"/>
          </w:tcPr>
          <w:p>
            <w:pPr>
              <w:spacing w:after="0"/>
              <w:rPr>
                <w:sz w:val="1"/>
                <w:szCs w:val="1"/>
                <w:color w:val="auto"/>
              </w:rPr>
            </w:pPr>
          </w:p>
        </w:tc>
      </w:tr>
      <w:tr>
        <w:trPr>
          <w:trHeight w:val="21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53,339</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(41,588)</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March 31, 2023</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112,743</w:t>
            </w:r>
          </w:p>
        </w:tc>
        <w:tc>
          <w:tcPr>
            <w:tcW w:w="10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40,362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52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December 31,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106,143</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w:t>
            </w:r>
          </w:p>
        </w:tc>
        <w:tc>
          <w:tcPr>
            <w:tcW w:w="0" w:type="dxa"/>
            <w:vAlign w:val="bottom"/>
          </w:tcPr>
          <w:p>
            <w:pPr>
              <w:spacing w:after="0"/>
              <w:rPr>
                <w:sz w:val="1"/>
                <w:szCs w:val="1"/>
                <w:color w:val="auto"/>
              </w:rPr>
            </w:pPr>
          </w:p>
        </w:tc>
      </w:tr>
      <w:tr>
        <w:trPr>
          <w:trHeight w:val="218"/>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Granted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56,480</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Vested</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(36,637)</w:t>
            </w:r>
          </w:p>
        </w:tc>
        <w:tc>
          <w:tcPr>
            <w:tcW w:w="10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March 31, 2024</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240" w:hanging="232"/>
        <w:spacing w:after="0"/>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awards are scheduled to vest over 1.0 year for director awards and 5.0 years for employee awards.</w:t>
      </w:r>
    </w:p>
    <w:p>
      <w:pPr>
        <w:spacing w:after="0" w:line="4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Performance-based restricted stock units are scheduled to vest over 3.0 years assuming the applicable financial goals are met.</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At March 31, 2024, unrecognized compensation expense was $3,966 related to 166,886 shares of restricted stock and restricted stock units. The weighted average period over which compensation cost related to non-vested awards was expected to be recognized was 2.2 years at March 31, 2024. At March 31, 2023, unrecognized compensation expense was $3,628 related to 149,619 shares of restricted stock and restricted stock units. The weighted average period over which compensation cost related to non-vested awards was expected to be recognized was 2.0 years at March 31, 2023.</w:t>
      </w:r>
    </w:p>
    <w:p>
      <w:pPr>
        <w:spacing w:after="0" w:line="110"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Net Income per Share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reconciliation of the numerator and denominator of basic and diluted net income per common share as of the dates indicated: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8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6,734</w:t>
            </w:r>
          </w:p>
        </w:tc>
      </w:tr>
      <w:tr>
        <w:trPr>
          <w:trHeight w:val="219"/>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Allocation of earnings to participating securities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183"/>
        </w:trPr>
        <w:tc>
          <w:tcPr>
            <w:tcW w:w="8740" w:type="dxa"/>
            <w:vAlign w:val="bottom"/>
          </w:tcPr>
          <w:p>
            <w:pPr>
              <w:ind w:left="180"/>
              <w:spacing w:after="0" w:line="183" w:lineRule="exact"/>
              <w:rPr>
                <w:sz w:val="20"/>
                <w:szCs w:val="20"/>
                <w:color w:val="auto"/>
              </w:rPr>
            </w:pPr>
            <w:r>
              <w:rPr>
                <w:rFonts w:ascii="Times New Roman" w:cs="Times New Roman" w:eastAsia="Times New Roman" w:hAnsi="Times New Roman"/>
                <w:sz w:val="16"/>
                <w:szCs w:val="16"/>
                <w:color w:val="auto"/>
              </w:rPr>
              <w:t>Numerator for basic and diluted EPS - net income available to common stockholders</w:t>
            </w: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14,919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6,670</w:t>
            </w: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9"/>
        </w:trPr>
        <w:tc>
          <w:tcPr>
            <w:tcW w:w="87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Denominator</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85"/>
        </w:trPr>
        <w:tc>
          <w:tcPr>
            <w:tcW w:w="87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r>
      <w:tr>
        <w:trPr>
          <w:trHeight w:val="213"/>
        </w:trPr>
        <w:tc>
          <w:tcPr>
            <w:tcW w:w="8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16,859,738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16,021,994</w:t>
            </w:r>
          </w:p>
        </w:tc>
      </w:tr>
      <w:tr>
        <w:trPr>
          <w:trHeight w:val="216"/>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Dilutive effect of assumed exercise of stock options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55,122</w:t>
            </w:r>
          </w:p>
        </w:tc>
      </w:tr>
      <w:tr>
        <w:trPr>
          <w:trHeight w:val="212"/>
        </w:trPr>
        <w:tc>
          <w:tcPr>
            <w:tcW w:w="8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16,872,840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16,077,116</w:t>
            </w: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 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r>
      <w:tr>
        <w:trPr>
          <w:trHeight w:val="212"/>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r>
    </w:tbl>
    <w:p>
      <w:pPr>
        <w:spacing w:after="0" w:line="15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Potential dilutive shares are excluded from the computation of earnings per share if their effect is anti-dilutive. There were 111,350 and 112,250 stock options that were anti-dilutive as of March 31, 2024 and 2023, respectively.</w:t>
      </w:r>
    </w:p>
    <w:p>
      <w:pPr>
        <w:spacing w:after="0" w:line="81"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Commitments and Contingencies</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u w:val="single" w:color="auto"/>
          <w:color w:val="auto"/>
        </w:rPr>
        <w:t>Loan Commitments</w:t>
      </w:r>
      <w:r>
        <w:rPr>
          <w:rFonts w:ascii="Times New Roman" w:cs="Times New Roman" w:eastAsia="Times New Roman" w:hAnsi="Times New Roman"/>
          <w:sz w:val="16"/>
          <w:szCs w:val="16"/>
          <w:color w:val="auto"/>
        </w:rPr>
        <w:t xml:space="preserve"> – Legally binding commitments to extend credit are agreements to lend to a customer as long as there is no violation of any condition established in the contract. Commitments generally have fixed expiration dates or other termination clauses and may require payment of a fee. Since many commitments may expire without being drawn upon, the total commitment amounts do not necessarily represent future cash requirements. In the normal course of business, there are various outstanding commitments to extend credit that are not reflected in the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The table below presents details of loan commitments outstanding as of the dates indicated:</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46"/>
        </w:trPr>
        <w:tc>
          <w:tcPr>
            <w:tcW w:w="7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21"/>
                <w:szCs w:val="21"/>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rate commitments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43,272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42,826</w:t>
            </w:r>
          </w:p>
        </w:tc>
      </w:tr>
      <w:tr>
        <w:trPr>
          <w:trHeight w:val="216"/>
        </w:trPr>
        <w:tc>
          <w:tcPr>
            <w:tcW w:w="77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Fixed rate commitments</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35,886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27,682</w:t>
            </w:r>
          </w:p>
        </w:tc>
      </w:tr>
      <w:tr>
        <w:trPr>
          <w:trHeight w:val="210"/>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loan commitments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70,508</w:t>
            </w: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fixed interest rates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 - 11.50%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 - 11.25%</w:t>
            </w:r>
          </w:p>
        </w:tc>
      </w:tr>
      <w:tr>
        <w:trPr>
          <w:trHeight w:val="60"/>
        </w:trPr>
        <w:tc>
          <w:tcPr>
            <w:tcW w:w="7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60" w:type="dxa"/>
            <w:vAlign w:val="bottom"/>
          </w:tcPr>
          <w:p>
            <w:pPr>
              <w:spacing w:after="0"/>
              <w:rPr>
                <w:sz w:val="5"/>
                <w:szCs w:val="5"/>
                <w:color w:val="auto"/>
              </w:rPr>
            </w:pPr>
          </w:p>
        </w:tc>
      </w:tr>
      <w:tr>
        <w:trPr>
          <w:trHeight w:val="25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Undisbursed portions of construction loans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170,143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170,425</w:t>
            </w:r>
          </w:p>
        </w:tc>
      </w:tr>
      <w:tr>
        <w:trPr>
          <w:trHeight w:val="28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Pre-approved but unused lines of credit</w:t>
            </w:r>
            <w:r>
              <w:rPr>
                <w:rFonts w:ascii="Times New Roman" w:cs="Times New Roman" w:eastAsia="Times New Roman" w:hAnsi="Times New Roman"/>
                <w:sz w:val="21"/>
                <w:szCs w:val="21"/>
                <w:color w:val="auto"/>
                <w:vertAlign w:val="superscript"/>
              </w:rPr>
              <w:t>(2)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690,540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690,566</w:t>
            </w:r>
          </w:p>
        </w:tc>
      </w:tr>
    </w:tbl>
    <w:p>
      <w:pPr>
        <w:spacing w:after="0" w:line="48" w:lineRule="exact"/>
        <w:rPr>
          <w:sz w:val="20"/>
          <w:szCs w:val="20"/>
          <w:color w:val="auto"/>
        </w:rPr>
      </w:pPr>
    </w:p>
    <w:p>
      <w:pPr>
        <w:ind w:left="240" w:hanging="232"/>
        <w:spacing w:after="0"/>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rate commitments had terms ranging from three to 30 years as of each date presented.</w:t>
      </w:r>
    </w:p>
    <w:p>
      <w:pPr>
        <w:spacing w:after="0" w:line="4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Principally second mortgage home equity loans and overdraft protection loans.</w:t>
      </w:r>
    </w:p>
    <w:p>
      <w:pPr>
        <w:spacing w:after="0" w:line="11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commitments presented in the above table represent the Company’s exposure to credit risk and, in the opinion of management, have no more than the normal lending risk that the Company commits to its borrowers.</w:t>
      </w:r>
    </w:p>
    <w:p>
      <w:pPr>
        <w:spacing w:after="0" w:line="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has two types of commitments related to certain one-to-four family loans held for sale: rate lock commitments and forward loan commitments. Rate lock commitments are commitments to extend credit to a customer that has an interest rate lock and are considered derivative instruments. The rate lock commitments do not qualify for hedge accounting. In order to mitigate the risk from interest rate fluctuations, the Company enters into forward loan sale commitments such as TBAs, mandatory delivery commitments with investors, or best efforts forward sale commitments with investors. The fair value of these interest rate lock commitments was not material at March 31, 2024 or December 31, 2023.</w:t>
      </w:r>
    </w:p>
    <w:p>
      <w:pPr>
        <w:spacing w:after="0" w:line="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u w:val="single" w:color="auto"/>
          <w:color w:val="auto"/>
        </w:rPr>
        <w:t>SBIC Commitments</w:t>
      </w:r>
      <w:r>
        <w:rPr>
          <w:rFonts w:ascii="Times New Roman" w:cs="Times New Roman" w:eastAsia="Times New Roman" w:hAnsi="Times New Roman"/>
          <w:sz w:val="16"/>
          <w:szCs w:val="16"/>
          <w:color w:val="auto"/>
        </w:rPr>
        <w:t xml:space="preserve"> – As of March 31, 2024, the Company had committed $28,000 across nine SBIC investments with $10,884 remaining to be drawn, while as of December 31, 2023, the Company had committed $24,000 across eight SBIC investments with $7,984 remaining to be drawn. Although the remaining capital commitments may or may not be called in the future, under the terms of the associated limited partnership agreements, the Company's exposure will not extend beyond the amount of the original commitments.</w:t>
      </w:r>
    </w:p>
    <w:p>
      <w:pPr>
        <w:spacing w:after="0" w:line="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u w:val="single" w:color="auto"/>
          <w:color w:val="auto"/>
        </w:rPr>
        <w:t>Guarantees</w:t>
      </w:r>
      <w:r>
        <w:rPr>
          <w:rFonts w:ascii="Times New Roman" w:cs="Times New Roman" w:eastAsia="Times New Roman" w:hAnsi="Times New Roman"/>
          <w:sz w:val="16"/>
          <w:szCs w:val="16"/>
          <w:color w:val="auto"/>
        </w:rPr>
        <w:t xml:space="preserve"> – Standby letters of credit obligate the Company to meet certain financial obligations of its customers, if, under the contractual terms of the agreement, the customers are unable to do so. The financial standby letters of credit issued by the Company are irrevocable and payment is only guaranteed upon the borrower's failure to perform its obligations to the beneficiary. Total commitments under standby letters of credit as of March 31, 2024 and December 31, 2023 were $50,887 and $50,897, respectively. There was no liability recorded for these letters of credit at March 31, 2024 or December 31, 2023.</w:t>
      </w:r>
    </w:p>
    <w:p>
      <w:pPr>
        <w:spacing w:after="0" w:line="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xml:space="preserve"> – From time to time, the Company is involved in litigation matters in the ordinary course of business. These proceedings and the associated legal claims are often contested, and the outcome of individual matters is not always predictable. These claims and counter claims typically arise during the course of collection efforts on problem loans or with respect to actions to enforce liens on properties in which the Company holds a security interest. The Company is not a party to any pending legal proceedings that management believes would have a material adverse effect on the Company’s financial condition or results of operations</w:t>
      </w:r>
      <w:r>
        <w:rPr>
          <w:rFonts w:ascii="Times New Roman" w:cs="Times New Roman" w:eastAsia="Times New Roman" w:hAnsi="Times New Roman"/>
          <w:sz w:val="16"/>
          <w:szCs w:val="16"/>
          <w:b w:val="1"/>
          <w:bCs w:val="1"/>
          <w:color w:val="auto"/>
        </w:rPr>
        <w:t>.</w:t>
      </w:r>
    </w:p>
    <w:p>
      <w:pPr>
        <w:spacing w:after="0" w:line="110"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Fair Value of Financial Instruments</w:t>
      </w:r>
    </w:p>
    <w:p>
      <w:pPr>
        <w:spacing w:after="0" w:line="4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30" w:lineRule="exact"/>
        <w:rPr>
          <w:sz w:val="20"/>
          <w:szCs w:val="20"/>
          <w:color w:val="auto"/>
        </w:rPr>
      </w:pPr>
    </w:p>
    <w:p>
      <w:pPr>
        <w:ind w:left="80"/>
        <w:spacing w:after="0"/>
        <w:tabs>
          <w:tab w:leader="none" w:pos="760" w:val="left"/>
        </w:tabs>
        <w:rPr>
          <w:sz w:val="20"/>
          <w:szCs w:val="20"/>
          <w:color w:val="auto"/>
        </w:rPr>
      </w:pPr>
      <w:r>
        <w:rPr>
          <w:rFonts w:ascii="Times New Roman" w:cs="Times New Roman" w:eastAsia="Times New Roman" w:hAnsi="Times New Roman"/>
          <w:sz w:val="16"/>
          <w:szCs w:val="16"/>
          <w:color w:val="auto"/>
        </w:rPr>
        <w:t>Level 1:</w:t>
        <w:tab/>
        <w:t>Quoted prices (unadjusted) for identical assets or liabilities in active markets that the entity has the ability to access as of the measurement date.</w:t>
      </w:r>
    </w:p>
    <w:p>
      <w:pPr>
        <w:spacing w:after="0" w:line="86" w:lineRule="exact"/>
        <w:rPr>
          <w:sz w:val="20"/>
          <w:szCs w:val="20"/>
          <w:color w:val="auto"/>
        </w:rPr>
      </w:pPr>
    </w:p>
    <w:p>
      <w:pPr>
        <w:ind w:left="800" w:hanging="728"/>
        <w:spacing w:after="0" w:line="280" w:lineRule="auto"/>
        <w:tabs>
          <w:tab w:leader="none" w:pos="780" w:val="left"/>
        </w:tabs>
        <w:rPr>
          <w:sz w:val="20"/>
          <w:szCs w:val="20"/>
          <w:color w:val="auto"/>
        </w:rPr>
      </w:pPr>
      <w:r>
        <w:rPr>
          <w:rFonts w:ascii="Times New Roman" w:cs="Times New Roman" w:eastAsia="Times New Roman" w:hAnsi="Times New Roman"/>
          <w:sz w:val="16"/>
          <w:szCs w:val="16"/>
          <w:color w:val="auto"/>
        </w:rPr>
        <w:t>Level 2:</w:t>
        <w:tab/>
        <w:t>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30" w:lineRule="exact"/>
        <w:rPr>
          <w:sz w:val="20"/>
          <w:szCs w:val="20"/>
          <w:color w:val="auto"/>
        </w:rPr>
      </w:pPr>
    </w:p>
    <w:p>
      <w:pPr>
        <w:ind w:left="820" w:hanging="728"/>
        <w:spacing w:after="0" w:line="260" w:lineRule="auto"/>
        <w:tabs>
          <w:tab w:leader="none" w:pos="800" w:val="left"/>
        </w:tabs>
        <w:rPr>
          <w:sz w:val="20"/>
          <w:szCs w:val="20"/>
          <w:color w:val="auto"/>
        </w:rPr>
      </w:pPr>
      <w:r>
        <w:rPr>
          <w:rFonts w:ascii="Times New Roman" w:cs="Times New Roman" w:eastAsia="Times New Roman" w:hAnsi="Times New Roman"/>
          <w:sz w:val="16"/>
          <w:szCs w:val="16"/>
          <w:color w:val="auto"/>
        </w:rPr>
        <w:t>Level 3:</w:t>
        <w:tab/>
        <w:t>Significant unobservable inputs that reflect a company's own assumptions about the assumptions that market participants would use in pricing an asset or liability.</w:t>
      </w:r>
    </w:p>
    <w:p>
      <w:pPr>
        <w:spacing w:after="0" w:line="24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 financial instrument's level within the fair value hierarchy is based on the lowest level of any input that is significant to the fair value measurement. The following is a description of valuation methodologies used for assets recorded at fair value. As of both March 31, 2024 and December 31, 2023, the Company did not have any liabilities recorded at fair value.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methods of determining the fair value of assets and liabilities presented in this note are consistent with the methodologies disclosed in Note 20 of the 2023 Form 10-KT.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Assets Recorded at Fair Value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following table presents financial assets measured at fair value on a recurring basis at the dates indicated:</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19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available for sale</w:t>
            </w: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MBS, residential</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113,181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113,181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Municipal bonds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Corporate bonds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debt securities available for sale</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Loans held for sale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40" w:type="dxa"/>
            <w:vAlign w:val="bottom"/>
            <w:vMerge w:val="continue"/>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81"/>
        </w:trPr>
        <w:tc>
          <w:tcPr>
            <w:tcW w:w="5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19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available for sale</w:t>
            </w: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MBS, residential</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104,499</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104,499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Municipal bonds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Corporate bonds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debt securities available for sale</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Loans held for sale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40" w:type="dxa"/>
            <w:vAlign w:val="bottom"/>
            <w:vMerge w:val="continue"/>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Debt securities available for sale are valued on a recurring basis at quoted market prices where available. If quoted market prices are not available, fair values are based on quoted prices of comparable securities. Level 1 securities include those traded on an active exchange, such as the New York Stock Exchange or U.S. Treasury securities that are traded by dealers or brokers in active over-the-counter markets and money market funds. Level 2 securities include MBS and debentures issued by GSEs, municipal bonds and corporate debt securities. The Company has no Level 3 securities.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Loans held for sale carried at fair value are valued at the individual loan level using quoted secondary market prices.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transfers between levels during the three months ended March 31, 2024 or December 31, 2023.</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financial assets measured at fair value on a non-recurring basis at the dates indicated: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Collateral dependent loans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4"/>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Commercial real estate loans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w:t>
            </w:r>
          </w:p>
        </w:tc>
      </w:tr>
      <w:tr>
        <w:trPr>
          <w:trHeight w:val="213"/>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finance</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r>
      <w:tr>
        <w:trPr>
          <w:trHeight w:val="210"/>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4,288</w:t>
            </w:r>
          </w:p>
        </w:tc>
      </w:tr>
      <w:tr>
        <w:trPr>
          <w:trHeight w:val="20"/>
        </w:trPr>
        <w:tc>
          <w:tcPr>
            <w:tcW w:w="5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Collateral dependent loans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4"/>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Commercial real estate loans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r>
      <w:tr>
        <w:trPr>
          <w:trHeight w:val="214"/>
        </w:trPr>
        <w:tc>
          <w:tcPr>
            <w:tcW w:w="56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3"/>
        </w:trPr>
        <w:tc>
          <w:tcPr>
            <w:tcW w:w="5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Equipment finance</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r>
      <w:tr>
        <w:trPr>
          <w:trHeight w:val="237"/>
        </w:trPr>
        <w:tc>
          <w:tcPr>
            <w:tcW w:w="56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 loan is considered to be collateral dependent when, based on current information and events, the Company expects repayment of the financial assets to be provided substantially through the operation or sale of the collateral and the Company has determined that the borrower is experiencing financial difficulty as of the measurement date. For real estate loans, the fair value of the loan's collateral is determined by a third-party appraisal, which is then adjusted for the estimated selling and closing costs related to liquidation of the collateral (typically ranging from 8% to 12% of the appraised value). For this asset class, the actual valuation methods (income, sales comparable or cost) vary based on the status of the project or property. Additional discounts of 5% to 15% may be applied depending on the age of the appraisals. The unobservable inputs may vary depending on the age of the appraisals. The unobservable inputs may vary depending on the individual asset</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with no one of the three methods being the predominant approach. For non-real estate loans, the fair value of the loan's collateral may be determined using an appraisal, net book value per the borrower's financial statements or aging reports, adjusted or discounted based on management's historical knowledge, changes in market conditions from the time of the valuation and management's expertise and knowledge of the customer and customer's business.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stated carrying value and estimated fair value amounts of financial instruments as of March 31, 2024 and December 31, 2023, are summarized below:</w:t>
      </w:r>
    </w:p>
    <w:p>
      <w:pPr>
        <w:spacing w:after="0" w:line="44"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40" w:type="dxa"/>
            <w:vAlign w:val="bottom"/>
          </w:tcPr>
          <w:p>
            <w:pPr>
              <w:spacing w:after="0"/>
              <w:rPr>
                <w:sz w:val="13"/>
                <w:szCs w:val="13"/>
                <w:color w:val="auto"/>
              </w:rPr>
            </w:pPr>
          </w:p>
        </w:tc>
        <w:tc>
          <w:tcPr>
            <w:tcW w:w="108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22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3"/>
                <w:szCs w:val="13"/>
                <w:color w:val="auto"/>
              </w:rPr>
            </w:pPr>
          </w:p>
        </w:tc>
        <w:tc>
          <w:tcPr>
            <w:tcW w:w="1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380,493</w:t>
            </w:r>
          </w:p>
        </w:tc>
        <w:tc>
          <w:tcPr>
            <w:tcW w:w="1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380,493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380,493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Certificates of deposit in other banks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Debt securities available for sale, at fair value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FHLB and FRB stock</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4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SBIC investments, at cost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14,568</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Loans held for sale, at the lower of cost or fair value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222,753</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Loans, net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3,600,650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3,464,898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3,464,898</w:t>
            </w:r>
          </w:p>
        </w:tc>
        <w:tc>
          <w:tcPr>
            <w:tcW w:w="0" w:type="dxa"/>
            <w:vAlign w:val="bottom"/>
          </w:tcPr>
          <w:p>
            <w:pPr>
              <w:spacing w:after="0"/>
              <w:rPr>
                <w:sz w:val="1"/>
                <w:szCs w:val="1"/>
                <w:color w:val="auto"/>
              </w:rPr>
            </w:pPr>
          </w:p>
        </w:tc>
      </w:tr>
      <w:tr>
        <w:trPr>
          <w:trHeight w:val="213"/>
        </w:trPr>
        <w:tc>
          <w:tcPr>
            <w:tcW w:w="4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16,187</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Noninterest-bearing and NOW deposits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1,374,462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1,374,462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1,374,462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Money market accounts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1,308,467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Savings accounts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925,576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921,456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921,456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Junior subordinated debt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Borrowings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60" w:type="dxa"/>
            <w:vAlign w:val="bottom"/>
          </w:tcPr>
          <w:p>
            <w:pPr>
              <w:spacing w:after="0"/>
              <w:rPr>
                <w:sz w:val="13"/>
                <w:szCs w:val="13"/>
                <w:color w:val="auto"/>
              </w:rPr>
            </w:pPr>
          </w:p>
        </w:tc>
        <w:tc>
          <w:tcPr>
            <w:tcW w:w="980" w:type="dxa"/>
            <w:vAlign w:val="bottom"/>
          </w:tcPr>
          <w:p>
            <w:pPr>
              <w:jc w:val="right"/>
              <w:ind w:right="37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3"/>
                <w:szCs w:val="13"/>
                <w:color w:val="auto"/>
              </w:rPr>
            </w:pPr>
          </w:p>
        </w:tc>
        <w:tc>
          <w:tcPr>
            <w:tcW w:w="1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60" w:type="dxa"/>
            <w:vAlign w:val="bottom"/>
          </w:tcPr>
          <w:p>
            <w:pPr>
              <w:spacing w:after="0"/>
              <w:rPr>
                <w:sz w:val="18"/>
                <w:szCs w:val="18"/>
                <w:color w:val="auto"/>
              </w:rPr>
            </w:pPr>
          </w:p>
        </w:tc>
        <w:tc>
          <w:tcPr>
            <w:tcW w:w="9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347,140</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347,140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347,140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Certificates of deposit in other banks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 at fair value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FHLB and FRB stock</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SBIC investments, at cost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13,789</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Loans held for sale, at the lower of cost or fair value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200,869</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Loans,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3,591,381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3,472,491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3,472,491</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16,139</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Noninterest-bearing and NOW deposits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1,376,220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1,376,220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1,376,220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1,246,807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1,246,807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1,246,807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Certificates of deposit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843,860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839,501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839,501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had off-balance sheet financial commitments, which included approximately $990,728 and $982,397 of commitments to originate loans, undisbursed portions of construction loans, unused lines of credit and standby letters of credit at March 31, 2024 and December 31, 2023, respectively (see "Note 12 – Commitments and Contingencies"). Since these commitments are based on current rates, the carrying amount approximates the fair value.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1" w:name="page32"/>
    <w:bookmarkEnd w:id="31"/>
    <w:p>
      <w:pPr>
        <w:ind w:right="4560"/>
        <w:spacing w:after="0" w:line="300" w:lineRule="auto"/>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Certain matters in this Form 10-Q constitute forward-looking statements within the meaning of the Private Securities Litigation Reform Act of 1995. These statements relate to our financial condition, results of operations, plans, objectives, future performance or business. Forward-looking statements are not statements of historical fact, but instead are based on certain assumptions and are generally identified by use of the words "believes," "expects," "anticipates," "estimates," "forecasts," "intends," "plans," "targets," "potentially," "probably," "projects," "outlook" or similar expressions or future or conditional verbs such as "may," "will," "should," "would," and "could." Forward-looking statements include statements with respect to our beliefs, plans, objectives, goals, expectations, assumptions, and statements about future economic performance and projections of financial items. These forward-looking statements are subject to known and unknown risks, uncertainties and other factors that could cause actual results to differ materially from the results anticipated or implied by our forward-looking statements.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factors that could result in material differentiation include, but are not limited to:</w:t>
      </w:r>
    </w:p>
    <w:p>
      <w:pPr>
        <w:spacing w:after="0" w:line="26" w:lineRule="exact"/>
        <w:rPr>
          <w:sz w:val="20"/>
          <w:szCs w:val="20"/>
          <w:color w:val="auto"/>
        </w:rPr>
      </w:pPr>
    </w:p>
    <w:p>
      <w:pPr>
        <w:ind w:left="340" w:hanging="251"/>
        <w:spacing w:after="0" w:line="253" w:lineRule="auto"/>
        <w:tabs>
          <w:tab w:leader="none" w:pos="3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bank failures or adverse developments involving other banks and related negative press about the banking industry in general on investor and depositor sentiment;</w:t>
      </w: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effects of the COVID-19 pandemic on general economic and financial market conditions and on public health, both nationally and in our market areas;</w:t>
      </w:r>
    </w:p>
    <w:p>
      <w:pPr>
        <w:spacing w:after="0" w:line="8" w:lineRule="exact"/>
        <w:rPr>
          <w:rFonts w:ascii="Times New Roman" w:cs="Times New Roman" w:eastAsia="Times New Roman" w:hAnsi="Times New Roman"/>
          <w:sz w:val="16"/>
          <w:szCs w:val="16"/>
          <w:color w:val="auto"/>
        </w:rPr>
      </w:pPr>
    </w:p>
    <w:p>
      <w:pPr>
        <w:jc w:val="both"/>
        <w:ind w:left="340" w:hanging="251"/>
        <w:spacing w:after="0" w:line="256" w:lineRule="auto"/>
        <w:tabs>
          <w:tab w:leader="none" w:pos="3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revenues, cost savings, synergies and other benefits from our merger and acquisition activities might not be realized to the extent anticipated, within the anticipated time frames, or at all, costs or difficulties relating to integration matters, including but not limited to customer and employee retention, might be greater than expected, and goodwill impairment charges might be incurred;</w:t>
      </w:r>
    </w:p>
    <w:p>
      <w:pPr>
        <w:spacing w:after="0" w:line="1" w:lineRule="exact"/>
        <w:rPr>
          <w:rFonts w:ascii="Times New Roman" w:cs="Times New Roman" w:eastAsia="Times New Roman" w:hAnsi="Times New Roman"/>
          <w:sz w:val="16"/>
          <w:szCs w:val="16"/>
          <w:color w:val="auto"/>
        </w:rPr>
      </w:pPr>
    </w:p>
    <w:p>
      <w:pPr>
        <w:ind w:left="340" w:hanging="251"/>
        <w:spacing w:after="0" w:line="248" w:lineRule="auto"/>
        <w:tabs>
          <w:tab w:leader="none" w:pos="3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credit risks of lending activities, including changes in the level and trend of loan delinquencies and write offs and changes in our ACL and provision for credit losses that may be impacted by deterioration in the housing and commercial real estate markets;</w:t>
      </w:r>
    </w:p>
    <w:p>
      <w:pPr>
        <w:spacing w:after="0" w:line="1"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general economic conditions, both nationally and in our market areas;</w:t>
      </w:r>
    </w:p>
    <w:p>
      <w:pPr>
        <w:spacing w:after="0" w:line="15" w:lineRule="exact"/>
        <w:rPr>
          <w:rFonts w:ascii="Times New Roman" w:cs="Times New Roman" w:eastAsia="Times New Roman" w:hAnsi="Times New Roman"/>
          <w:sz w:val="16"/>
          <w:szCs w:val="16"/>
          <w:color w:val="auto"/>
        </w:rPr>
      </w:pPr>
    </w:p>
    <w:p>
      <w:pPr>
        <w:ind w:left="340" w:hanging="251"/>
        <w:spacing w:after="0" w:line="248" w:lineRule="auto"/>
        <w:tabs>
          <w:tab w:leader="none" w:pos="3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levels of general interest rates, and the relative differences between short and long term interest rates, deposit interest rates, our net interest margin and funding sources and the effects of inflation or a potential recession;</w:t>
      </w:r>
    </w:p>
    <w:p>
      <w:pPr>
        <w:spacing w:after="0" w:line="1"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demand for loans, the number of unsold homes, land and other properties and fluctuations in real estate values in our market areas;</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decreases in the secondary market for the sale of loans that we originate;</w:t>
      </w:r>
    </w:p>
    <w:p>
      <w:pPr>
        <w:spacing w:after="0" w:line="8" w:lineRule="exact"/>
        <w:rPr>
          <w:rFonts w:ascii="Times New Roman" w:cs="Times New Roman" w:eastAsia="Times New Roman" w:hAnsi="Times New Roman"/>
          <w:sz w:val="16"/>
          <w:szCs w:val="16"/>
          <w:color w:val="auto"/>
        </w:rPr>
      </w:pPr>
    </w:p>
    <w:p>
      <w:pPr>
        <w:jc w:val="both"/>
        <w:ind w:left="340" w:hanging="251"/>
        <w:spacing w:after="0" w:line="252" w:lineRule="auto"/>
        <w:tabs>
          <w:tab w:leader="none" w:pos="3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examinations of us by the Federal Reserve, the NCCOB, or other regulatory authorities, including the possibility that any such regulatory authority may, among other things, require us to increase our ACL, write-down assets, change our regulatory capital position or affect our ability to borrow funds or maintain or increase deposits, which could adversely affect our liquidity and earnings;</w:t>
      </w:r>
    </w:p>
    <w:p>
      <w:pPr>
        <w:jc w:val="both"/>
        <w:ind w:left="340" w:right="20" w:hanging="251"/>
        <w:spacing w:after="0" w:line="256" w:lineRule="auto"/>
        <w:tabs>
          <w:tab w:leader="none" w:pos="3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legislative or regulatory changes that adversely affect our business including the effects of the Dodd-Frank Act, changes in laws or regulations, changes in regulatory policies and principles or the application or interpretation of laws and regulations by regulatory agencies and tax authorities, including changes in deferred tax asset and liability activity, and the interpretation of regulatory capital or other rules, including as a result of Basel III;</w:t>
      </w:r>
    </w:p>
    <w:p>
      <w:pPr>
        <w:spacing w:after="0" w:line="1"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deposits;</w:t>
      </w:r>
    </w:p>
    <w:p>
      <w:pPr>
        <w:spacing w:after="0" w:line="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access cost-effective funding and maintain sufficient liquidity;</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management's assumptions in determining the adequacy of the ACL;</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control operating costs and expenses, especially costs associated with our operation as a public company;</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use of estimates in determining the fair value of certain assets, which estimates may prove to be incorrect and result in significant declines in valuation;</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reducing risks associated with the loans on our balance sheet;</w:t>
      </w:r>
    </w:p>
    <w:p>
      <w:pPr>
        <w:spacing w:after="0" w:line="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staffing fluctuations in response to product demand or the implementation of corporate strategies that affect our workforce and potential associated charges;</w:t>
      </w:r>
    </w:p>
    <w:p>
      <w:pPr>
        <w:spacing w:after="0" w:line="8" w:lineRule="exact"/>
        <w:rPr>
          <w:rFonts w:ascii="Times New Roman" w:cs="Times New Roman" w:eastAsia="Times New Roman" w:hAnsi="Times New Roman"/>
          <w:sz w:val="16"/>
          <w:szCs w:val="16"/>
          <w:color w:val="auto"/>
        </w:rPr>
      </w:pPr>
    </w:p>
    <w:p>
      <w:pPr>
        <w:ind w:left="340" w:hanging="251"/>
        <w:spacing w:after="0" w:line="253" w:lineRule="auto"/>
        <w:tabs>
          <w:tab w:leader="none" w:pos="3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security breaches, or other adverse events, failures or interruptions in, or attacks on, our information technology systems or on the third-party vendors who perform several of our critical processing functions;</w:t>
      </w: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key members of our senior management team;</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and effects of litigation, including settlements and judgments;</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competitive pressures among financial services companies;</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consumer spending, borrowing and savings habits;</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resources to address changes in laws, rules, or regulations or to respond to regulatory actions;</w:t>
      </w:r>
    </w:p>
    <w:p>
      <w:pPr>
        <w:spacing w:after="0" w:line="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the securities markets;</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of key third-party providers to perform their obligations to us;</w:t>
      </w:r>
    </w:p>
    <w:p>
      <w:pPr>
        <w:spacing w:after="0" w:line="15" w:lineRule="exact"/>
        <w:rPr>
          <w:rFonts w:ascii="Times New Roman" w:cs="Times New Roman" w:eastAsia="Times New Roman" w:hAnsi="Times New Roman"/>
          <w:sz w:val="16"/>
          <w:szCs w:val="16"/>
          <w:color w:val="auto"/>
        </w:rPr>
      </w:pPr>
    </w:p>
    <w:p>
      <w:pPr>
        <w:ind w:left="340" w:hanging="251"/>
        <w:spacing w:after="0" w:line="255" w:lineRule="auto"/>
        <w:tabs>
          <w:tab w:leader="none" w:pos="32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principles, policies or guidelines and practices, as may be adopted by the financial institution regulatory agencies, the Public Company Accounting Oversight Board or the FASB;</w:t>
      </w: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economic, competitive, governmental, regulatory, and technological factors affecting our operations, pricing, products and services; and</w:t>
      </w:r>
    </w:p>
    <w:p>
      <w:pPr>
        <w:spacing w:after="0" w:line="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risks detailed from time to time in documents we file with or furnish to the SEC, including this Form 10-Q.</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Any forward-looking statements are based upon management’s beliefs and assumptions at the time they are made. We undertake no obligation to publicly update or revise any forward-looking statements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spacing w:after="0" w:line="4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used throughout this report, the terms “we,” “our,” “us,” “HomeTrust Bancshares” or the “Company” refer to HomeTrust Bancshares, Inc. and its consolidated subsidiaries, including HomeTrust Bank (“HomeTrust” or "Bank") unless the context indicates otherwise.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HomeTrust Bancshares, Inc., a Maryland corporation, was formed for the purpose of becoming the holding company for HomeTrust Bank in connection with the Bank’s conversion from mutual to stock form, which was completed on July 10, 2012. As a bank holding company and financial holding company, we are regulated by the Federal Reserve. At March 31, 2024, the Company had consolidated total assets of $4.7 billion, total deposits of $3.8 billion and stockholders' equity of $513.2 million. The Company has not engaged in any significant activity other than holding the stock of the Bank. Accordingly, the information set forth in this Form 10-Q, including the consolidated unaudited financial statements and related data, relates primarily to the Bank and its subsidiary. As a North Carolina state-chartered bank, and member of the FRB, the Bank's primary regulators are the NCCOB and the Federal Reserve. The Bank's deposits are federally insured up to applicable limits by the FDIC. The Bank is a member of the FHLB of Atlanta, which is one of the 11 regional banks in the FHLB System. Our headquarters is located in Asheville, North Carolina.</w:t>
      </w:r>
    </w:p>
    <w:p>
      <w:pPr>
        <w:spacing w:after="0" w:line="4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Bank has more than 30 locations across Georgia, North Carolina, South Carolina, Tennessee and Virginia, many of which are located in markets experiencing growth rates above the national average. Historically, our branches and facilities have primarily been located in small- to medium-sized communities, but in recent years we have implemented a strategy of expanding into larger, higher growth markets via business banking centers rather than retail-focused branches.</w:t>
      </w:r>
    </w:p>
    <w:p>
      <w:pPr>
        <w:spacing w:after="0" w:line="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principal business consists of attracting deposits from the general public and investing those funds, along with borrowed funds, in commercial real estate loans, construction and development loans, commercial and industrial loans, equipment finance leases, municipal leases, loans secured by first and second mortgages on one-to-four family residences including home equity and other consumer loans. We also originate one-to-four family loans, SBA loans and HELOCs to sell to third-parties. In addition, we invest in debt securities issued by United States Government agencies and GSEs, municipal bonds, corporate bonds, commercial paper and certificates of deposit insured by the FDIC. We offer a variety of deposit accounts for individuals, businesses and nonprofit organizations.</w:t>
      </w:r>
    </w:p>
    <w:p>
      <w:pPr>
        <w:spacing w:after="0" w:line="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primary source of pre-tax income is net interest income. Net interest income is the difference between interest income, which is the income that we earn on our loans and investments, and interest expense, which is the interest that we pay on our deposits and borrowings. Changes in levels of interest rates affect our net interest income. A secondary source of income is noninterest income, which includes revenue we receive from providing products and services including service charges and fees on deposit accounts, loan income and fees, gains on sale of loans held for sale, BOLI income and operating lease income.</w:t>
      </w:r>
    </w:p>
    <w:p>
      <w:pPr>
        <w:spacing w:after="0" w:line="4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An offset to net interest income is the provision for credit losses to establish the ACL at a level that provides for ECLs inherent in our loan portfolio, off balance sheet commitments and available for sale debt securities. See "Note 1 – Summary of Significant Accounting Policies" in Item 1 of our 2023 Form 10-KT for further discussion.</w:t>
      </w:r>
    </w:p>
    <w:p>
      <w:pPr>
        <w:spacing w:after="0" w:line="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noninterest expenses consist primarily of salaries and employee benefits, occupancy expenses, marketing and computer services and FDIC deposit insurance premiums. Salaries and benefits consist primarily of the salaries and wages paid to our employees, payroll taxes, expenses for retirement and other employee benefits. Occupancy expenses, which are the fixed and variable costs of buildings and equipment, consist primarily of lease payments, property taxes, depreciation charges, maintenance and costs of utilities.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Certain of our accounting policies are important to the portrayal of our financial condition, since they require management to make difficult, complex or subjective judgments, some of which may relate to matters that are inherently uncertain. Estimates associated with these policies are susceptible to material changes as a result of changes in facts and circumstances which could include, but are not limited to, changes in interest rates, changes in the performance of the economy and changes in the financial condition of borrowers. The following represents our critical accounting policy:</w:t>
      </w:r>
    </w:p>
    <w:p>
      <w:pPr>
        <w:spacing w:after="0" w:line="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Allowance for Credit Losses, or ACL, on Loans. </w:t>
      </w:r>
      <w:r>
        <w:rPr>
          <w:rFonts w:ascii="Times New Roman" w:cs="Times New Roman" w:eastAsia="Times New Roman" w:hAnsi="Times New Roman"/>
          <w:sz w:val="16"/>
          <w:szCs w:val="16"/>
          <w:color w:val="auto"/>
        </w:rPr>
        <w:t>The ACL on loans held for investment reflects our estimate of credit losses that will result from the inability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borrowers to make required loan payments. We charge off loans against the ACL and subsequent recoveries, if any, increase the ACL when they are recognized. We use a systematic methodology to determine our ACL for loans held for investment and certain off-balance-sheet credit exposures. The ACL on loans held for investment is a valuation account that is deducted from the amortized cost basis to present the net amount expected to be collected on the loan portfolio. The estimate of our ACL on loans held for investment involves a high degree of judgment including consideration of the effects of past events, current conditions and reasonable and supportable forecasts on the collectability of the loan portfolio. We recognize in net income the amount needed to adjust the ACL on loans held for investment and certain off-balance-sheet credit exposures for management’s current estimate of ECLs. Our ACL on loans held for investment is calculated using collectively evaluated and individually evaluated loans.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Highlights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quarter ended March 31, 2024 compared to the quarter ended December 31, 2023:</w:t>
      </w:r>
    </w:p>
    <w:p>
      <w:pPr>
        <w:spacing w:after="0" w:line="46" w:lineRule="exact"/>
        <w:rPr>
          <w:sz w:val="20"/>
          <w:szCs w:val="20"/>
          <w:color w:val="auto"/>
        </w:rPr>
      </w:pPr>
    </w:p>
    <w:p>
      <w:pPr>
        <w:ind w:left="320" w:hanging="231"/>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was $15.1 million compared to $13.5 million;</w:t>
      </w:r>
    </w:p>
    <w:p>
      <w:pPr>
        <w:spacing w:after="0" w:line="23"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EPS was $0.88 compared to $0.79;</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ROA was 1.37% compared to 1.21%;</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ROE was 11.91% compared to 10.81%;</w:t>
      </w:r>
    </w:p>
    <w:p>
      <w:pPr>
        <w:spacing w:after="0" w:line="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interest margin was 4.02% for both periods;</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 for credit losses was $1.2 million compared to $3.4 million;</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tax-free death benefit proceeds from life insurance of $1.1 million compared to $1.6 million;</w:t>
      </w:r>
    </w:p>
    <w:p>
      <w:pPr>
        <w:spacing w:after="0" w:line="8"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quarterly cash dividends continued at $0.11 per share totaling $1.9 million for both periods.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96"/>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Pr>
          <w:p>
            <w:pPr>
              <w:spacing w:after="0"/>
              <w:rPr>
                <w:sz w:val="17"/>
                <w:szCs w:val="17"/>
                <w:color w:val="auto"/>
              </w:rPr>
            </w:pPr>
          </w:p>
        </w:tc>
        <w:tc>
          <w:tcPr>
            <w:tcW w:w="1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7"/>
                <w:szCs w:val="17"/>
                <w:color w:val="auto"/>
              </w:rPr>
            </w:pPr>
          </w:p>
        </w:tc>
        <w:tc>
          <w:tcPr>
            <w:tcW w:w="16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81"/>
        </w:trPr>
        <w:tc>
          <w:tcPr>
            <w:tcW w:w="7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758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dividend income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62,819</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20,896</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41,923</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38,563</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29,781</w:t>
            </w:r>
          </w:p>
        </w:tc>
        <w:tc>
          <w:tcPr>
            <w:tcW w:w="0" w:type="dxa"/>
            <w:vAlign w:val="bottom"/>
          </w:tcPr>
          <w:p>
            <w:pPr>
              <w:spacing w:after="0"/>
              <w:rPr>
                <w:sz w:val="1"/>
                <w:szCs w:val="1"/>
                <w:color w:val="auto"/>
              </w:rPr>
            </w:pPr>
          </w:p>
        </w:tc>
      </w:tr>
      <w:tr>
        <w:trPr>
          <w:trHeight w:val="207"/>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13,464</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75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Net income per common share</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0" w:type="dxa"/>
            <w:vAlign w:val="bottom"/>
          </w:tcPr>
          <w:p>
            <w:pPr>
              <w:spacing w:after="0"/>
              <w:rPr>
                <w:sz w:val="1"/>
                <w:szCs w:val="1"/>
                <w:color w:val="auto"/>
              </w:rPr>
            </w:pPr>
          </w:p>
        </w:tc>
      </w:tr>
      <w:tr>
        <w:trPr>
          <w:trHeight w:val="213"/>
        </w:trPr>
        <w:tc>
          <w:tcPr>
            <w:tcW w:w="7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declared per common share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Book value per share at end of period</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Tangible book value per share at end of period</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0" w:type="dxa"/>
            <w:vAlign w:val="bottom"/>
          </w:tcPr>
          <w:p>
            <w:pPr>
              <w:spacing w:after="0"/>
              <w:rPr>
                <w:sz w:val="1"/>
                <w:szCs w:val="1"/>
                <w:color w:val="auto"/>
              </w:rPr>
            </w:pPr>
          </w:p>
        </w:tc>
      </w:tr>
      <w:tr>
        <w:trPr>
          <w:trHeight w:val="210"/>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price per share at end of period</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40" w:hanging="232"/>
        <w:spacing w:after="0"/>
        <w:tabs>
          <w:tab w:leader="none" w:pos="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net income per common share have been prepared in accordance with the two-class method.</w:t>
      </w:r>
    </w:p>
    <w:p>
      <w:pPr>
        <w:spacing w:after="0" w:line="27"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Non-GAAP reconciliations below for adjustments.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GAAP Reconciliation of Non-GAAP Financial Measures</w:t>
      </w:r>
    </w:p>
    <w:p>
      <w:pPr>
        <w:spacing w:after="0" w:line="4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We believe the non-GAAP financial measures included within this report provide useful information to management and investors that is supplementary to our financial condition, results of operations and cash flows computed in accordance with US GAAP; however, we acknowledge that our non-GAAP financial measures have a number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limitations. The following reconciliation tables provide detailed analyses of these non-GAAP financial measures.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Set forth below is a reconciliation to US GAAP of tangible book value and tangible book value per share:</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 except per share data)</w:t>
            </w:r>
          </w:p>
        </w:tc>
        <w:tc>
          <w:tcPr>
            <w:tcW w:w="22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1"/>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513,173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499,893</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goodwill, core deposit intangibles, net of taxes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41,086</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Tangible book value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458,807</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Common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5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17,444,787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17,387,069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Book value per share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28.75</w:t>
            </w:r>
          </w:p>
        </w:tc>
        <w:tc>
          <w:tcPr>
            <w:tcW w:w="0" w:type="dxa"/>
            <w:vAlign w:val="bottom"/>
          </w:tcPr>
          <w:p>
            <w:pPr>
              <w:spacing w:after="0"/>
              <w:rPr>
                <w:sz w:val="1"/>
                <w:szCs w:val="1"/>
                <w:color w:val="auto"/>
              </w:rPr>
            </w:pPr>
          </w:p>
        </w:tc>
      </w:tr>
      <w:tr>
        <w:trPr>
          <w:trHeight w:val="210"/>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Tangible book value per share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0" w:type="dxa"/>
            <w:vAlign w:val="bottom"/>
          </w:tcPr>
          <w:p>
            <w:pPr>
              <w:spacing w:after="0"/>
              <w:rPr>
                <w:sz w:val="1"/>
                <w:szCs w:val="1"/>
                <w:color w:val="auto"/>
              </w:rPr>
            </w:pPr>
          </w:p>
        </w:tc>
      </w:tr>
      <w:tr>
        <w:trPr>
          <w:trHeight w:val="364"/>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Set forth below is a reconciliation to US GAAP of tangible equity to tangible assets:</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1"/>
        </w:trPr>
        <w:tc>
          <w:tcPr>
            <w:tcW w:w="758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Tangible equity</w:t>
            </w:r>
            <w:r>
              <w:rPr>
                <w:rFonts w:ascii="Times New Roman" w:cs="Times New Roman" w:eastAsia="Times New Roman" w:hAnsi="Times New Roman"/>
                <w:sz w:val="21"/>
                <w:szCs w:val="21"/>
                <w:color w:val="auto"/>
                <w:vertAlign w:val="superscript"/>
              </w:rPr>
              <w:t>(1)</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472,673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458,807</w:t>
            </w:r>
          </w:p>
        </w:tc>
        <w:tc>
          <w:tcPr>
            <w:tcW w:w="0" w:type="dxa"/>
            <w:vAlign w:val="bottom"/>
          </w:tcPr>
          <w:p>
            <w:pPr>
              <w:spacing w:after="0"/>
              <w:rPr>
                <w:sz w:val="1"/>
                <w:szCs w:val="1"/>
                <w:color w:val="auto"/>
              </w:rPr>
            </w:pPr>
          </w:p>
        </w:tc>
      </w:tr>
      <w:tr>
        <w:trPr>
          <w:trHeight w:val="207"/>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4,684,011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4,672,633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goodwill, core deposit intangibles, net of taxes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41,086</w:t>
            </w:r>
          </w:p>
        </w:tc>
        <w:tc>
          <w:tcPr>
            <w:tcW w:w="0" w:type="dxa"/>
            <w:vAlign w:val="bottom"/>
          </w:tcPr>
          <w:p>
            <w:pPr>
              <w:spacing w:after="0"/>
              <w:rPr>
                <w:sz w:val="1"/>
                <w:szCs w:val="1"/>
                <w:color w:val="auto"/>
              </w:rPr>
            </w:pPr>
          </w:p>
        </w:tc>
      </w:tr>
      <w:tr>
        <w:trPr>
          <w:trHeight w:val="207"/>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tangible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4,643,511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4,631,547</w:t>
            </w:r>
          </w:p>
        </w:tc>
        <w:tc>
          <w:tcPr>
            <w:tcW w:w="0" w:type="dxa"/>
            <w:vAlign w:val="bottom"/>
          </w:tcPr>
          <w:p>
            <w:pPr>
              <w:spacing w:after="0"/>
              <w:rPr>
                <w:sz w:val="1"/>
                <w:szCs w:val="1"/>
                <w:color w:val="auto"/>
              </w:rPr>
            </w:pPr>
          </w:p>
        </w:tc>
      </w:tr>
      <w:tr>
        <w:trPr>
          <w:trHeight w:val="23"/>
        </w:trPr>
        <w:tc>
          <w:tcPr>
            <w:tcW w:w="7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7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Tangible equity to tangible assets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10.18 %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9.91 %</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equity (or tangible book value) is equal to total stockholders' equity less goodwill and core deposit intangibles, net of related deferred tax liabilities.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color w:val="auto"/>
        </w:rPr>
        <w:t xml:space="preserve">Comparison of Results of Operations for the Three Months Ended March 31, 2024 and </w:t>
      </w:r>
      <w:r>
        <w:rPr>
          <w:rFonts w:ascii="Times New Roman" w:cs="Times New Roman" w:eastAsia="Times New Roman" w:hAnsi="Times New Roman"/>
          <w:sz w:val="17"/>
          <w:szCs w:val="17"/>
          <w:b w:val="1"/>
          <w:bCs w:val="1"/>
          <w:color w:val="auto"/>
        </w:rPr>
        <w:t>December 31, 2023</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w:t>
      </w:r>
      <w:r>
        <w:rPr>
          <w:rFonts w:ascii="Times New Roman" w:cs="Times New Roman" w:eastAsia="Times New Roman" w:hAnsi="Times New Roman"/>
          <w:sz w:val="16"/>
          <w:szCs w:val="16"/>
          <w:color w:val="auto"/>
        </w:rPr>
        <w:t>Net income totaled $15.1 million, or $0.88 per diluted share, for the three months ended March 31, 2024 compared to net income of $13.5 million, or $0.79</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 diluted share, for the three months ended December 31, 2023, an increase of $1.6 million, or 11.9%. Results for the three months ended March 31, 2024 were positively impacted by a decrease of $2.2 million in the provision for credit losses and a $563,000 increase in noninterest income, partially offset by a decrease of $693,000 in net interest income. Details of the changes in the various components of net income are further discussed below.</w:t>
      </w:r>
    </w:p>
    <w:p>
      <w:pPr>
        <w:spacing w:after="0" w:line="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Interest Income. </w:t>
      </w:r>
      <w:r>
        <w:rPr>
          <w:rFonts w:ascii="Times New Roman" w:cs="Times New Roman" w:eastAsia="Times New Roman" w:hAnsi="Times New Roman"/>
          <w:sz w:val="16"/>
          <w:szCs w:val="16"/>
          <w:color w:val="auto"/>
        </w:rPr>
        <w:t>The following table presents the distribution of average assets, liabilities and equity, as well as interest income earned on average interest-earning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assets and interest expense paid on average interest-bearing liabilities. All average balances are daily average balances. Nonaccruing loans have been included in the table as loans carrying a zero yield.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Yield /</w:t>
            </w:r>
          </w:p>
        </w:tc>
        <w:tc>
          <w:tcPr>
            <w:tcW w:w="16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220" w:type="dxa"/>
            <w:vAlign w:val="bottom"/>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Yield /</w:t>
            </w:r>
          </w:p>
        </w:tc>
        <w:tc>
          <w:tcPr>
            <w:tcW w:w="0" w:type="dxa"/>
            <w:vAlign w:val="bottom"/>
          </w:tcPr>
          <w:p>
            <w:pPr>
              <w:spacing w:after="0"/>
              <w:rPr>
                <w:sz w:val="1"/>
                <w:szCs w:val="1"/>
                <w:color w:val="auto"/>
              </w:rPr>
            </w:pPr>
          </w:p>
        </w:tc>
      </w:tr>
      <w:tr>
        <w:trPr>
          <w:trHeight w:val="162"/>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4"/>
                <w:szCs w:val="14"/>
                <w:color w:val="auto"/>
              </w:rPr>
            </w:pPr>
          </w:p>
        </w:tc>
        <w:tc>
          <w:tcPr>
            <w:tcW w:w="112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w w:val="98"/>
              </w:rPr>
              <w:t>Earned /</w:t>
            </w: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Earned /</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6"/>
              </w:rPr>
              <w:t>Paid</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w:t>
            </w:r>
          </w:p>
        </w:tc>
        <w:tc>
          <w:tcPr>
            <w:tcW w:w="12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198"/>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Loans receivable</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3,864,258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59,952</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6.24 %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3,876,051</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60,069</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6.15 %</w:t>
            </w:r>
          </w:p>
        </w:tc>
        <w:tc>
          <w:tcPr>
            <w:tcW w:w="0" w:type="dxa"/>
            <w:vAlign w:val="bottom"/>
          </w:tcPr>
          <w:p>
            <w:pPr>
              <w:spacing w:after="0"/>
              <w:rPr>
                <w:sz w:val="1"/>
                <w:szCs w:val="1"/>
                <w:color w:val="auto"/>
              </w:rPr>
            </w:pPr>
          </w:p>
        </w:tc>
      </w:tr>
      <w:tr>
        <w:trPr>
          <w:trHeight w:val="213"/>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1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126,686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80" w:type="dxa"/>
            <w:vAlign w:val="bottom"/>
          </w:tcPr>
          <w:p>
            <w:pPr>
              <w:spacing w:after="0"/>
              <w:rPr>
                <w:sz w:val="18"/>
                <w:szCs w:val="18"/>
                <w:color w:val="auto"/>
              </w:rPr>
            </w:pPr>
          </w:p>
        </w:tc>
        <w:tc>
          <w:tcPr>
            <w:tcW w:w="1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131,495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07"/>
        </w:trPr>
        <w:tc>
          <w:tcPr>
            <w:tcW w:w="3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4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4,122,439</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63,355</w:t>
            </w:r>
          </w:p>
        </w:tc>
        <w:tc>
          <w:tcPr>
            <w:tcW w:w="1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02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4,134,362</w:t>
            </w:r>
          </w:p>
        </w:tc>
        <w:tc>
          <w:tcPr>
            <w:tcW w:w="8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62,819</w:t>
            </w:r>
          </w:p>
        </w:tc>
        <w:tc>
          <w:tcPr>
            <w:tcW w:w="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19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298,117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271,767</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4,420,556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4,406,129</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Interest-bearing checking accounts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590,738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0.97 %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594,805</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0.81 %</w:t>
            </w:r>
          </w:p>
        </w:tc>
        <w:tc>
          <w:tcPr>
            <w:tcW w:w="0" w:type="dxa"/>
            <w:vAlign w:val="bottom"/>
          </w:tcPr>
          <w:p>
            <w:pPr>
              <w:spacing w:after="0"/>
              <w:rPr>
                <w:sz w:val="1"/>
                <w:szCs w:val="1"/>
                <w:color w:val="auto"/>
              </w:rPr>
            </w:pPr>
          </w:p>
        </w:tc>
      </w:tr>
      <w:tr>
        <w:trPr>
          <w:trHeight w:val="213"/>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1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1,281,340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9,664</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1,251,170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8,930</w:t>
            </w:r>
          </w:p>
        </w:tc>
        <w:tc>
          <w:tcPr>
            <w:tcW w:w="80" w:type="dxa"/>
            <w:vAlign w:val="bottom"/>
          </w:tcPr>
          <w:p>
            <w:pPr>
              <w:spacing w:after="0"/>
              <w:rPr>
                <w:sz w:val="18"/>
                <w:szCs w:val="18"/>
                <w:color w:val="auto"/>
              </w:rPr>
            </w:pPr>
          </w:p>
        </w:tc>
        <w:tc>
          <w:tcPr>
            <w:tcW w:w="1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191,747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13"/>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 accounts</w:t>
            </w:r>
          </w:p>
        </w:tc>
        <w:tc>
          <w:tcPr>
            <w:tcW w:w="1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887,618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9,185</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818,698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8,105</w:t>
            </w:r>
          </w:p>
        </w:tc>
        <w:tc>
          <w:tcPr>
            <w:tcW w:w="80" w:type="dxa"/>
            <w:vAlign w:val="bottom"/>
          </w:tcPr>
          <w:p>
            <w:pPr>
              <w:spacing w:after="0"/>
              <w:rPr>
                <w:sz w:val="18"/>
                <w:szCs w:val="18"/>
                <w:color w:val="auto"/>
              </w:rPr>
            </w:pPr>
          </w:p>
        </w:tc>
        <w:tc>
          <w:tcPr>
            <w:tcW w:w="1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3.93</w:t>
            </w:r>
          </w:p>
        </w:tc>
        <w:tc>
          <w:tcPr>
            <w:tcW w:w="0" w:type="dxa"/>
            <w:vAlign w:val="bottom"/>
          </w:tcPr>
          <w:p>
            <w:pPr>
              <w:spacing w:after="0"/>
              <w:rPr>
                <w:sz w:val="1"/>
                <w:szCs w:val="1"/>
                <w:color w:val="auto"/>
              </w:rPr>
            </w:pPr>
          </w:p>
        </w:tc>
      </w:tr>
      <w:tr>
        <w:trPr>
          <w:trHeight w:val="212"/>
        </w:trPr>
        <w:tc>
          <w:tcPr>
            <w:tcW w:w="3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2,951,443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20,318</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2,863,195</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18,289</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3"/>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Junior subordinated debt</w:t>
            </w:r>
          </w:p>
        </w:tc>
        <w:tc>
          <w:tcPr>
            <w:tcW w:w="1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80" w:type="dxa"/>
            <w:vAlign w:val="bottom"/>
          </w:tcPr>
          <w:p>
            <w:pPr>
              <w:spacing w:after="0"/>
              <w:rPr>
                <w:sz w:val="18"/>
                <w:szCs w:val="18"/>
                <w:color w:val="auto"/>
              </w:rPr>
            </w:pPr>
          </w:p>
        </w:tc>
        <w:tc>
          <w:tcPr>
            <w:tcW w:w="1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07"/>
        </w:trPr>
        <w:tc>
          <w:tcPr>
            <w:tcW w:w="3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4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3,064,627</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22,125</w:t>
            </w:r>
          </w:p>
        </w:tc>
        <w:tc>
          <w:tcPr>
            <w:tcW w:w="1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02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3,029,819</w:t>
            </w:r>
          </w:p>
        </w:tc>
        <w:tc>
          <w:tcPr>
            <w:tcW w:w="8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20,896</w:t>
            </w:r>
          </w:p>
        </w:tc>
        <w:tc>
          <w:tcPr>
            <w:tcW w:w="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19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810,114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837,048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36,945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45,156</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3,911,686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3,912,023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508,870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494,106</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4,420,556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4,406,129</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1,057,812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1,104,543</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Average interest-earning assets to average interest-</w:t>
            </w: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134.52 %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136.46 %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bearing liabilities</w:t>
            </w: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Non-tax-equivalent</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interest income</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41,923</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Interest rate spread</w:t>
            </w: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3.28 %</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ind w:left="740"/>
              <w:spacing w:after="0"/>
              <w:rPr>
                <w:sz w:val="20"/>
                <w:szCs w:val="20"/>
                <w:color w:val="auto"/>
              </w:rPr>
            </w:pPr>
            <w:r>
              <w:rPr>
                <w:rFonts w:ascii="Times New Roman" w:cs="Times New Roman" w:eastAsia="Times New Roman" w:hAnsi="Times New Roman"/>
                <w:sz w:val="16"/>
                <w:szCs w:val="16"/>
                <w:color w:val="auto"/>
              </w:rPr>
              <w:t>3.29 %</w:t>
            </w:r>
          </w:p>
        </w:tc>
        <w:tc>
          <w:tcPr>
            <w:tcW w:w="0" w:type="dxa"/>
            <w:vAlign w:val="bottom"/>
          </w:tcPr>
          <w:p>
            <w:pPr>
              <w:spacing w:after="0" w:line="20" w:lineRule="exact"/>
              <w:rPr>
                <w:sz w:val="1"/>
                <w:szCs w:val="1"/>
                <w:color w:val="auto"/>
              </w:rPr>
            </w:pPr>
          </w:p>
        </w:tc>
      </w:tr>
      <w:tr>
        <w:trPr>
          <w:trHeight w:val="160"/>
        </w:trPr>
        <w:tc>
          <w:tcPr>
            <w:tcW w:w="3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1"/>
                <w:szCs w:val="21"/>
                <w:color w:val="auto"/>
                <w:vertAlign w:val="superscript"/>
              </w:rPr>
              <w:t>(3)</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4.02 %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4.02 %</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Tax-equivalent</w:t>
            </w:r>
            <w:r>
              <w:rPr>
                <w:rFonts w:ascii="Times New Roman" w:cs="Times New Roman" w:eastAsia="Times New Roman" w:hAnsi="Times New Roman"/>
                <w:sz w:val="21"/>
                <w:szCs w:val="21"/>
                <w:color w:val="auto"/>
                <w:vertAlign w:val="superscript"/>
              </w:rPr>
              <w:t>(4)</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interest income</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41,579</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42,264</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Interest rate spread</w:t>
            </w: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3.32 %</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ind w:left="740"/>
              <w:spacing w:after="0"/>
              <w:rPr>
                <w:sz w:val="20"/>
                <w:szCs w:val="20"/>
                <w:color w:val="auto"/>
              </w:rPr>
            </w:pPr>
            <w:r>
              <w:rPr>
                <w:rFonts w:ascii="Times New Roman" w:cs="Times New Roman" w:eastAsia="Times New Roman" w:hAnsi="Times New Roman"/>
                <w:sz w:val="16"/>
                <w:szCs w:val="16"/>
                <w:color w:val="auto"/>
              </w:rPr>
              <w:t>3.32 %</w:t>
            </w:r>
          </w:p>
        </w:tc>
        <w:tc>
          <w:tcPr>
            <w:tcW w:w="0" w:type="dxa"/>
            <w:vAlign w:val="bottom"/>
          </w:tcPr>
          <w:p>
            <w:pPr>
              <w:spacing w:after="0" w:line="20" w:lineRule="exact"/>
              <w:rPr>
                <w:sz w:val="1"/>
                <w:szCs w:val="1"/>
                <w:color w:val="auto"/>
              </w:rPr>
            </w:pPr>
          </w:p>
        </w:tc>
      </w:tr>
      <w:tr>
        <w:trPr>
          <w:trHeight w:val="160"/>
        </w:trPr>
        <w:tc>
          <w:tcPr>
            <w:tcW w:w="3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1"/>
                <w:szCs w:val="21"/>
                <w:color w:val="auto"/>
                <w:vertAlign w:val="superscript"/>
              </w:rPr>
              <w:t>(3)</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4.06 %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4.06 %</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40" w:hanging="232"/>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loans receivable balances include loans held for sale and nonaccruing loans.</w:t>
      </w:r>
    </w:p>
    <w:p>
      <w:pPr>
        <w:spacing w:after="0" w:line="17"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other interest-earning assets consist of FRB stock, FHLB stock, SBIC investments and deposits in other banks.</w:t>
      </w:r>
    </w:p>
    <w:p>
      <w:pPr>
        <w:spacing w:after="0" w:line="1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income divided by average interest-earning assets.</w:t>
      </w:r>
    </w:p>
    <w:p>
      <w:pPr>
        <w:spacing w:after="0" w:line="14" w:lineRule="exact"/>
        <w:rPr>
          <w:rFonts w:ascii="Times New Roman" w:cs="Times New Roman" w:eastAsia="Times New Roman" w:hAnsi="Times New Roman"/>
          <w:sz w:val="14"/>
          <w:szCs w:val="14"/>
          <w:color w:val="auto"/>
        </w:rPr>
      </w:pPr>
    </w:p>
    <w:p>
      <w:pPr>
        <w:ind w:left="260" w:right="440" w:hanging="252"/>
        <w:spacing w:after="0" w:line="283" w:lineRule="auto"/>
        <w:tabs>
          <w:tab w:leader="none" w:pos="25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Tax-equivalent results include adjustments to interest income of $349 and $341 for the three months ended March 31, 2024 and December 31, 2023, respectively, calculated based on a combined federal and state tax rate of 24%.</w:t>
      </w:r>
    </w:p>
    <w:p>
      <w:pPr>
        <w:spacing w:after="0" w:line="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Total interest and dividend income for the three months ended March 31, 2024 increased $536,000, or 0.9%, compared to the three months ended December 31, 2023, which was driven by a $597,000, or 40.0%, increase in income on other investments and interest-bearing deposits due to the allocation of liquid funds in higher-yielding deposit accounts</w:t>
      </w:r>
      <w:r>
        <w:rPr>
          <w:rFonts w:ascii="Times New Roman" w:cs="Times New Roman" w:eastAsia="Times New Roman" w:hAnsi="Times New Roman"/>
          <w:sz w:val="16"/>
          <w:szCs w:val="16"/>
          <w:color w:val="EE2724"/>
        </w:rPr>
        <w:t>.</w:t>
      </w:r>
      <w:r>
        <w:rPr>
          <w:rFonts w:ascii="Times New Roman" w:cs="Times New Roman" w:eastAsia="Times New Roman" w:hAnsi="Times New Roman"/>
          <w:sz w:val="16"/>
          <w:szCs w:val="16"/>
          <w:color w:val="auto"/>
        </w:rPr>
        <w:t xml:space="preserve"> Accretion income on acquired loans of $715,000 and $405,000 was recognized during the same periods, respectively, and was included in interest income on loans.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5" w:name="page36"/>
    <w:bookmarkEnd w:id="35"/>
    <w:p>
      <w:pPr>
        <w:jc w:val="both"/>
        <w:spacing w:after="0" w:line="272" w:lineRule="auto"/>
        <w:rPr>
          <w:sz w:val="20"/>
          <w:szCs w:val="20"/>
          <w:color w:val="auto"/>
        </w:rPr>
      </w:pPr>
      <w:r>
        <w:rPr>
          <w:rFonts w:ascii="Times New Roman" w:cs="Times New Roman" w:eastAsia="Times New Roman" w:hAnsi="Times New Roman"/>
          <w:sz w:val="16"/>
          <w:szCs w:val="16"/>
          <w:color w:val="auto"/>
        </w:rPr>
        <w:t>Total interest expense for the three months ended March 31, 2024 increased $1.2 million, or 5.9%, compared to the three months ended December 31, 2023. The increase was the result of both increases in the average cost of funds and average balances across interest-bearing deposit types, partially offset by a decline in average borrowings outstanding.</w:t>
      </w:r>
    </w:p>
    <w:p>
      <w:pPr>
        <w:spacing w:after="0" w:line="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following table shows the effects that changes in average balances (volume), including differences in the number of days in the periods compared, and average interest rates (rate) had on the interest earned on interest-earning assets and interest paid on interest-bearing liabilities:</w:t>
      </w:r>
    </w:p>
    <w:tbl>
      <w:tblPr>
        <w:tblLayout w:type="fixed"/>
        <w:tblInd w:w="0" w:type="dxa"/>
        <w:tblCellMar>
          <w:top w:w="0" w:type="dxa"/>
          <w:left w:w="0" w:type="dxa"/>
          <w:bottom w:w="0" w:type="dxa"/>
          <w:right w:w="0" w:type="dxa"/>
        </w:tblCellMar>
      </w:tblPr>
      <w:tr>
        <w:trPr>
          <w:trHeight w:val="165"/>
        </w:trPr>
        <w:tc>
          <w:tcPr>
            <w:tcW w:w="7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center"/>
              <w:ind w:right="320"/>
              <w:spacing w:after="0" w:line="165" w:lineRule="exact"/>
              <w:rPr>
                <w:sz w:val="20"/>
                <w:szCs w:val="20"/>
                <w:color w:val="auto"/>
              </w:rPr>
            </w:pPr>
            <w:r>
              <w:rPr>
                <w:rFonts w:ascii="Times New Roman" w:cs="Times New Roman" w:eastAsia="Times New Roman" w:hAnsi="Times New Roman"/>
                <w:sz w:val="16"/>
                <w:szCs w:val="16"/>
                <w:b w:val="1"/>
                <w:bCs w:val="1"/>
                <w:color w:val="auto"/>
              </w:rPr>
              <w:t>Increase / (Decrease)</w:t>
            </w:r>
          </w:p>
        </w:tc>
        <w:tc>
          <w:tcPr>
            <w:tcW w:w="180" w:type="dxa"/>
            <w:vAlign w:val="bottom"/>
          </w:tcPr>
          <w:p>
            <w:pPr>
              <w:spacing w:after="0"/>
              <w:rPr>
                <w:sz w:val="14"/>
                <w:szCs w:val="14"/>
                <w:color w:val="auto"/>
              </w:rPr>
            </w:pPr>
          </w:p>
        </w:tc>
        <w:tc>
          <w:tcPr>
            <w:tcW w:w="106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68"/>
        </w:trPr>
        <w:tc>
          <w:tcPr>
            <w:tcW w:w="7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20" w:type="dxa"/>
            <w:vAlign w:val="bottom"/>
            <w:gridSpan w:val="3"/>
            <w:vMerge w:val="restart"/>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Due to</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7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vMerge w:val="continue"/>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99"/>
              <w:spacing w:after="0" w:line="142" w:lineRule="exact"/>
              <w:rPr>
                <w:sz w:val="20"/>
                <w:szCs w:val="20"/>
                <w:color w:val="auto"/>
              </w:rPr>
            </w:pPr>
            <w:r>
              <w:rPr>
                <w:rFonts w:ascii="Times New Roman" w:cs="Times New Roman" w:eastAsia="Times New Roman" w:hAnsi="Times New Roman"/>
                <w:sz w:val="16"/>
                <w:szCs w:val="16"/>
                <w:b w:val="1"/>
                <w:bCs w:val="1"/>
                <w:color w:val="auto"/>
              </w:rPr>
              <w:t>Increase /</w:t>
            </w:r>
          </w:p>
        </w:tc>
        <w:tc>
          <w:tcPr>
            <w:tcW w:w="0" w:type="dxa"/>
            <w:vAlign w:val="bottom"/>
          </w:tcPr>
          <w:p>
            <w:pPr>
              <w:spacing w:after="0"/>
              <w:rPr>
                <w:sz w:val="1"/>
                <w:szCs w:val="1"/>
                <w:color w:val="auto"/>
              </w:rPr>
            </w:pPr>
          </w:p>
        </w:tc>
      </w:tr>
      <w:tr>
        <w:trPr>
          <w:trHeight w:val="208"/>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32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0" w:type="dxa"/>
            <w:vAlign w:val="bottom"/>
          </w:tcPr>
          <w:p>
            <w:pPr>
              <w:spacing w:after="0"/>
              <w:rPr>
                <w:sz w:val="1"/>
                <w:szCs w:val="1"/>
                <w:color w:val="auto"/>
              </w:rPr>
            </w:pPr>
          </w:p>
        </w:tc>
      </w:tr>
      <w:tr>
        <w:trPr>
          <w:trHeight w:val="198"/>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receivable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interest-earning 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194"/>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checking accounts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Money market accounts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Savings accounts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Certificate accounts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Junior subordinated debt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Borrowings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0" w:type="dxa"/>
            <w:vAlign w:val="bottom"/>
          </w:tcPr>
          <w:p>
            <w:pPr>
              <w:spacing w:after="0"/>
              <w:rPr>
                <w:sz w:val="1"/>
                <w:szCs w:val="1"/>
                <w:color w:val="auto"/>
              </w:rPr>
            </w:pPr>
          </w:p>
        </w:tc>
      </w:tr>
      <w:tr>
        <w:trPr>
          <w:trHeight w:val="212"/>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Decrease in net interest income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Credit Losses. </w:t>
      </w:r>
      <w:r>
        <w:rPr>
          <w:rFonts w:ascii="Times New Roman" w:cs="Times New Roman" w:eastAsia="Times New Roman" w:hAnsi="Times New Roman"/>
          <w:sz w:val="16"/>
          <w:szCs w:val="16"/>
          <w:color w:val="auto"/>
        </w:rPr>
        <w:t>The provision for credit losses is the amount of expense that, based on our judgment, is required to maintain the ACL at an appropriate level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under the current expected credit losses model.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breakdown of the components of the provision for credit losses: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5"/>
          </w:tcPr>
          <w:p>
            <w:pPr>
              <w:ind w:left="8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9"/>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credit losses</w:t>
            </w:r>
          </w:p>
        </w:tc>
        <w:tc>
          <w:tcPr>
            <w:tcW w:w="2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100" w:type="dxa"/>
            <w:vAlign w:val="bottom"/>
          </w:tcPr>
          <w:p>
            <w:pPr>
              <w:spacing w:after="0"/>
              <w:rPr>
                <w:sz w:val="18"/>
                <w:szCs w:val="18"/>
                <w:color w:val="auto"/>
              </w:rPr>
            </w:pPr>
          </w:p>
        </w:tc>
        <w:tc>
          <w:tcPr>
            <w:tcW w:w="13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(72)%</w:t>
            </w:r>
          </w:p>
        </w:tc>
      </w:tr>
      <w:tr>
        <w:trPr>
          <w:trHeight w:val="21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Off-balance-sheet credit exposure</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103</w:t>
            </w:r>
          </w:p>
        </w:tc>
      </w:tr>
      <w:tr>
        <w:trPr>
          <w:trHeight w:val="207"/>
        </w:trPr>
        <w:tc>
          <w:tcPr>
            <w:tcW w:w="48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provision for credit losses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100" w:type="dxa"/>
            <w:vAlign w:val="bottom"/>
          </w:tcPr>
          <w:p>
            <w:pPr>
              <w:spacing w:after="0"/>
              <w:rPr>
                <w:sz w:val="17"/>
                <w:szCs w:val="17"/>
                <w:color w:val="auto"/>
              </w:rPr>
            </w:pPr>
          </w:p>
        </w:tc>
        <w:tc>
          <w:tcPr>
            <w:tcW w:w="13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(65)%</w:t>
            </w:r>
          </w:p>
        </w:tc>
      </w:tr>
      <w:tr>
        <w:trPr>
          <w:trHeight w:val="23"/>
        </w:trPr>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 the quarter ended March 31, 2024, the "loans" portion of the provision for credit losses was the result of the following, offset by net charge-offs of $2.3 million during the quarter:</w:t>
      </w:r>
    </w:p>
    <w:p>
      <w:pPr>
        <w:spacing w:after="0" w:line="1" w:lineRule="exact"/>
        <w:rPr>
          <w:sz w:val="20"/>
          <w:szCs w:val="20"/>
          <w:color w:val="auto"/>
        </w:rPr>
      </w:pPr>
    </w:p>
    <w:p>
      <w:pPr>
        <w:ind w:left="320" w:hanging="231"/>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$0.1 million benefit driven by changes in the loan mix.</w:t>
      </w:r>
    </w:p>
    <w:p>
      <w:pPr>
        <w:spacing w:after="0" w:line="26"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$0.9 million benefit due to changes in the projected economic forecast, specifically the national unemployment rate, and changes in qualitative adjustments.</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$0.2 million decrease in specific reserves on individually evaluated credits.</w:t>
      </w:r>
    </w:p>
    <w:p>
      <w:pPr>
        <w:spacing w:after="0" w:line="6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For the quarter ended December 31, 2023, the "loans" portion of the provision for credit losses was primarily the result of the following, offset by net charge-offs of $2.8 million during the quarter:</w:t>
      </w:r>
    </w:p>
    <w:p>
      <w:pPr>
        <w:spacing w:after="0" w:line="1" w:lineRule="exact"/>
        <w:rPr>
          <w:sz w:val="20"/>
          <w:szCs w:val="20"/>
          <w:color w:val="auto"/>
        </w:rPr>
      </w:pPr>
    </w:p>
    <w:p>
      <w:pPr>
        <w:ind w:left="320" w:hanging="231"/>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$0.5 million benefit driven by changes in the loan mix.</w:t>
      </w:r>
    </w:p>
    <w:p>
      <w:pPr>
        <w:spacing w:after="0" w:line="26"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$0.9 million provision due to changes in the projected economic forecast, specifically the national unemployment rate, and changes in qualitative adjustments.</w:t>
      </w:r>
    </w:p>
    <w:p>
      <w:pPr>
        <w:spacing w:after="0" w:line="15"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$0.8 million increase in specific reserves on individually evaluated credits.</w:t>
      </w:r>
    </w:p>
    <w:p>
      <w:pPr>
        <w:spacing w:after="0" w:line="6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For the quarters ended March 31, 2024 and December 31, 2023, the amounts recorded for off-balance-sheet credit exposure were the result of changes in the balance of loan commitments, loan mix and projected economic forecast as outlined above.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Noninterest Income. </w:t>
      </w:r>
      <w:r>
        <w:rPr>
          <w:rFonts w:ascii="Times New Roman" w:cs="Times New Roman" w:eastAsia="Times New Roman" w:hAnsi="Times New Roman"/>
          <w:sz w:val="16"/>
          <w:szCs w:val="16"/>
          <w:color w:val="auto"/>
        </w:rPr>
        <w:t>Noninterest income for the three months ended March 31, 2024 increased $563,000, or 6.9%, when compared to the quarter ended December 31,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2023. Changes in the components of noninterest income are discussed below:</w:t>
      </w: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Pr>
          <w:p>
            <w:pPr>
              <w:spacing w:after="0"/>
              <w:rPr>
                <w:sz w:val="21"/>
                <w:szCs w:val="21"/>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9"/>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2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charges and fees on deposit accounts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w:t>
            </w:r>
          </w:p>
        </w:tc>
        <w:tc>
          <w:tcPr>
            <w:tcW w:w="10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 income and fees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r>
      <w:tr>
        <w:trPr>
          <w:trHeight w:val="213"/>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BOLI income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income</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 of premises and equipment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w:t>
            </w:r>
          </w:p>
        </w:tc>
      </w:tr>
      <w:tr>
        <w:trPr>
          <w:trHeight w:val="213"/>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r>
      <w:tr>
        <w:trPr>
          <w:trHeight w:val="237"/>
        </w:trPr>
        <w:tc>
          <w:tcPr>
            <w:tcW w:w="4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340" w:hanging="251"/>
        <w:spacing w:after="0" w:line="261" w:lineRule="auto"/>
        <w:tabs>
          <w:tab w:leader="none" w:pos="329"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Loan income and fees: </w:t>
      </w:r>
      <w:r>
        <w:rPr>
          <w:rFonts w:ascii="Times New Roman" w:cs="Times New Roman" w:eastAsia="Times New Roman" w:hAnsi="Times New Roman"/>
          <w:sz w:val="16"/>
          <w:szCs w:val="16"/>
          <w:color w:val="auto"/>
        </w:rPr>
        <w:t>The increase was the result of loan servicing fee income returning to normal levels in the current quarter. The prior quarter included $150,000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expense associated with the early payoff and/or charge-off of loans being serviced.</w:t>
      </w:r>
    </w:p>
    <w:p>
      <w:pPr>
        <w:spacing w:after="0" w:line="1" w:lineRule="exact"/>
        <w:rPr>
          <w:rFonts w:ascii="Times New Roman" w:cs="Times New Roman" w:eastAsia="Times New Roman" w:hAnsi="Times New Roman"/>
          <w:sz w:val="16"/>
          <w:szCs w:val="16"/>
          <w:i w:val="1"/>
          <w:iCs w:val="1"/>
          <w:color w:val="auto"/>
        </w:rPr>
      </w:pPr>
    </w:p>
    <w:p>
      <w:pPr>
        <w:jc w:val="both"/>
        <w:ind w:left="340" w:hanging="251"/>
        <w:spacing w:after="0" w:line="253" w:lineRule="auto"/>
        <w:tabs>
          <w:tab w:leader="none" w:pos="329" w:val="left"/>
        </w:tabs>
        <w:numPr>
          <w:ilvl w:val="0"/>
          <w:numId w:val="2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Gain on sale of loans held for sale: </w:t>
      </w:r>
      <w:r>
        <w:rPr>
          <w:rFonts w:ascii="Times New Roman" w:cs="Times New Roman" w:eastAsia="Times New Roman" w:hAnsi="Times New Roman"/>
          <w:sz w:val="16"/>
          <w:szCs w:val="16"/>
          <w:color w:val="auto"/>
        </w:rPr>
        <w:t>The increase was primarily driven by SBA loans sold during the period. There were $12.9 million in sales of the guaranteed portion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SBA commercial loans with gains of $1.1 million for the quarter compared to $5.6 million sold and gains of $439,000 for the prior quarter. There were $15.3 million of residential mortgage loans originated for sale which were sold during the current quarter with gains of $316,000 compared to $20.5 million sold with gains of $417,000 in the prior quarter. Our hedging of mandatory commitments on the residential mortgage loan pipeline resulted in a gain of $55,000 for the quarter ended March 31, 2024 versus a loss of $142,000 for the quarter ended December 31, 2023. There were $7.8 million of HELOCs sold for a gain of $16,000 compared to $37.5 million sold with gains of $322,000 in the prior quarter. The decrease in the gain on sale of HELOCs was due to only one sale in the current quarter versus three sales in the prior quarter as well as a combined $78,000 in expense recorded in the current quarter to refund premiums previously received under sold loan recourse provisions and to establish a liability for potential future requests. No such expense was recorded in the prior quarter.</w:t>
      </w:r>
    </w:p>
    <w:p>
      <w:pPr>
        <w:jc w:val="both"/>
        <w:ind w:left="340" w:hanging="251"/>
        <w:spacing w:after="0" w:line="252" w:lineRule="auto"/>
        <w:tabs>
          <w:tab w:leader="none" w:pos="329"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BOLI income: </w:t>
      </w:r>
      <w:r>
        <w:rPr>
          <w:rFonts w:ascii="Times New Roman" w:cs="Times New Roman" w:eastAsia="Times New Roman" w:hAnsi="Times New Roman"/>
          <w:sz w:val="16"/>
          <w:szCs w:val="16"/>
          <w:color w:val="auto"/>
        </w:rPr>
        <w:t>The decrease was due to only $1.1 million in tax-free gains on death benefit proceeds in excess of the cash surrender value of the policies in the current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quarter compared to $1.6 million in the prior quarter, partially offset by an increase in policy earnings as a result of the partial restructuring of the Company's BOLI policies, which was executed at the end of the prior quarter.</w:t>
      </w:r>
    </w:p>
    <w:p>
      <w:pPr>
        <w:ind w:left="340" w:hanging="251"/>
        <w:spacing w:after="0" w:line="255" w:lineRule="auto"/>
        <w:tabs>
          <w:tab w:leader="none" w:pos="329" w:val="left"/>
        </w:tabs>
        <w:numPr>
          <w:ilvl w:val="0"/>
          <w:numId w:val="2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Operating lease income: </w:t>
      </w:r>
      <w:r>
        <w:rPr>
          <w:rFonts w:ascii="Times New Roman" w:cs="Times New Roman" w:eastAsia="Times New Roman" w:hAnsi="Times New Roman"/>
          <w:sz w:val="16"/>
          <w:szCs w:val="16"/>
          <w:color w:val="auto"/>
        </w:rPr>
        <w:t>The increase was the result of an increase in the average outstanding balance as well as gains/losses incurred on previously leased equipment,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where we recognized net losses of $145,000 and $192,000 in the quarters ended March 31, 2024 and December 31, 2023, respectively.</w:t>
      </w:r>
    </w:p>
    <w:p>
      <w:pPr>
        <w:ind w:left="340" w:hanging="251"/>
        <w:spacing w:after="0" w:line="270" w:lineRule="auto"/>
        <w:tabs>
          <w:tab w:leader="none" w:pos="329" w:val="left"/>
        </w:tabs>
        <w:numPr>
          <w:ilvl w:val="0"/>
          <w:numId w:val="2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Loss on sale of premises and equipment: </w:t>
      </w:r>
      <w:r>
        <w:rPr>
          <w:rFonts w:ascii="Times New Roman" w:cs="Times New Roman" w:eastAsia="Times New Roman" w:hAnsi="Times New Roman"/>
          <w:sz w:val="16"/>
          <w:szCs w:val="16"/>
          <w:color w:val="auto"/>
        </w:rPr>
        <w:t>During the quarter ended December 31, 2023, the Company recognized $625,000 of expense due to the impairment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remaining right of use asset associated with a previously closed branch, partially offset by a $380,000 gain on the sale of a parcel of land.</w:t>
      </w:r>
    </w:p>
    <w:p>
      <w:pPr>
        <w:spacing w:after="0" w:line="3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Noninterest Expense. </w:t>
      </w:r>
      <w:r>
        <w:rPr>
          <w:rFonts w:ascii="Times New Roman" w:cs="Times New Roman" w:eastAsia="Times New Roman" w:hAnsi="Times New Roman"/>
          <w:sz w:val="16"/>
          <w:szCs w:val="16"/>
          <w:color w:val="auto"/>
        </w:rPr>
        <w:t>Noninterest expense for the three months ended March 31, 2024 increased $83,000, or 0.3%, when compared to the three months ended December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31, 2023. Changes in the components of noninterest expense are discussed below:</w:t>
      </w: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5"/>
          </w:tcPr>
          <w:p>
            <w:pPr>
              <w:ind w:left="8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9"/>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2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1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Occupancy expense, net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Computer services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Telephone, postage and supplies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 insurance premiums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48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29,864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29,781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320" w:hanging="231"/>
        <w:spacing w:after="0"/>
        <w:tabs>
          <w:tab w:leader="none" w:pos="320" w:val="left"/>
        </w:tabs>
        <w:numPr>
          <w:ilvl w:val="0"/>
          <w:numId w:val="2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Salaries and employee benefits: </w:t>
      </w:r>
      <w:r>
        <w:rPr>
          <w:rFonts w:ascii="Times New Roman" w:cs="Times New Roman" w:eastAsia="Times New Roman" w:hAnsi="Times New Roman"/>
          <w:sz w:val="16"/>
          <w:szCs w:val="16"/>
          <w:color w:val="auto"/>
        </w:rPr>
        <w:t>The quarter-over-quarter increase was primarily the result of $389,000 in additional FICA taxes.</w:t>
      </w:r>
    </w:p>
    <w:p>
      <w:pPr>
        <w:spacing w:after="0" w:line="25" w:lineRule="exact"/>
        <w:rPr>
          <w:rFonts w:ascii="Times New Roman" w:cs="Times New Roman" w:eastAsia="Times New Roman" w:hAnsi="Times New Roman"/>
          <w:sz w:val="16"/>
          <w:szCs w:val="16"/>
          <w:i w:val="1"/>
          <w:iCs w:val="1"/>
          <w:color w:val="auto"/>
        </w:rPr>
      </w:pPr>
    </w:p>
    <w:p>
      <w:pPr>
        <w:ind w:left="320" w:hanging="231"/>
        <w:spacing w:after="0"/>
        <w:tabs>
          <w:tab w:leader="none" w:pos="320" w:val="left"/>
        </w:tabs>
        <w:numPr>
          <w:ilvl w:val="0"/>
          <w:numId w:val="2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Deposit insurance premiums: </w:t>
      </w:r>
      <w:r>
        <w:rPr>
          <w:rFonts w:ascii="Times New Roman" w:cs="Times New Roman" w:eastAsia="Times New Roman" w:hAnsi="Times New Roman"/>
          <w:sz w:val="16"/>
          <w:szCs w:val="16"/>
          <w:color w:val="auto"/>
        </w:rPr>
        <w:t>The decrease was due to a drop in the assessment rate the Company is charged for deposit insurance.</w:t>
      </w:r>
    </w:p>
    <w:p>
      <w:pPr>
        <w:spacing w:after="0" w:line="5" w:lineRule="exact"/>
        <w:rPr>
          <w:rFonts w:ascii="Times New Roman" w:cs="Times New Roman" w:eastAsia="Times New Roman" w:hAnsi="Times New Roman"/>
          <w:sz w:val="16"/>
          <w:szCs w:val="16"/>
          <w:i w:val="1"/>
          <w:iCs w:val="1"/>
          <w:color w:val="auto"/>
        </w:rPr>
      </w:pPr>
    </w:p>
    <w:p>
      <w:pPr>
        <w:ind w:left="340" w:right="20" w:hanging="251"/>
        <w:spacing w:after="0" w:line="275" w:lineRule="auto"/>
        <w:tabs>
          <w:tab w:leader="none" w:pos="329" w:val="left"/>
        </w:tabs>
        <w:numPr>
          <w:ilvl w:val="0"/>
          <w:numId w:val="2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Other: </w:t>
      </w:r>
      <w:r>
        <w:rPr>
          <w:rFonts w:ascii="Times New Roman" w:cs="Times New Roman" w:eastAsia="Times New Roman" w:hAnsi="Times New Roman"/>
          <w:sz w:val="16"/>
          <w:szCs w:val="16"/>
          <w:color w:val="auto"/>
        </w:rPr>
        <w:t>The decrease was primarily the result of a $173,000 decrease in fraud losses and $115,000 of severance expense included in the prior quarter related to staff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reductions.</w:t>
      </w:r>
    </w:p>
    <w:p>
      <w:pPr>
        <w:spacing w:after="0" w:line="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The amount of income tax expense is influenced by the amount of pre-tax income, tax-exempt income, changes in the statutory rate and the effect of changes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valuation allowances maintained against deferred tax benefits. The effective tax rates for the three months ended March 31, 2024 and December 31, 2023 were 20.8% and 20.9%, respectively. In both periods, the effective tax rate was positively impacted by tax-free gains on BOLI death benefit proceeds of $1.1 million and $1.6 million, respectively.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Comparison of Financial Condition at March 31, 2024 and December 31, 2023</w:t>
      </w:r>
    </w:p>
    <w:p>
      <w:pPr>
        <w:spacing w:after="0" w:line="4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w:t>
      </w:r>
      <w:r>
        <w:rPr>
          <w:rFonts w:ascii="Times New Roman" w:cs="Times New Roman" w:eastAsia="Times New Roman" w:hAnsi="Times New Roman"/>
          <w:sz w:val="16"/>
          <w:szCs w:val="16"/>
          <w:color w:val="auto"/>
        </w:rPr>
        <w:t>Total assets increased by $11.4 million to $4.7 billion and total liabilities decreased by $1.9 million to $4.2 billion, respectively, at March 31, 2024 as compared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December 31, 2023. The majority of these changes were the result of an increase in deposits, which, combined with amounts received from maturing investments, were used to fund growth in loans held for sale, pay down borrowings, and provide additional liquidity.</w:t>
      </w:r>
    </w:p>
    <w:p>
      <w:pPr>
        <w:spacing w:after="0" w:line="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Cash and Cash Equivalents. </w:t>
      </w:r>
      <w:r>
        <w:rPr>
          <w:rFonts w:ascii="Times New Roman" w:cs="Times New Roman" w:eastAsia="Times New Roman" w:hAnsi="Times New Roman"/>
          <w:sz w:val="16"/>
          <w:szCs w:val="16"/>
          <w:color w:val="auto"/>
        </w:rPr>
        <w:t>Total cash and cash equivalents increased $33.4 million, or 9.6%, to $380.5 million at March 31, 2024 from $347.1 million at December 31,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2023.</w:t>
      </w:r>
    </w:p>
    <w:p>
      <w:pPr>
        <w:spacing w:after="0" w:line="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Debt Securities Available for Sale. </w:t>
      </w:r>
      <w:r>
        <w:rPr>
          <w:rFonts w:ascii="Times New Roman" w:cs="Times New Roman" w:eastAsia="Times New Roman" w:hAnsi="Times New Roman"/>
          <w:sz w:val="16"/>
          <w:szCs w:val="16"/>
          <w:color w:val="auto"/>
        </w:rPr>
        <w:t>Debt securities available for sale decreased $6.1 million, or 4.8%, to $120.8 million at March 31, 2024 from $127.0 million at December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31, 2023. Outside of changes in value, the changes between periods were the result of $17.7 million in proceeds from the maturity, call and paydown of securities, partially offset by $12.0 million in purchases.</w:t>
      </w:r>
    </w:p>
    <w:p>
      <w:pPr>
        <w:spacing w:after="0" w:line="36"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Loans Held for Sale. </w:t>
      </w:r>
      <w:r>
        <w:rPr>
          <w:rFonts w:ascii="Times New Roman" w:cs="Times New Roman" w:eastAsia="Times New Roman" w:hAnsi="Times New Roman"/>
          <w:sz w:val="16"/>
          <w:szCs w:val="16"/>
          <w:color w:val="auto"/>
        </w:rPr>
        <w:t>Loans held for sale increased $21.7 million, or 10.7%, to $223.5 million at March 31, 2024 from $201.8 million at December 31, 2023. This was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driven by an increase of $32.7 million, or 19.5%, in HELOCs held for sale, partially offset by a $10.7 million, or 35.1%, decrease in SBA loans held for sale.</w:t>
      </w:r>
    </w:p>
    <w:p>
      <w:pPr>
        <w:spacing w:after="0" w:line="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Loans, Net of Deferred Loan Fees and Costs. </w:t>
      </w:r>
      <w:r>
        <w:rPr>
          <w:rFonts w:ascii="Times New Roman" w:cs="Times New Roman" w:eastAsia="Times New Roman" w:hAnsi="Times New Roman"/>
          <w:sz w:val="16"/>
          <w:szCs w:val="16"/>
          <w:color w:val="auto"/>
        </w:rPr>
        <w:t>Total loans increased $8.1 million, or 0.2%, to $3.6 billion at March 31, 2024. The following table illustrates the changes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within the portfolio:</w:t>
      </w: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0" w:type="dxa"/>
            <w:vAlign w:val="bottom"/>
          </w:tcPr>
          <w:p>
            <w:pPr>
              <w:spacing w:after="0"/>
              <w:rPr>
                <w:sz w:val="18"/>
                <w:szCs w:val="18"/>
                <w:color w:val="auto"/>
              </w:rPr>
            </w:pPr>
          </w:p>
        </w:tc>
        <w:tc>
          <w:tcPr>
            <w:tcW w:w="11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3"/>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Percent of Total</w:t>
            </w:r>
          </w:p>
        </w:tc>
        <w:tc>
          <w:tcPr>
            <w:tcW w:w="0" w:type="dxa"/>
            <w:vAlign w:val="bottom"/>
          </w:tcPr>
          <w:p>
            <w:pPr>
              <w:spacing w:after="0"/>
              <w:rPr>
                <w:sz w:val="1"/>
                <w:szCs w:val="1"/>
                <w:color w:val="auto"/>
              </w:rPr>
            </w:pPr>
          </w:p>
        </w:tc>
      </w:tr>
      <w:tr>
        <w:trPr>
          <w:trHeight w:val="145"/>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0" w:type="dxa"/>
            <w:vAlign w:val="bottom"/>
            <w:tcBorders>
              <w:top w:val="single" w:sz="8" w:color="auto"/>
              <w:bottom w:val="single" w:sz="8" w:color="auto"/>
            </w:tcBorders>
            <w:gridSpan w:val="5"/>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1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top w:val="single" w:sz="8" w:color="auto"/>
              <w:bottom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6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8"/>
        </w:trPr>
        <w:tc>
          <w:tcPr>
            <w:tcW w:w="3740" w:type="dxa"/>
            <w:vAlign w:val="bottom"/>
            <w:vMerge w:val="continue"/>
          </w:tcPr>
          <w:p>
            <w:pPr>
              <w:spacing w:after="0"/>
              <w:rPr>
                <w:sz w:val="18"/>
                <w:szCs w:val="18"/>
                <w:color w:val="auto"/>
              </w:rPr>
            </w:pPr>
          </w:p>
        </w:tc>
        <w:tc>
          <w:tcPr>
            <w:tcW w:w="1400" w:type="dxa"/>
            <w:vAlign w:val="bottom"/>
            <w:gridSpan w:val="5"/>
            <w:vMerge w:val="continue"/>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 loans</w:t>
            </w: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304,727</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305,269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532,547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536,545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881,143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875,694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Multifamily</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89,692</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 real estate loans</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1,808,109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1,806,131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7"/>
                <w:szCs w:val="17"/>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Equipment finance</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462,649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Municipal leases</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151,894</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150,292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commercial loans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858,275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853,120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4"/>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85,840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3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One-to-four family</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605,570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584,405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HELOCs</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184,274</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7"/>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residential real estate loans</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875,684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866,929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Consumer loans</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106,084</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net of deferred loan fees and costs</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3,648,152</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3,640,022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Asset Quality. </w:t>
      </w:r>
      <w:r>
        <w:rPr>
          <w:rFonts w:ascii="Times New Roman" w:cs="Times New Roman" w:eastAsia="Times New Roman" w:hAnsi="Times New Roman"/>
          <w:sz w:val="16"/>
          <w:szCs w:val="16"/>
          <w:color w:val="auto"/>
        </w:rPr>
        <w:t>Nonperforming assets, made up entirely of nonaccrual loans for both periods, increased by $865,000, or 4.5%, to $20.2 million, or 0.43% of total assets,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March 31, 2024 compared to $19.3 million, or 0.41% of total assets, at December 31, 2023. Consistent with last quarter, equipment finance loans, specifically smaller over-the-road truck loans, made up the largest portion of nonperforming assets at $6.6 million and $6.5 million, respectively, at these same dates. During the quarter, the Company elected to cease further originations within the transportation sector of equipment finance loans. The ratio of nonperforming loans to total loans was 0.55% at March 31, 2024 compared to 0.53% at December 31, 2023.</w:t>
      </w:r>
    </w:p>
    <w:p>
      <w:pPr>
        <w:spacing w:after="0" w:line="2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ratio of classified assets to total assets decreased to 0.80% at March 31, 2024 from 0.90% at December 31, 2023 as classified assets decreased $4.6 million, or 11.0%, to $37.4 million at March 31, 2024 compared to $42.0 million at December 31, 2023. The decrease was primarily due to the upgrade of a $3.7 million commercial and industrial relationship and a $1.3 million owner-occupied commercial real estate relationship during the period.</w:t>
      </w:r>
    </w:p>
    <w:p>
      <w:pPr>
        <w:spacing w:after="0" w:line="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Our individually evaluated loans are comprised of loans meeting certain dollar thresholds and those on nonaccrual status, and may be evaluated for reserve purposes using either the cash flow or collateral valuation method. As of March 31, 2024, there was $8.3 million in loans individually evaluated compared to $8.8 million at December 31, 2023.</w:t>
      </w:r>
    </w:p>
    <w:p>
      <w:pPr>
        <w:spacing w:after="0" w:line="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 xml:space="preserve">Allowance for Credit Losses on Loans. </w:t>
      </w:r>
      <w:r>
        <w:rPr>
          <w:rFonts w:ascii="Times New Roman" w:cs="Times New Roman" w:eastAsia="Times New Roman" w:hAnsi="Times New Roman"/>
          <w:sz w:val="16"/>
          <w:szCs w:val="16"/>
          <w:color w:val="auto"/>
        </w:rPr>
        <w:t>The ACL on loans was $47.5 million, or 1.30% of total loans, at March 31, 2024 compared to $48.6 million, or 1.34% of total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loans, as of December 31, 2023. The drivers of this change are discussed in the "Comparison of Results of Operations for the Three Months Ended March 31, 2024 and</w:t>
      </w:r>
    </w:p>
    <w:p>
      <w:pPr>
        <w:spacing w:after="0"/>
        <w:rPr>
          <w:sz w:val="20"/>
          <w:szCs w:val="20"/>
          <w:color w:val="auto"/>
        </w:rPr>
      </w:pPr>
      <w:r>
        <w:rPr>
          <w:rFonts w:ascii="Times New Roman" w:cs="Times New Roman" w:eastAsia="Times New Roman" w:hAnsi="Times New Roman"/>
          <w:sz w:val="16"/>
          <w:szCs w:val="16"/>
          <w:color w:val="auto"/>
        </w:rPr>
        <w:t xml:space="preserve">December 31, 2023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Provision for Credit Losses" section above.</w:t>
      </w:r>
    </w:p>
    <w:p>
      <w:pPr>
        <w:spacing w:after="0" w:line="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Net loan charge-offs totaled $2.3 million for the three months ended March 31, 2024 compared to $2.8 million for the three months ended December 31, 2023. Annualized net charge-offs as a percentage of average assets were 0.24% for the three months ended March 31, 2024 compared to 0.29% for the three months ended December 31, 2023. The net charge-offs recognized the past two quarters have been concentrated in our equipment finance and SBA portfolios, with net charge-offs in these portfolios totaling $2.8 million and $0.9 million,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8" w:name="page39"/>
    <w:bookmarkEnd w:id="38"/>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Assets. </w:t>
      </w:r>
      <w:r>
        <w:rPr>
          <w:rFonts w:ascii="Times New Roman" w:cs="Times New Roman" w:eastAsia="Times New Roman" w:hAnsi="Times New Roman"/>
          <w:sz w:val="16"/>
          <w:szCs w:val="16"/>
          <w:color w:val="auto"/>
        </w:rPr>
        <w:t>Other assets decreased by $40.2 million, or 37.4%, to $67.2 million at March 31, 2024 from $107.4 million at December 31, 2023. During the quarter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December 31, 2023, we had established a $47.9 million receivable for proceeds from the redemption of BOLI policies. The decrease between periods was due to the collection of $41.3 million of this receivable.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Deposits. </w:t>
      </w:r>
      <w:r>
        <w:rPr>
          <w:rFonts w:ascii="Times New Roman" w:cs="Times New Roman" w:eastAsia="Times New Roman" w:hAnsi="Times New Roman"/>
          <w:sz w:val="16"/>
          <w:szCs w:val="16"/>
          <w:color w:val="auto"/>
        </w:rPr>
        <w:t>The following table summarizes the composition of our deposit portfolio as of the dates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Core deposits</w:t>
            </w: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3"/>
        </w:trPr>
        <w:tc>
          <w:tcPr>
            <w:tcW w:w="5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Noninterest-bearing accounts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773,901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784,950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(11,049)</w:t>
            </w:r>
          </w:p>
        </w:tc>
        <w:tc>
          <w:tcPr>
            <w:tcW w:w="100" w:type="dxa"/>
            <w:vAlign w:val="bottom"/>
          </w:tcPr>
          <w:p>
            <w:pPr>
              <w:spacing w:after="0"/>
              <w:rPr>
                <w:sz w:val="18"/>
                <w:szCs w:val="18"/>
                <w:color w:val="auto"/>
              </w:rPr>
            </w:pPr>
          </w:p>
        </w:tc>
        <w:tc>
          <w:tcPr>
            <w:tcW w:w="12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NOW accounts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600,561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591,270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5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Money market accounts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1,308,467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1,246,807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61,660</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Savings accounts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191,302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5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core deposits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2,874,231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2,817,513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56,718</w:t>
            </w:r>
          </w:p>
        </w:tc>
        <w:tc>
          <w:tcPr>
            <w:tcW w:w="10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Certificates of deposit</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925,576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843,860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81,716</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r>
      <w:tr>
        <w:trPr>
          <w:trHeight w:val="207"/>
        </w:trPr>
        <w:tc>
          <w:tcPr>
            <w:tcW w:w="51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3,799,807</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3,661,373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138,434</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3"/>
        </w:trPr>
        <w:tc>
          <w:tcPr>
            <w:tcW w:w="5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Management</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Management maintains a liquidity position that it believes will adequately provide for funding of loan demand and deposit run-off that may occur in the normal course of business. We rely on a number of different sources in order to meet our potential liquidity demands. The primary sources are increases in deposit accounts, wholesale borrowings and cash flows from loan payments and the securities portfolio.</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In addition to these primary sources of funds, management has several secondary sources available to meet potential funding requirements. All qualifying one-to-four family loans, HELOCs, commercial real estate loans, multifamily loans and FHLB of Atlanta stock are pledged as collateral to secure outstanding FHLB advances while commercial construction, indirect auto, and equipment and municipal leases are pledged as collateral to secure outstanding FRB advances. At March 31, 2024, the Company had the ability to borrow $170.0 million through FHLB advances and $80.6 million through the unused portion of a line of credit with the FRB. At this same date, the Company maintained revolving lines of credit with three unaffiliated banks, the unused portion of which totaled $149.5 million. HomeTrust had drawn $15.5 million on a $40.0 million revolving line of credit which bears interest at </w:t>
      </w:r>
      <w:r>
        <w:rPr>
          <w:rFonts w:ascii="Times New Roman" w:cs="Times New Roman" w:eastAsia="Times New Roman" w:hAnsi="Times New Roman"/>
          <w:sz w:val="16"/>
          <w:szCs w:val="16"/>
          <w:i w:val="1"/>
          <w:iCs w:val="1"/>
          <w:color w:val="auto"/>
        </w:rPr>
        <w:t>The Wall Street Journal</w:t>
      </w:r>
      <w:r>
        <w:rPr>
          <w:rFonts w:ascii="Times New Roman" w:cs="Times New Roman" w:eastAsia="Times New Roman" w:hAnsi="Times New Roman"/>
          <w:sz w:val="16"/>
          <w:szCs w:val="16"/>
          <w:color w:val="auto"/>
        </w:rPr>
        <w:t xml:space="preserve"> prime rate plus 50 basis points, maturing on January 28, 2025, although the term may be extended for an additional year if no events of default have occurred.</w:t>
      </w:r>
    </w:p>
    <w:p>
      <w:pPr>
        <w:spacing w:after="0" w:line="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Additionally, we classify our securities portfolio as available for sale, providing an additional source of liquidity. Management believes that our securities portfolio is of high quality, of short duration, and the securities would therefore be readily marketable. In addition, we have historically sold fixed-rate mortgage loans in the secondary market to reduce interest rate risk and to create still another source of liquidity. From time to time we also utilize brokered time deposits to supplement our other sources of funds. Brokered time deposits are obtained by utilizing an outside broker that is paid a fee. This funding requires advance notification to structure the type of deposit desired by us. Brokered deposits can vary in term from one month to several years and have the benefit of being a source of longer-term funding. We also utilize brokered deposits to help manage interest rate risk by extending the term to repricing of our liabilities, enhance our liquidity and fund asset growth. Brokered deposits are typically from outside our primary market areas, and our brokered deposit levels may vary from time to time depending on competitive interest rate conditions and other factors. At March 31, 2024, brokered deposits totaled $392.2 million, or 10.3% of total deposits.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Liquidity management is both a daily and long-term function of business management. Excess liquidity is generally invested in short-term investments, such as overnight deposits and federal funds. On a longer term basis, we maintain a strategy of investing in various lending products and debt securities, including MBS. On a stand-alone level we are a separate legal entity from the Bank and must provide for our own liquidity and pay our own operating expenses. Our primary source of funds consists of dividends or capital distributions from the Bank, although there are regulatory restrictions on the ability of the Bank to pay dividends. At March 31, 2024, we (on an unconsolidated basis) had liquid assets of $189,000.</w:t>
      </w:r>
    </w:p>
    <w:p>
      <w:pPr>
        <w:spacing w:after="0" w:line="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At the Bank level, we use our sources of funds primarily to meet our ongoing commitments, pay maturing deposits and fund withdrawals and to fund loan commitments. At March 31, 2024, the total approved loan commitments and unused lines of credit outstanding amounted to $249.3 million and $690.5 million, respectively, as compared to $240.9 million and $690.6 million as of December 31, 2023. Certificates of deposit scheduled to mature in one year or less at March 31, 2024 totaled $886.7 million. It is management's policy to manage deposit rates that are competitive with other local financial institutions. Based on this strategy, we believe that a majority of maturing deposits will be retained.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Activities</w:t>
      </w:r>
    </w:p>
    <w:p>
      <w:pPr>
        <w:spacing w:after="0" w:line="4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 xml:space="preserve">In the normal course of operations, we engage in a variety of financial transactions that are not recorded in our financial statements, mainly to manage customers' requests for funding. These transactions primarily take the form of loan commitments and lines of credit and involve varying degrees of off-balance sheet credit, interest rate and liquidity risks. For further information, see "Note 12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Commitments and Contingencies" in this Quarterly Report on Form 10-Q.</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Resources</w:t>
      </w:r>
    </w:p>
    <w:p>
      <w:pPr>
        <w:spacing w:after="0" w:line="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HomeTrust Bancshares, Inc. is a bank holding company subject to regulation by the Federal Reserve. As a bank holding company, we are subject to capital adequacy requirements of the Federal Reserve under the Bank Holding Company Act of 1956, as amended and the regulations of the Federal Reserve. The Company's subsidiary, the Bank, an FDIC-insured, North Carolina state-chartered bank and a member of the Federal Reserve System, is supervised and regulated by the Federal Reserve and the NCCOB and is subject to minimum capital requirements applicable to state member banks established by the Federal Reserve that are calculated in a manner similar to those applicable to bank holding companies. Failure to meet minimum capital requirements can initiate certain mandatory and possibly discretionary actions by bank regulators that, if undertaken, could have a direct material effect on the Company's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jc w:val="both"/>
        <w:spacing w:after="0" w:line="272" w:lineRule="auto"/>
        <w:rPr>
          <w:sz w:val="20"/>
          <w:szCs w:val="20"/>
          <w:color w:val="auto"/>
        </w:rPr>
      </w:pPr>
      <w:r>
        <w:rPr>
          <w:rFonts w:ascii="Times New Roman" w:cs="Times New Roman" w:eastAsia="Times New Roman" w:hAnsi="Times New Roman"/>
          <w:sz w:val="16"/>
          <w:szCs w:val="16"/>
          <w:color w:val="auto"/>
        </w:rPr>
        <w:t>Under capital adequacy guidelines and the regulatory framework for prompt corrective action, the Bank must meet specific capital guidelines that involve quantitative measures of the Bank’s assets, liabilities and certain off-balance-sheet items as calculated under regulatory accounting practices. The Bank’s capital amounts and classification are also subject to qualitative judgments by the regulators about components, risk weightings and other factors.</w:t>
      </w:r>
    </w:p>
    <w:p>
      <w:pPr>
        <w:spacing w:after="0" w:line="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At March 31, 2024, HomeTrust Bancshares, Inc. and the Bank each exceeded all regulatory capital requirements. Consistent with the Company's goals to operate a sound and profitable organization, its policy is for the Bank to maintain a “well-capitalized” status under the regulatory capital categories of the Federal Reserve. The Bank was categorized as "well-capitalized" at March 31, 2024 under applicable regulatory requirements.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HomeTrust Bancshares, Inc.'s and the Bank's actual and required minimum capital amounts and ratios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Regulatory Requirements</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vMerge w:val="restart"/>
          </w:tcPr>
          <w:p>
            <w:pPr>
              <w:ind w:left="7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4"/>
          </w:tcPr>
          <w:p>
            <w:pPr>
              <w:jc w:val="right"/>
              <w:ind w:right="460"/>
              <w:spacing w:after="0" w:line="158" w:lineRule="exact"/>
              <w:rPr>
                <w:sz w:val="20"/>
                <w:szCs w:val="20"/>
                <w:color w:val="auto"/>
              </w:rPr>
            </w:pPr>
            <w:r>
              <w:rPr>
                <w:rFonts w:ascii="Times New Roman" w:cs="Times New Roman" w:eastAsia="Times New Roman" w:hAnsi="Times New Roman"/>
                <w:sz w:val="16"/>
                <w:szCs w:val="16"/>
                <w:b w:val="1"/>
                <w:bCs w:val="1"/>
                <w:color w:val="auto"/>
              </w:rPr>
              <w:t>Minimum for Capital</w:t>
            </w:r>
          </w:p>
        </w:tc>
        <w:tc>
          <w:tcPr>
            <w:tcW w:w="160" w:type="dxa"/>
            <w:vAlign w:val="bottom"/>
          </w:tcPr>
          <w:p>
            <w:pPr>
              <w:spacing w:after="0"/>
              <w:rPr>
                <w:sz w:val="13"/>
                <w:szCs w:val="13"/>
                <w:color w:val="auto"/>
              </w:rPr>
            </w:pPr>
          </w:p>
        </w:tc>
        <w:tc>
          <w:tcPr>
            <w:tcW w:w="2080" w:type="dxa"/>
            <w:vAlign w:val="bottom"/>
            <w:gridSpan w:val="3"/>
          </w:tcPr>
          <w:p>
            <w:pPr>
              <w:jc w:val="right"/>
              <w:ind w:right="499"/>
              <w:spacing w:after="0" w:line="158" w:lineRule="exact"/>
              <w:rPr>
                <w:sz w:val="20"/>
                <w:szCs w:val="20"/>
                <w:color w:val="auto"/>
              </w:rPr>
            </w:pPr>
            <w:r>
              <w:rPr>
                <w:rFonts w:ascii="Times New Roman" w:cs="Times New Roman" w:eastAsia="Times New Roman" w:hAnsi="Times New Roman"/>
                <w:sz w:val="16"/>
                <w:szCs w:val="16"/>
                <w:b w:val="1"/>
                <w:bCs w:val="1"/>
                <w:color w:val="auto"/>
              </w:rPr>
              <w:t>Minimum to Be</w:t>
            </w:r>
          </w:p>
        </w:tc>
        <w:tc>
          <w:tcPr>
            <w:tcW w:w="0" w:type="dxa"/>
            <w:vAlign w:val="bottom"/>
          </w:tcPr>
          <w:p>
            <w:pPr>
              <w:spacing w:after="0"/>
              <w:rPr>
                <w:sz w:val="1"/>
                <w:szCs w:val="1"/>
                <w:color w:val="auto"/>
              </w:rPr>
            </w:pPr>
          </w:p>
        </w:tc>
      </w:tr>
      <w:tr>
        <w:trPr>
          <w:trHeight w:val="212"/>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Adequacy Purposes</w:t>
            </w:r>
          </w:p>
        </w:tc>
        <w:tc>
          <w:tcPr>
            <w:tcW w:w="160" w:type="dxa"/>
            <w:vAlign w:val="bottom"/>
          </w:tcPr>
          <w:p>
            <w:pPr>
              <w:spacing w:after="0"/>
              <w:rPr>
                <w:sz w:val="18"/>
                <w:szCs w:val="18"/>
                <w:color w:val="auto"/>
              </w:rPr>
            </w:pPr>
          </w:p>
        </w:tc>
        <w:tc>
          <w:tcPr>
            <w:tcW w:w="2080" w:type="dxa"/>
            <w:vAlign w:val="bottom"/>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Well Capitalized</w:t>
            </w:r>
          </w:p>
        </w:tc>
        <w:tc>
          <w:tcPr>
            <w:tcW w:w="0" w:type="dxa"/>
            <w:vAlign w:val="bottom"/>
          </w:tcPr>
          <w:p>
            <w:pPr>
              <w:spacing w:after="0"/>
              <w:rPr>
                <w:sz w:val="1"/>
                <w:szCs w:val="1"/>
                <w:color w:val="auto"/>
              </w:rPr>
            </w:pPr>
          </w:p>
        </w:tc>
      </w:tr>
      <w:tr>
        <w:trPr>
          <w:trHeight w:val="211"/>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Ratio</w:t>
            </w: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HomeTrust Bancshares, Inc.</w:t>
            </w: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476,029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11.68 %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183,419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264,939</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486,074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175,321</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219,151</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486,074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244,559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326,079</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7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532,770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13.07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326,079</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407,599</w:t>
            </w:r>
          </w:p>
        </w:tc>
        <w:tc>
          <w:tcPr>
            <w:tcW w:w="8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7"/>
        </w:trPr>
        <w:tc>
          <w:tcPr>
            <w:tcW w:w="4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463,946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11.33 %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184,256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266,148</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473,966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174,910</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218,638</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473,966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245,675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327,567</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517,942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12.65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327,567</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409,458</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60"/>
        </w:trPr>
        <w:tc>
          <w:tcPr>
            <w:tcW w:w="4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HomeTrust Bank</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12.13 %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183,417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264,935</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494,309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175,284</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219,105</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244,556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326,074</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7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541,005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326,074</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407,593</w:t>
            </w:r>
          </w:p>
        </w:tc>
        <w:tc>
          <w:tcPr>
            <w:tcW w:w="8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7"/>
        </w:trPr>
        <w:tc>
          <w:tcPr>
            <w:tcW w:w="4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484,238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11.83 %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184,249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266,137</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484,238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174,849</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218,562</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484,238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245,665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327,553</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528,214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327,553</w:t>
            </w:r>
          </w:p>
        </w:tc>
        <w:tc>
          <w:tcPr>
            <w:tcW w:w="10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409,442</w:t>
            </w:r>
          </w:p>
        </w:tc>
        <w:tc>
          <w:tcPr>
            <w:tcW w:w="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permitted by the interim final rule issued on March 27, 2020 by the federal banking regulatory agencies, the Company elected the option to delay the estimated impact on regulatory capital of ASU 2016-13, which was adopted on July 1, 2020. The initial adoption of ASU 2016-13 as well as 25% of the quarterly increases in the ACL subsequent to adoption (collectively the “transition adjustments”) was delayed for two years. Starting July 1, 2022, the cumulative amount of the transition adjustments became fixed and will be phased out of the regulatory capital calculations evenly over a three-year period, with 75% recognized in year three, 50% recognized in year four, and 25% recognized in year five. After five years, the temporary regulatory capital benefits will be fully reversed.</w:t>
      </w:r>
    </w:p>
    <w:p>
      <w:pPr>
        <w:spacing w:after="0" w:line="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 addition to the minimum CET1, Tier 1 and total risk-based capital ratios, both HomeTrust Bancshares, Inc. and the Bank have to maintain a capital conservation buffer consisting of additional CET1 capital of more than 2.50% above the required minimum levels in order to avoid limitations on paying dividends, engaging in share repurchases, and paying discretionary bonuses based on percentages of eligible retained income that could be utilized for such actions. As of March 31, 2024, the Company's and Bank's risk-based capital exceeded the required capital contribution buffer.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Dividends paid by HomeTrust Bank are limited, without regulatory approval, to current year earnings and earnings less dividends paid during the preceding two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has not been any material change in the market risk disclosures contained in our 2023 Form 10-KT.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u w:val="single" w:color="auto"/>
          <w:color w:val="auto"/>
        </w:rPr>
        <w:t>Evaluation of Disclosure Controls and Procedures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 evaluation of our disclosure controls and procedures (as defined in Rule 13a-15(e) of the Securities Exchange Act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1934 (the "Act")) as of March 31, 2024, was carried out under the supervision and with the participation of the Company's Chief Executive Officer, Chief Financial Officer and several other members of the Company's senior management. The Company's Chief Executive Officer and Chief Financial Officer concluded that the Company's disclosure controls and procedures in effect as of March 31, 2024, were effective in ensuring that the information required to be disclosed by the Company in the reports it files or submits under the Act is: (i) accumulated and communicated to the Company's management (including the Chief Executive Officer and Chief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color w:val="auto"/>
        </w:rPr>
        <w:t>Financial Officer) in a timely manner and (ii) recorded, processed, summarized and reported within the time periods specified in the SEC's rules and forms.</w:t>
      </w:r>
    </w:p>
    <w:p>
      <w:pPr>
        <w:spacing w:after="0" w:line="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Company does not expect that its disclosure controls and procedures and internal control over financial reporting will prevent all errors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w:t>
      </w:r>
    </w:p>
    <w:p>
      <w:pPr>
        <w:spacing w:after="0" w:line="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i w:val="1"/>
          <w:iCs w:val="1"/>
          <w:u w:val="single" w:color="auto"/>
          <w:color w:val="auto"/>
        </w:rPr>
        <w:t>Changes in Internal Controls</w:t>
      </w:r>
      <w:r>
        <w:rPr>
          <w:rFonts w:ascii="Times New Roman" w:cs="Times New Roman" w:eastAsia="Times New Roman" w:hAnsi="Times New Roman"/>
          <w:sz w:val="16"/>
          <w:szCs w:val="16"/>
          <w:color w:val="auto"/>
        </w:rPr>
        <w:t>: There have been no changes in the Company’s internal control over financial reporting during the quarter ended March 31, 2024 that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materially affected, or are reasonably likely to materially affect, the Company’s internal control over financial reporting.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43"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 xml:space="preserve">The "Litigation" section of "Note 12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Commitments and Contingencies" to the Consolidated Financial Statements included in Part I, Item 1 is incorporated herein by reference.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have been no material changes in the Risk Factors previously disclosed in Item 1A of the 2023 Form 10-KT.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(a)  Not applicable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(b) Not applicable</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(c) Not applicable</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 of Shares</w:t>
            </w:r>
          </w:p>
        </w:tc>
        <w:tc>
          <w:tcPr>
            <w:tcW w:w="19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Maximum # of</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460" w:type="dxa"/>
            <w:vAlign w:val="bottom"/>
            <w:vMerge w:val="restart"/>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Total # of Shares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2020" w:type="dxa"/>
            <w:vAlign w:val="bottom"/>
            <w:gridSpan w:val="2"/>
            <w:vMerge w:val="continue"/>
          </w:tcPr>
          <w:p>
            <w:pPr>
              <w:spacing w:after="0"/>
              <w:rPr>
                <w:sz w:val="14"/>
                <w:szCs w:val="14"/>
                <w:color w:val="auto"/>
              </w:rPr>
            </w:pPr>
          </w:p>
        </w:tc>
        <w:tc>
          <w:tcPr>
            <w:tcW w:w="19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w:t>
            </w:r>
          </w:p>
        </w:tc>
        <w:tc>
          <w:tcPr>
            <w:tcW w:w="0" w:type="dxa"/>
            <w:vAlign w:val="bottom"/>
          </w:tcPr>
          <w:p>
            <w:pPr>
              <w:spacing w:after="0"/>
              <w:rPr>
                <w:sz w:val="1"/>
                <w:szCs w:val="1"/>
                <w:color w:val="auto"/>
              </w:rPr>
            </w:pPr>
          </w:p>
        </w:tc>
      </w:tr>
      <w:tr>
        <w:trPr>
          <w:trHeight w:val="162"/>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20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9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Yet Be Purchased Under</w:t>
            </w:r>
          </w:p>
        </w:tc>
        <w:tc>
          <w:tcPr>
            <w:tcW w:w="0" w:type="dxa"/>
            <w:vAlign w:val="bottom"/>
          </w:tcPr>
          <w:p>
            <w:pPr>
              <w:spacing w:after="0"/>
              <w:rPr>
                <w:sz w:val="1"/>
                <w:szCs w:val="1"/>
                <w:color w:val="auto"/>
              </w:rPr>
            </w:pPr>
          </w:p>
        </w:tc>
      </w:tr>
      <w:tr>
        <w:trPr>
          <w:trHeight w:val="216"/>
        </w:trPr>
        <w:tc>
          <w:tcPr>
            <w:tcW w:w="3460" w:type="dxa"/>
            <w:vAlign w:val="bottom"/>
            <w:vMerge w:val="continue"/>
          </w:tcPr>
          <w:p>
            <w:pPr>
              <w:spacing w:after="0"/>
              <w:rPr>
                <w:sz w:val="18"/>
                <w:szCs w:val="18"/>
                <w:color w:val="auto"/>
              </w:rPr>
            </w:pPr>
          </w:p>
        </w:tc>
        <w:tc>
          <w:tcPr>
            <w:tcW w:w="146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January 1 - January 31, 2024</w:t>
            </w: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266,639</w:t>
            </w:r>
          </w:p>
        </w:tc>
        <w:tc>
          <w:tcPr>
            <w:tcW w:w="0" w:type="dxa"/>
            <w:vAlign w:val="bottom"/>
          </w:tcPr>
          <w:p>
            <w:pPr>
              <w:spacing w:after="0"/>
              <w:rPr>
                <w:sz w:val="1"/>
                <w:szCs w:val="1"/>
                <w:color w:val="auto"/>
              </w:rPr>
            </w:pPr>
          </w:p>
        </w:tc>
      </w:tr>
      <w:tr>
        <w:trPr>
          <w:trHeight w:val="213"/>
        </w:trPr>
        <w:tc>
          <w:tcPr>
            <w:tcW w:w="3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February 1 - February 29, 2024</w:t>
            </w:r>
          </w:p>
        </w:tc>
        <w:tc>
          <w:tcPr>
            <w:tcW w:w="146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266,639</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March 1 - March 31, 2024</w:t>
            </w:r>
          </w:p>
        </w:tc>
        <w:tc>
          <w:tcPr>
            <w:tcW w:w="14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266,639</w:t>
            </w:r>
          </w:p>
        </w:tc>
        <w:tc>
          <w:tcPr>
            <w:tcW w:w="0" w:type="dxa"/>
            <w:vAlign w:val="bottom"/>
          </w:tcPr>
          <w:p>
            <w:pPr>
              <w:spacing w:after="0"/>
              <w:rPr>
                <w:sz w:val="1"/>
                <w:szCs w:val="1"/>
                <w:color w:val="auto"/>
              </w:rPr>
            </w:pPr>
          </w:p>
        </w:tc>
      </w:tr>
      <w:tr>
        <w:trPr>
          <w:trHeight w:val="207"/>
        </w:trPr>
        <w:tc>
          <w:tcPr>
            <w:tcW w:w="34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92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266,639</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stock was repurchased during the three months ended March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Nothing to report.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4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i w:val="1"/>
          <w:iCs w:val="1"/>
          <w:u w:val="single" w:color="auto"/>
          <w:color w:val="auto"/>
        </w:rPr>
        <w:t>Trading Plans</w:t>
      </w:r>
      <w:r>
        <w:rPr>
          <w:rFonts w:ascii="Times New Roman" w:cs="Times New Roman" w:eastAsia="Times New Roman" w:hAnsi="Times New Roman"/>
          <w:sz w:val="16"/>
          <w:szCs w:val="16"/>
          <w:color w:val="auto"/>
        </w:rPr>
        <w:t>: During the quarter ended March 31, 2024, no director or officer (as defined in Rule 16a-1(f) under the Exchange Act) of the Company adopted or terminated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 "Rule 10b5-1 trading arrangement" or "non-Rule 10b5-1 trading arrangement," as each term is defined in Item 408(a) of Regulation S-K.</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Item 6. Exhibits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Regulation</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to Prior</w:t>
            </w:r>
          </w:p>
        </w:tc>
        <w:tc>
          <w:tcPr>
            <w:tcW w:w="0" w:type="dxa"/>
            <w:vAlign w:val="bottom"/>
          </w:tcPr>
          <w:p>
            <w:pPr>
              <w:spacing w:after="0"/>
              <w:rPr>
                <w:sz w:val="1"/>
                <w:szCs w:val="1"/>
                <w:color w:val="auto"/>
              </w:rPr>
            </w:pPr>
          </w:p>
        </w:tc>
      </w:tr>
      <w:tr>
        <w:trPr>
          <w:trHeight w:val="162"/>
        </w:trPr>
        <w:tc>
          <w:tcPr>
            <w:tcW w:w="1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60" w:type="dxa"/>
            <w:vAlign w:val="bottom"/>
            <w:gridSpan w:val="6"/>
            <w:vMerge w:val="restart"/>
          </w:tcPr>
          <w:p>
            <w:pPr>
              <w:ind w:left="1200"/>
              <w:spacing w:after="0"/>
              <w:rPr>
                <w:sz w:val="20"/>
                <w:szCs w:val="20"/>
                <w:color w:val="auto"/>
              </w:rPr>
            </w:pPr>
            <w:r>
              <w:rPr>
                <w:rFonts w:ascii="Times New Roman" w:cs="Times New Roman" w:eastAsia="Times New Roman" w:hAnsi="Times New Roman"/>
                <w:sz w:val="16"/>
                <w:szCs w:val="16"/>
                <w:b w:val="1"/>
                <w:bCs w:val="1"/>
                <w:color w:val="auto"/>
              </w:rPr>
              <w:t>Document</w:t>
            </w:r>
          </w:p>
        </w:tc>
        <w:tc>
          <w:tcPr>
            <w:tcW w:w="100" w:type="dxa"/>
            <w:vAlign w:val="bottom"/>
            <w:vMerge w:val="restart"/>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Filing or Exhibit #</w:t>
            </w:r>
          </w:p>
        </w:tc>
        <w:tc>
          <w:tcPr>
            <w:tcW w:w="0" w:type="dxa"/>
            <w:vAlign w:val="bottom"/>
          </w:tcPr>
          <w:p>
            <w:pPr>
              <w:spacing w:after="0"/>
              <w:rPr>
                <w:sz w:val="1"/>
                <w:szCs w:val="1"/>
                <w:color w:val="auto"/>
              </w:rPr>
            </w:pPr>
          </w:p>
        </w:tc>
      </w:tr>
      <w:tr>
        <w:trPr>
          <w:trHeight w:val="214"/>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S-K Exhibit #</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5660" w:type="dxa"/>
            <w:vAlign w:val="bottom"/>
            <w:tcBorders>
              <w:bottom w:val="single" w:sz="8" w:color="auto"/>
            </w:tcBorders>
            <w:gridSpan w:val="6"/>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Attached Hereto</w:t>
            </w:r>
          </w:p>
        </w:tc>
        <w:tc>
          <w:tcPr>
            <w:tcW w:w="0" w:type="dxa"/>
            <w:vAlign w:val="bottom"/>
          </w:tcPr>
          <w:p>
            <w:pPr>
              <w:spacing w:after="0"/>
              <w:rPr>
                <w:sz w:val="1"/>
                <w:szCs w:val="1"/>
                <w:color w:val="auto"/>
              </w:rPr>
            </w:pPr>
          </w:p>
        </w:tc>
      </w:tr>
      <w:tr>
        <w:trPr>
          <w:trHeight w:val="400"/>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gridSpan w:val="9"/>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Charter of HomeTrust Bancshares, Inc.</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gridSpan w:val="9"/>
          </w:tcPr>
          <w:p>
            <w:pPr>
              <w:spacing w:after="0"/>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Amended and Restated Bylaws of HomeTrust Bancshares, Inc.</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0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HomeTrust Bancshares, Inc. Senior Leadership Incentive Plan (formerly known as Operating Committee Incentive Program)</w:t>
              </w:r>
            </w:hyperlink>
          </w:p>
        </w:tc>
        <w:tc>
          <w:tcPr>
            <w:tcW w:w="200" w:type="dxa"/>
            <w:vAlign w:val="bottom"/>
            <w:gridSpan w:val="3"/>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8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Amended and Restated Employment and Transition Agreement between HomeTrust Bancshares, Inc. and Dana L. Stonestreet</w:t>
              </w:r>
            </w:hyperlink>
          </w:p>
        </w:tc>
        <w:tc>
          <w:tcPr>
            <w:tcW w:w="120" w:type="dxa"/>
            <w:vAlign w:val="bottom"/>
            <w:gridSpan w:val="2"/>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0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Amended and Restated Employment Agreement between HomeTrust Bancshares, Inc. and C. Hunter Westbrook</w:t>
              </w:r>
            </w:hyperlink>
          </w:p>
        </w:tc>
        <w:tc>
          <w:tcPr>
            <w:tcW w:w="1000" w:type="dxa"/>
            <w:vAlign w:val="bottom"/>
            <w:gridSpan w:val="5"/>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(g)</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10.3A</w:t>
            </w:r>
          </w:p>
        </w:tc>
        <w:tc>
          <w:tcPr>
            <w:tcW w:w="20" w:type="dxa"/>
            <w:vAlign w:val="bottom"/>
          </w:tcPr>
          <w:p>
            <w:pPr>
              <w:spacing w:after="0"/>
              <w:rPr>
                <w:sz w:val="17"/>
                <w:szCs w:val="17"/>
                <w:color w:val="auto"/>
              </w:rPr>
            </w:pPr>
          </w:p>
        </w:tc>
        <w:tc>
          <w:tcPr>
            <w:tcW w:w="8300" w:type="dxa"/>
            <w:vAlign w:val="bottom"/>
            <w:gridSpan w:val="9"/>
          </w:tcPr>
          <w:p>
            <w:pPr>
              <w:spacing w:after="0"/>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Amendment No. 1 to Amended and Restated Employment Agreement between HomeTrust Bancshares, Inc. and C. Hunter</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(b)</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53">
              <w:r>
                <w:rPr>
                  <w:rFonts w:ascii="Times New Roman" w:cs="Times New Roman" w:eastAsia="Times New Roman" w:hAnsi="Times New Roman"/>
                  <w:sz w:val="16"/>
                  <w:szCs w:val="16"/>
                  <w:color w:val="0000FF"/>
                  <w:w w:val="96"/>
                </w:rPr>
                <w:t>Westbrook</w:t>
              </w:r>
            </w:hyperlink>
          </w:p>
        </w:tc>
        <w:tc>
          <w:tcPr>
            <w:tcW w:w="7260" w:type="dxa"/>
            <w:vAlign w:val="bottom"/>
            <w:tcBorders>
              <w:top w:val="single" w:sz="8" w:color="0000FF"/>
            </w:tcBorders>
            <w:gridSpan w:val="4"/>
          </w:tcPr>
          <w:p>
            <w:pPr>
              <w:spacing w:after="0"/>
              <w:rPr>
                <w:sz w:val="12"/>
                <w:szCs w:val="12"/>
                <w:color w:val="auto"/>
              </w:rPr>
            </w:pPr>
          </w:p>
        </w:tc>
        <w:tc>
          <w:tcPr>
            <w:tcW w:w="340" w:type="dxa"/>
            <w:vAlign w:val="bottom"/>
            <w:gridSpan w:val="4"/>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Regulation</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20" w:type="dxa"/>
            <w:vAlign w:val="bottom"/>
            <w:gridSpan w:val="29"/>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Document</w:t>
            </w:r>
          </w:p>
        </w:tc>
        <w:tc>
          <w:tcPr>
            <w:tcW w:w="0" w:type="dxa"/>
            <w:vAlign w:val="bottom"/>
          </w:tcPr>
          <w:p>
            <w:pPr>
              <w:spacing w:after="0"/>
              <w:rPr>
                <w:sz w:val="1"/>
                <w:szCs w:val="1"/>
                <w:color w:val="auto"/>
              </w:rPr>
            </w:pPr>
          </w:p>
        </w:tc>
      </w:tr>
      <w:tr>
        <w:trPr>
          <w:trHeight w:val="214"/>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S-K Exhibit #</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gridSpan w:val="2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10.3B</w:t>
            </w:r>
          </w:p>
        </w:tc>
        <w:tc>
          <w:tcPr>
            <w:tcW w:w="20" w:type="dxa"/>
            <w:vAlign w:val="bottom"/>
          </w:tcPr>
          <w:p>
            <w:pPr>
              <w:spacing w:after="0"/>
              <w:rPr>
                <w:sz w:val="18"/>
                <w:szCs w:val="18"/>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Amendment No. 2 to Amended and Restated Employment Agreement between HomeTrust Bancshares, Inc. and C. Hunter</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55">
              <w:r>
                <w:rPr>
                  <w:rFonts w:ascii="Times New Roman" w:cs="Times New Roman" w:eastAsia="Times New Roman" w:hAnsi="Times New Roman"/>
                  <w:sz w:val="16"/>
                  <w:szCs w:val="16"/>
                  <w:color w:val="0000FF"/>
                  <w:w w:val="96"/>
                </w:rPr>
                <w:t>Westbrook</w:t>
              </w:r>
            </w:hyperlink>
          </w:p>
        </w:tc>
        <w:tc>
          <w:tcPr>
            <w:tcW w:w="7260" w:type="dxa"/>
            <w:vAlign w:val="bottom"/>
            <w:tcBorders>
              <w:top w:val="single" w:sz="8" w:color="0000FF"/>
            </w:tcBorders>
            <w:gridSpan w:val="39"/>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10.3C</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Amendment No. 3 to Amended and Restated Employment Agreement between HomeTrust Bancshares, Inc. and C. Hunter</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56">
              <w:r>
                <w:rPr>
                  <w:rFonts w:ascii="Times New Roman" w:cs="Times New Roman" w:eastAsia="Times New Roman" w:hAnsi="Times New Roman"/>
                  <w:sz w:val="16"/>
                  <w:szCs w:val="16"/>
                  <w:color w:val="0000FF"/>
                  <w:w w:val="96"/>
                </w:rPr>
                <w:t>Westbrook</w:t>
              </w:r>
            </w:hyperlink>
          </w:p>
        </w:tc>
        <w:tc>
          <w:tcPr>
            <w:tcW w:w="7260" w:type="dxa"/>
            <w:vAlign w:val="bottom"/>
            <w:tcBorders>
              <w:top w:val="single" w:sz="8" w:color="0000FF"/>
            </w:tcBorders>
            <w:gridSpan w:val="39"/>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10.3D</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Amendment No. 4 to Amended and Restated Employment Agreement between HomeTrust Bancshares, Inc. and C. Hunter</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57">
              <w:r>
                <w:rPr>
                  <w:rFonts w:ascii="Times New Roman" w:cs="Times New Roman" w:eastAsia="Times New Roman" w:hAnsi="Times New Roman"/>
                  <w:sz w:val="16"/>
                  <w:szCs w:val="16"/>
                  <w:color w:val="0000FF"/>
                  <w:w w:val="96"/>
                </w:rPr>
                <w:t>Westbrook</w:t>
              </w:r>
            </w:hyperlink>
          </w:p>
        </w:tc>
        <w:tc>
          <w:tcPr>
            <w:tcW w:w="7260" w:type="dxa"/>
            <w:vAlign w:val="bottom"/>
            <w:tcBorders>
              <w:top w:val="single" w:sz="8" w:color="0000FF"/>
            </w:tcBorders>
            <w:gridSpan w:val="39"/>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Amended and Restated Employment Agreement between HomeTrust Bancshares, Inc. and Tony J. VunCannon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10.4A</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Amendment No. 1 to Amended and Restated Employment Agreement between HomeTrust Bancshares, Inc. and Tony</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8"/>
              </w:rPr>
            </w:pPr>
            <w:hyperlink r:id="rId51">
              <w:r>
                <w:rPr>
                  <w:rFonts w:ascii="Times New Roman" w:cs="Times New Roman" w:eastAsia="Times New Roman" w:hAnsi="Times New Roman"/>
                  <w:sz w:val="16"/>
                  <w:szCs w:val="16"/>
                  <w:color w:val="0000FF"/>
                  <w:w w:val="98"/>
                </w:rPr>
                <w:t>VunCannon</w:t>
              </w:r>
            </w:hyperlink>
          </w:p>
        </w:tc>
        <w:tc>
          <w:tcPr>
            <w:tcW w:w="6880" w:type="dxa"/>
            <w:vAlign w:val="bottom"/>
            <w:tcBorders>
              <w:top w:val="single" w:sz="8" w:color="0000FF"/>
            </w:tcBorders>
            <w:gridSpan w:val="36"/>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tcBorders>
              <w:bottom w:val="single" w:sz="8" w:color="0000FF"/>
            </w:tcBorders>
            <w:gridSpan w:val="30"/>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HomeTrust Bank Executive Supplemental Retirement Income Master Agreement (“SERP”)</w:t>
              </w:r>
            </w:hyperlink>
          </w:p>
        </w:tc>
        <w:tc>
          <w:tcPr>
            <w:tcW w:w="22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Amendment No. 1 to SERP</w:t>
              </w:r>
            </w:hyperlink>
          </w:p>
        </w:tc>
        <w:tc>
          <w:tcPr>
            <w:tcW w:w="6400" w:type="dxa"/>
            <w:vAlign w:val="bottom"/>
            <w:gridSpan w:val="3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Amendment No. 2 to SERP</w:t>
              </w:r>
            </w:hyperlink>
          </w:p>
        </w:tc>
        <w:tc>
          <w:tcPr>
            <w:tcW w:w="6400" w:type="dxa"/>
            <w:vAlign w:val="bottom"/>
            <w:gridSpan w:val="3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10.7A</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SERP Joinder Agreement for F. Edward Broadwell, Jr.</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10.7B</w:t>
            </w:r>
          </w:p>
        </w:tc>
        <w:tc>
          <w:tcPr>
            <w:tcW w:w="2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SERP Joinder Agreement for Dana L. Stonestreet</w:t>
              </w:r>
            </w:hyperlink>
          </w:p>
        </w:tc>
        <w:tc>
          <w:tcPr>
            <w:tcW w:w="320" w:type="dxa"/>
            <w:vAlign w:val="bottom"/>
            <w:tcBorders>
              <w:top w:val="single" w:sz="8" w:color="0000FF"/>
            </w:tcBorders>
            <w:gridSpan w:val="3"/>
          </w:tcPr>
          <w:p>
            <w:pPr>
              <w:spacing w:after="0"/>
              <w:rPr>
                <w:sz w:val="17"/>
                <w:szCs w:val="17"/>
                <w:color w:val="auto"/>
              </w:rPr>
            </w:pPr>
          </w:p>
        </w:tc>
        <w:tc>
          <w:tcPr>
            <w:tcW w:w="466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10.7C</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SERP Joinder Agreement for Tony J. VunCannon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10.7D</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SERP Joinder Agreement for Howard L. Sellinger</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10.7E</w:t>
            </w:r>
          </w:p>
        </w:tc>
        <w:tc>
          <w:tcPr>
            <w:tcW w:w="20" w:type="dxa"/>
            <w:vAlign w:val="bottom"/>
          </w:tcPr>
          <w:p>
            <w:pPr>
              <w:spacing w:after="0"/>
              <w:rPr>
                <w:sz w:val="17"/>
                <w:szCs w:val="17"/>
                <w:color w:val="auto"/>
              </w:rPr>
            </w:pPr>
          </w:p>
        </w:tc>
        <w:tc>
          <w:tcPr>
            <w:tcW w:w="3260" w:type="dxa"/>
            <w:vAlign w:val="bottom"/>
            <w:tcBorders>
              <w:top w:val="single" w:sz="8" w:color="0000FF"/>
            </w:tcBorders>
            <w:gridSpan w:val="9"/>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SERP Joinder Agreement for Stan Allen</w:t>
              </w:r>
            </w:hyperlink>
          </w:p>
        </w:tc>
        <w:tc>
          <w:tcPr>
            <w:tcW w:w="494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10.7F</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SERP Joinder Agreement for Sidney A. Biesecker</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10.7G</w:t>
            </w:r>
          </w:p>
        </w:tc>
        <w:tc>
          <w:tcPr>
            <w:tcW w:w="20" w:type="dxa"/>
            <w:vAlign w:val="bottom"/>
          </w:tcPr>
          <w:p>
            <w:pPr>
              <w:spacing w:after="0"/>
              <w:rPr>
                <w:sz w:val="17"/>
                <w:szCs w:val="17"/>
                <w:color w:val="auto"/>
              </w:rPr>
            </w:pPr>
          </w:p>
        </w:tc>
        <w:tc>
          <w:tcPr>
            <w:tcW w:w="312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SERP Joinder Agreement for Peggy C. Melville</w:t>
              </w:r>
            </w:hyperlink>
          </w:p>
        </w:tc>
        <w:tc>
          <w:tcPr>
            <w:tcW w:w="140" w:type="dxa"/>
            <w:vAlign w:val="bottom"/>
            <w:tcBorders>
              <w:top w:val="single" w:sz="8" w:color="0000FF"/>
            </w:tcBorders>
            <w:gridSpan w:val="2"/>
          </w:tcPr>
          <w:p>
            <w:pPr>
              <w:spacing w:after="0"/>
              <w:rPr>
                <w:sz w:val="17"/>
                <w:szCs w:val="17"/>
                <w:color w:val="auto"/>
              </w:rPr>
            </w:pPr>
          </w:p>
        </w:tc>
        <w:tc>
          <w:tcPr>
            <w:tcW w:w="494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10.7H</w:t>
            </w:r>
          </w:p>
        </w:tc>
        <w:tc>
          <w:tcPr>
            <w:tcW w:w="20" w:type="dxa"/>
            <w:vAlign w:val="bottom"/>
          </w:tcPr>
          <w:p>
            <w:pPr>
              <w:spacing w:after="0"/>
              <w:rPr>
                <w:sz w:val="17"/>
                <w:szCs w:val="17"/>
                <w:color w:val="auto"/>
              </w:rPr>
            </w:pPr>
          </w:p>
        </w:tc>
        <w:tc>
          <w:tcPr>
            <w:tcW w:w="302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SERP Joinder Agreement for William T. Flynt</w:t>
              </w:r>
            </w:hyperlink>
          </w:p>
        </w:tc>
        <w:tc>
          <w:tcPr>
            <w:tcW w:w="518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10.7I</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Amended and Restated Supplemental Income Agreement between HomeTrust Bank, as successor to Industrial Federal</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80" w:type="dxa"/>
            <w:vAlign w:val="bottom"/>
            <w:tcBorders>
              <w:top w:val="single" w:sz="8" w:color="0000FF"/>
            </w:tcBorders>
            <w:gridSpan w:val="39"/>
          </w:tcPr>
          <w:p>
            <w:pPr>
              <w:spacing w:after="0" w:line="142"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Savings Bank, and Sidney Biesecker</w:t>
              </w:r>
            </w:hyperlink>
          </w:p>
        </w:tc>
        <w:tc>
          <w:tcPr>
            <w:tcW w:w="5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HomeTrust Bank Director Emeritus Plan (“Director Emeritus Plan”)</w:t>
              </w:r>
            </w:hyperlink>
          </w:p>
        </w:tc>
        <w:tc>
          <w:tcPr>
            <w:tcW w:w="37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10.8A</w:t>
            </w:r>
          </w:p>
        </w:tc>
        <w:tc>
          <w:tcPr>
            <w:tcW w:w="20" w:type="dxa"/>
            <w:vAlign w:val="bottom"/>
          </w:tcPr>
          <w:p>
            <w:pPr>
              <w:spacing w:after="0"/>
              <w:rPr>
                <w:sz w:val="17"/>
                <w:szCs w:val="17"/>
                <w:color w:val="auto"/>
              </w:rPr>
            </w:pPr>
          </w:p>
        </w:tc>
        <w:tc>
          <w:tcPr>
            <w:tcW w:w="412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Director Emeritus Plan Joinder Agreement for William T. Flynt</w:t>
              </w:r>
            </w:hyperlink>
          </w:p>
        </w:tc>
        <w:tc>
          <w:tcPr>
            <w:tcW w:w="40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10.8B</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Director Emeritus Plan Joinder Agreement for J. Steven Goforth</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10.8C</w:t>
            </w:r>
          </w:p>
        </w:tc>
        <w:tc>
          <w:tcPr>
            <w:tcW w:w="20" w:type="dxa"/>
            <w:vAlign w:val="bottom"/>
          </w:tcPr>
          <w:p>
            <w:pPr>
              <w:spacing w:after="0"/>
              <w:rPr>
                <w:sz w:val="17"/>
                <w:szCs w:val="17"/>
                <w:color w:val="auto"/>
              </w:rPr>
            </w:pPr>
          </w:p>
        </w:tc>
        <w:tc>
          <w:tcPr>
            <w:tcW w:w="4180" w:type="dxa"/>
            <w:vAlign w:val="bottom"/>
            <w:tcBorders>
              <w:top w:val="single" w:sz="8" w:color="0000FF"/>
            </w:tcBorders>
            <w:gridSpan w:val="15"/>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Director Emeritus Plan Joinder Agreement for Craig C. Koontz</w:t>
              </w:r>
            </w:hyperlink>
          </w:p>
        </w:tc>
        <w:tc>
          <w:tcPr>
            <w:tcW w:w="40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10"/>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10.8D</w:t>
            </w:r>
          </w:p>
        </w:tc>
        <w:tc>
          <w:tcPr>
            <w:tcW w:w="20" w:type="dxa"/>
            <w:vAlign w:val="bottom"/>
          </w:tcPr>
          <w:p>
            <w:pPr>
              <w:spacing w:after="0"/>
              <w:rPr>
                <w:sz w:val="17"/>
                <w:szCs w:val="17"/>
                <w:color w:val="auto"/>
              </w:rPr>
            </w:pPr>
          </w:p>
        </w:tc>
        <w:tc>
          <w:tcPr>
            <w:tcW w:w="424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Director Emeritus Plan Joinder Agreement for Larry S. McDevitt</w:t>
              </w:r>
            </w:hyperlink>
          </w:p>
        </w:tc>
        <w:tc>
          <w:tcPr>
            <w:tcW w:w="39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10.8E</w:t>
            </w:r>
          </w:p>
        </w:tc>
        <w:tc>
          <w:tcPr>
            <w:tcW w:w="20" w:type="dxa"/>
            <w:vAlign w:val="bottom"/>
          </w:tcPr>
          <w:p>
            <w:pPr>
              <w:spacing w:after="0"/>
              <w:rPr>
                <w:sz w:val="17"/>
                <w:szCs w:val="17"/>
                <w:color w:val="auto"/>
              </w:rPr>
            </w:pPr>
          </w:p>
        </w:tc>
        <w:tc>
          <w:tcPr>
            <w:tcW w:w="432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Director Emeritus Plan Joinder Agreement for F.K. McFarland, III</w:t>
              </w:r>
            </w:hyperlink>
          </w:p>
        </w:tc>
        <w:tc>
          <w:tcPr>
            <w:tcW w:w="38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10.8F</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Director Emeritus Plan Joinder Agreement for Peggy C. Melville</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10"/>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10.8G</w:t>
            </w:r>
          </w:p>
        </w:tc>
        <w:tc>
          <w:tcPr>
            <w:tcW w:w="20" w:type="dxa"/>
            <w:vAlign w:val="bottom"/>
          </w:tcPr>
          <w:p>
            <w:pPr>
              <w:spacing w:after="0"/>
              <w:rPr>
                <w:sz w:val="17"/>
                <w:szCs w:val="17"/>
                <w:color w:val="auto"/>
              </w:rPr>
            </w:pPr>
          </w:p>
        </w:tc>
        <w:tc>
          <w:tcPr>
            <w:tcW w:w="458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Director Emeritus Plan Joinder Agreement for Robert E. Shepherd, Sr.</w:t>
              </w:r>
            </w:hyperlink>
          </w:p>
        </w:tc>
        <w:tc>
          <w:tcPr>
            <w:tcW w:w="36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HomeTrust Bank Defined Contribution Executive Medical Care Plan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10"/>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0" w:type="dxa"/>
            <w:vAlign w:val="bottom"/>
            <w:gridSpan w:val="8"/>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10.9A</w:t>
            </w:r>
          </w:p>
        </w:tc>
        <w:tc>
          <w:tcPr>
            <w:tcW w:w="20" w:type="dxa"/>
            <w:vAlign w:val="bottom"/>
          </w:tcPr>
          <w:p>
            <w:pPr>
              <w:spacing w:after="0"/>
              <w:rPr>
                <w:sz w:val="17"/>
                <w:szCs w:val="17"/>
                <w:color w:val="auto"/>
              </w:rPr>
            </w:pPr>
          </w:p>
        </w:tc>
        <w:tc>
          <w:tcPr>
            <w:tcW w:w="5900" w:type="dxa"/>
            <w:vAlign w:val="bottom"/>
            <w:tcBorders>
              <w:bottom w:val="single" w:sz="8" w:color="0000FF"/>
            </w:tcBorders>
            <w:gridSpan w:val="29"/>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Amendment No. 1 to HomeTrust Bank Defined Contribution Executive Medical Care Plan</w:t>
              </w:r>
            </w:hyperlink>
          </w:p>
        </w:tc>
        <w:tc>
          <w:tcPr>
            <w:tcW w:w="2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10.9B</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Form of Joinder Agreement Under the HomeTrust Bank Defined Contribution Executive Medical Care Plan</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10.9C</w:t>
            </w:r>
          </w:p>
        </w:tc>
        <w:tc>
          <w:tcPr>
            <w:tcW w:w="20" w:type="dxa"/>
            <w:vAlign w:val="bottom"/>
          </w:tcPr>
          <w:p>
            <w:pPr>
              <w:spacing w:after="0"/>
              <w:rPr>
                <w:sz w:val="17"/>
                <w:szCs w:val="17"/>
                <w:color w:val="auto"/>
              </w:rPr>
            </w:pPr>
          </w:p>
        </w:tc>
        <w:tc>
          <w:tcPr>
            <w:tcW w:w="5900" w:type="dxa"/>
            <w:vAlign w:val="bottom"/>
            <w:tcBorders>
              <w:top w:val="single" w:sz="8" w:color="0000FF"/>
              <w:bottom w:val="single" w:sz="8" w:color="0000FF"/>
            </w:tcBorders>
            <w:gridSpan w:val="29"/>
          </w:tcPr>
          <w:p>
            <w:pPr>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Amendment No. 2 to HomeTrust Bank Defined Contribution Executive Medical Care Plan</w:t>
              </w:r>
            </w:hyperlink>
          </w:p>
        </w:tc>
        <w:tc>
          <w:tcPr>
            <w:tcW w:w="1100" w:type="dxa"/>
            <w:vAlign w:val="bottom"/>
            <w:tcBorders>
              <w:top w:val="single" w:sz="8" w:color="0000FF"/>
            </w:tcBorders>
            <w:gridSpan w:val="5"/>
          </w:tcPr>
          <w:p>
            <w:pPr>
              <w:spacing w:after="0"/>
              <w:rPr>
                <w:sz w:val="17"/>
                <w:szCs w:val="17"/>
                <w:color w:val="auto"/>
              </w:rPr>
            </w:pPr>
          </w:p>
        </w:tc>
        <w:tc>
          <w:tcPr>
            <w:tcW w:w="1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10.9D</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Amendment No. 3 to HomeTrust Bank Defined Contribution Executive Medical Care Plan</w:t>
              </w:r>
            </w:hyperlink>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tcBorders>
              <w:top w:val="single" w:sz="8" w:color="0000FF"/>
            </w:tcBorders>
            <w:gridSpan w:val="28"/>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HomeTrust Bank 2005 Deferred Compensation Plan</w:t>
              </w:r>
            </w:hyperlink>
          </w:p>
        </w:tc>
        <w:tc>
          <w:tcPr>
            <w:tcW w:w="23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10"/>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10.10A</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Amendment No. 1 to HomeTrust Bank 2005 Deferred Compensation Plan</w:t>
              </w:r>
            </w:hyperlink>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bottom w:val="single" w:sz="8" w:color="0000FF"/>
            </w:tcBorders>
            <w:gridSpan w:val="12"/>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HomeTrust Bank Pre-2005 Deferred Compensation Plan</w:t>
              </w:r>
            </w:hyperlink>
          </w:p>
        </w:tc>
        <w:tc>
          <w:tcPr>
            <w:tcW w:w="1120" w:type="dxa"/>
            <w:vAlign w:val="bottom"/>
            <w:tcBorders>
              <w:top w:val="single" w:sz="8" w:color="0000FF"/>
            </w:tcBorders>
            <w:gridSpan w:val="10"/>
          </w:tcPr>
          <w:p>
            <w:pPr>
              <w:spacing w:after="0"/>
              <w:rPr>
                <w:sz w:val="17"/>
                <w:szCs w:val="17"/>
                <w:color w:val="auto"/>
              </w:rPr>
            </w:pPr>
          </w:p>
        </w:tc>
        <w:tc>
          <w:tcPr>
            <w:tcW w:w="34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10.11A</w:t>
            </w:r>
          </w:p>
        </w:tc>
        <w:tc>
          <w:tcPr>
            <w:tcW w:w="20" w:type="dxa"/>
            <w:vAlign w:val="bottom"/>
          </w:tcPr>
          <w:p>
            <w:pPr>
              <w:spacing w:after="0"/>
              <w:rPr>
                <w:sz w:val="17"/>
                <w:szCs w:val="17"/>
                <w:color w:val="auto"/>
              </w:rPr>
            </w:pPr>
          </w:p>
        </w:tc>
        <w:tc>
          <w:tcPr>
            <w:tcW w:w="508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Amendment No. 1 to HomeTrust Bank Pre-2005 Deferred Compensation Plan</w:t>
              </w:r>
            </w:hyperlink>
          </w:p>
        </w:tc>
        <w:tc>
          <w:tcPr>
            <w:tcW w:w="31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Borders>
              <w:bottom w:val="single" w:sz="8" w:color="0000FF"/>
            </w:tcBorders>
            <w:gridSpan w:val="32"/>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 xml:space="preserve">HomeTrust Bancshares, Inc. 2013 Omnibus Incentive Plan </w:t>
              </w:r>
            </w:hyperlink>
            <w:r>
              <w:rPr>
                <w:rFonts w:ascii="Times New Roman" w:cs="Times New Roman" w:eastAsia="Times New Roman" w:hAnsi="Times New Roman"/>
                <w:sz w:val="16"/>
                <w:szCs w:val="16"/>
                <w:color w:val="0000FF"/>
              </w:rPr>
              <w:t xml:space="preserve">(“2013 </w:t>
            </w:r>
            <w:hyperlink r:id="rId63">
              <w:r>
                <w:rPr>
                  <w:rFonts w:ascii="Times New Roman" w:cs="Times New Roman" w:eastAsia="Times New Roman" w:hAnsi="Times New Roman"/>
                  <w:sz w:val="16"/>
                  <w:szCs w:val="16"/>
                  <w:color w:val="0000FF"/>
                </w:rPr>
                <w:t>Omnibus Incentive Plan”)</w:t>
              </w:r>
            </w:hyperlink>
          </w:p>
        </w:tc>
        <w:tc>
          <w:tcPr>
            <w:tcW w:w="21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10.12A</w:t>
            </w:r>
          </w:p>
        </w:tc>
        <w:tc>
          <w:tcPr>
            <w:tcW w:w="20" w:type="dxa"/>
            <w:vAlign w:val="bottom"/>
          </w:tcPr>
          <w:p>
            <w:pPr>
              <w:spacing w:after="0"/>
              <w:rPr>
                <w:sz w:val="17"/>
                <w:szCs w:val="17"/>
                <w:color w:val="auto"/>
              </w:rPr>
            </w:pPr>
          </w:p>
        </w:tc>
        <w:tc>
          <w:tcPr>
            <w:tcW w:w="568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Form of Incentive Stock Option Award Agreement under 2013 Omnibus Incentive Plan</w:t>
              </w:r>
            </w:hyperlink>
          </w:p>
        </w:tc>
        <w:tc>
          <w:tcPr>
            <w:tcW w:w="2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10.12B</w:t>
            </w:r>
          </w:p>
        </w:tc>
        <w:tc>
          <w:tcPr>
            <w:tcW w:w="20" w:type="dxa"/>
            <w:vAlign w:val="bottom"/>
          </w:tcPr>
          <w:p>
            <w:pPr>
              <w:spacing w:after="0"/>
              <w:rPr>
                <w:sz w:val="17"/>
                <w:szCs w:val="17"/>
                <w:color w:val="auto"/>
              </w:rPr>
            </w:pPr>
          </w:p>
        </w:tc>
        <w:tc>
          <w:tcPr>
            <w:tcW w:w="6020" w:type="dxa"/>
            <w:vAlign w:val="bottom"/>
            <w:tcBorders>
              <w:bottom w:val="single" w:sz="8" w:color="0000FF"/>
            </w:tcBorders>
            <w:gridSpan w:val="31"/>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Form of Non-Qualified Stock Option Award Agreement under 2013 Omnibus Incentive Plan</w:t>
              </w:r>
            </w:hyperlink>
          </w:p>
        </w:tc>
        <w:tc>
          <w:tcPr>
            <w:tcW w:w="21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10.12C</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Form of Stock Appreciation Right Award Agreement under 2013 Omnibus Incentive Plan</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10.12D</w:t>
            </w:r>
          </w:p>
        </w:tc>
        <w:tc>
          <w:tcPr>
            <w:tcW w:w="20" w:type="dxa"/>
            <w:vAlign w:val="bottom"/>
          </w:tcPr>
          <w:p>
            <w:pPr>
              <w:spacing w:after="0"/>
              <w:rPr>
                <w:sz w:val="17"/>
                <w:szCs w:val="17"/>
                <w:color w:val="auto"/>
              </w:rPr>
            </w:pPr>
          </w:p>
        </w:tc>
        <w:tc>
          <w:tcPr>
            <w:tcW w:w="5820" w:type="dxa"/>
            <w:vAlign w:val="bottom"/>
            <w:tcBorders>
              <w:top w:val="single" w:sz="8" w:color="0000FF"/>
            </w:tcBorders>
            <w:gridSpan w:val="27"/>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Form of Restricted Stock Award Agreement under 2013 Omnibus Incentive Plan</w:t>
              </w:r>
            </w:hyperlink>
          </w:p>
        </w:tc>
        <w:tc>
          <w:tcPr>
            <w:tcW w:w="23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40" w:type="dxa"/>
            <w:vAlign w:val="bottom"/>
            <w:gridSpan w:val="2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10.12E</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Form of Restricted Stock Unit Award Agreement under 2013 Omnibus Incentive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60" w:type="dxa"/>
            <w:vAlign w:val="bottom"/>
            <w:gridSpan w:val="25"/>
            <w:shd w:val="clear" w:color="auto" w:fill="0000FF"/>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Borders>
              <w:bottom w:val="single" w:sz="8" w:color="0000FF"/>
            </w:tcBorders>
            <w:gridSpan w:val="32"/>
          </w:tcPr>
          <w:p>
            <w:pPr>
              <w:spacing w:after="0"/>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 xml:space="preserve">HomeTrust Bancshares, Inc. 2022 Omnibus Incentive Plan </w:t>
              </w:r>
            </w:hyperlink>
            <w:r>
              <w:rPr>
                <w:rFonts w:ascii="Times New Roman" w:cs="Times New Roman" w:eastAsia="Times New Roman" w:hAnsi="Times New Roman"/>
                <w:sz w:val="16"/>
                <w:szCs w:val="16"/>
                <w:color w:val="0000FF"/>
              </w:rPr>
              <w:t xml:space="preserve">(“2022 </w:t>
            </w:r>
            <w:hyperlink r:id="rId65">
              <w:r>
                <w:rPr>
                  <w:rFonts w:ascii="Times New Roman" w:cs="Times New Roman" w:eastAsia="Times New Roman" w:hAnsi="Times New Roman"/>
                  <w:sz w:val="16"/>
                  <w:szCs w:val="16"/>
                  <w:color w:val="0000FF"/>
                </w:rPr>
                <w:t>Omnibus Incentive Plan”)</w:t>
              </w:r>
            </w:hyperlink>
          </w:p>
        </w:tc>
        <w:tc>
          <w:tcPr>
            <w:tcW w:w="21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10.13A</w:t>
            </w:r>
          </w:p>
        </w:tc>
        <w:tc>
          <w:tcPr>
            <w:tcW w:w="20" w:type="dxa"/>
            <w:vAlign w:val="bottom"/>
          </w:tcPr>
          <w:p>
            <w:pPr>
              <w:spacing w:after="0"/>
              <w:rPr>
                <w:sz w:val="17"/>
                <w:szCs w:val="17"/>
                <w:color w:val="auto"/>
              </w:rPr>
            </w:pPr>
          </w:p>
        </w:tc>
        <w:tc>
          <w:tcPr>
            <w:tcW w:w="7080" w:type="dxa"/>
            <w:vAlign w:val="bottom"/>
            <w:tcBorders>
              <w:bottom w:val="single" w:sz="8" w:color="0000FF"/>
            </w:tcBorders>
            <w:gridSpan w:val="35"/>
          </w:tcPr>
          <w:p>
            <w:pPr>
              <w:spacing w:after="0"/>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Form of Non-Qualified Stock Option Award Agreement under the Registrant’s 2022 Omnibus Incentive Plan</w:t>
              </w:r>
            </w:hyperlink>
          </w:p>
        </w:tc>
        <w:tc>
          <w:tcPr>
            <w:tcW w:w="1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10.13B</w:t>
            </w:r>
          </w:p>
        </w:tc>
        <w:tc>
          <w:tcPr>
            <w:tcW w:w="20" w:type="dxa"/>
            <w:vAlign w:val="bottom"/>
          </w:tcPr>
          <w:p>
            <w:pPr>
              <w:spacing w:after="0"/>
              <w:rPr>
                <w:sz w:val="17"/>
                <w:szCs w:val="17"/>
                <w:color w:val="auto"/>
              </w:rPr>
            </w:pPr>
          </w:p>
        </w:tc>
        <w:tc>
          <w:tcPr>
            <w:tcW w:w="8200" w:type="dxa"/>
            <w:vAlign w:val="bottom"/>
            <w:gridSpan w:val="41"/>
          </w:tcPr>
          <w:p>
            <w:pPr>
              <w:spacing w:after="0"/>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Form of Restricted Stock Award Agreement for Employees under the Registrant’s 2022 Omnibus Incentive Plan</w:t>
              </w:r>
            </w:hyperlink>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10.13C</w:t>
            </w:r>
          </w:p>
        </w:tc>
        <w:tc>
          <w:tcPr>
            <w:tcW w:w="20" w:type="dxa"/>
            <w:vAlign w:val="bottom"/>
          </w:tcPr>
          <w:p>
            <w:pPr>
              <w:spacing w:after="0"/>
              <w:rPr>
                <w:sz w:val="17"/>
                <w:szCs w:val="17"/>
                <w:color w:val="auto"/>
              </w:rPr>
            </w:pPr>
          </w:p>
        </w:tc>
        <w:tc>
          <w:tcPr>
            <w:tcW w:w="7280" w:type="dxa"/>
            <w:vAlign w:val="bottom"/>
            <w:tcBorders>
              <w:top w:val="single" w:sz="8" w:color="0000FF"/>
            </w:tcBorders>
            <w:gridSpan w:val="37"/>
          </w:tcPr>
          <w:p>
            <w:pPr>
              <w:spacing w:after="0"/>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Form of Restricted Stock Award Agreement for Directors under the Registrant’s 2022 Omnibus Incentive Plan</w:t>
              </w:r>
            </w:hyperlink>
          </w:p>
        </w:tc>
        <w:tc>
          <w:tcPr>
            <w:tcW w:w="9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00" w:type="dxa"/>
            <w:vAlign w:val="bottom"/>
            <w:tcBorders>
              <w:top w:val="single" w:sz="8" w:color="0000FF"/>
              <w:bottom w:val="single" w:sz="8" w:color="0000FF"/>
            </w:tcBorders>
            <w:gridSpan w:val="33"/>
          </w:tcPr>
          <w:p>
            <w:pPr>
              <w:spacing w:after="0"/>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Change in Control Severance Agreement between HomeTrust Bancshares, Inc. and Marty Caywood</w:t>
              </w:r>
            </w:hyperlink>
          </w:p>
        </w:tc>
        <w:tc>
          <w:tcPr>
            <w:tcW w:w="700" w:type="dxa"/>
            <w:vAlign w:val="bottom"/>
            <w:tcBorders>
              <w:top w:val="single" w:sz="8" w:color="0000FF"/>
            </w:tcBorders>
            <w:gridSpan w:val="3"/>
          </w:tcPr>
          <w:p>
            <w:pPr>
              <w:spacing w:after="0"/>
              <w:rPr>
                <w:sz w:val="17"/>
                <w:szCs w:val="17"/>
                <w:color w:val="auto"/>
              </w:rPr>
            </w:pPr>
          </w:p>
        </w:tc>
        <w:tc>
          <w:tcPr>
            <w:tcW w:w="10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line="253" w:lineRule="auto"/>
        <w:rPr>
          <w:sz w:val="20"/>
          <w:szCs w:val="20"/>
          <w:color w:val="auto"/>
        </w:rPr>
      </w:pPr>
      <w:r>
        <w:rPr>
          <w:rFonts w:ascii="Times New Roman" w:cs="Times New Roman" w:eastAsia="Times New Roman" w:hAnsi="Times New Roman"/>
          <w:sz w:val="15"/>
          <w:szCs w:val="15"/>
          <w:b w:val="1"/>
          <w:bCs w:val="1"/>
          <w:color w:val="auto"/>
        </w:rPr>
        <w:t>Reference to Prior Filing or Exhibit #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-1270</wp:posOffset>
            </wp:positionV>
            <wp:extent cx="11055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(h)</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(o)</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(g)</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(a)</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(l)</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(r)</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(j)</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(k)</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(k)</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(k)</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(k)</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(k)</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(q)</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(u)</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(u)</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(u)</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(c)</w:t>
      </w:r>
    </w:p>
    <w:p>
      <w:pPr>
        <w:sectPr>
          <w:pgSz w:w="11900" w:h="16838" w:orient="portrait"/>
          <w:cols w:equalWidth="0" w:num="2">
            <w:col w:w="9400" w:space="340"/>
            <w:col w:w="1260"/>
          </w:cols>
          <w:pgMar w:left="320" w:top="934" w:right="57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Regulation</w:t>
            </w: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Reference to Prior</w:t>
            </w:r>
          </w:p>
        </w:tc>
        <w:tc>
          <w:tcPr>
            <w:tcW w:w="0" w:type="dxa"/>
            <w:vAlign w:val="bottom"/>
          </w:tcPr>
          <w:p>
            <w:pPr>
              <w:spacing w:after="0"/>
              <w:rPr>
                <w:sz w:val="1"/>
                <w:szCs w:val="1"/>
                <w:color w:val="auto"/>
              </w:rPr>
            </w:pPr>
          </w:p>
        </w:tc>
      </w:tr>
      <w:tr>
        <w:trPr>
          <w:trHeight w:val="162"/>
        </w:trPr>
        <w:tc>
          <w:tcPr>
            <w:tcW w:w="1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740" w:type="dxa"/>
            <w:vAlign w:val="bottom"/>
            <w:gridSpan w:val="14"/>
            <w:vMerge w:val="restart"/>
          </w:tcPr>
          <w:p>
            <w:pPr>
              <w:ind w:left="2280"/>
              <w:spacing w:after="0"/>
              <w:rPr>
                <w:sz w:val="20"/>
                <w:szCs w:val="20"/>
                <w:color w:val="auto"/>
              </w:rPr>
            </w:pPr>
            <w:r>
              <w:rPr>
                <w:rFonts w:ascii="Times New Roman" w:cs="Times New Roman" w:eastAsia="Times New Roman" w:hAnsi="Times New Roman"/>
                <w:sz w:val="16"/>
                <w:szCs w:val="16"/>
                <w:b w:val="1"/>
                <w:bCs w:val="1"/>
                <w:color w:val="auto"/>
              </w:rPr>
              <w:t>Document</w:t>
            </w:r>
          </w:p>
        </w:tc>
        <w:tc>
          <w:tcPr>
            <w:tcW w:w="100" w:type="dxa"/>
            <w:vAlign w:val="bottom"/>
            <w:vMerge w:val="restart"/>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Filing or Exhibit #</w:t>
            </w:r>
          </w:p>
        </w:tc>
        <w:tc>
          <w:tcPr>
            <w:tcW w:w="0" w:type="dxa"/>
            <w:vAlign w:val="bottom"/>
          </w:tcPr>
          <w:p>
            <w:pPr>
              <w:spacing w:after="0"/>
              <w:rPr>
                <w:sz w:val="1"/>
                <w:szCs w:val="1"/>
                <w:color w:val="auto"/>
              </w:rPr>
            </w:pPr>
          </w:p>
        </w:tc>
      </w:tr>
      <w:tr>
        <w:trPr>
          <w:trHeight w:val="214"/>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S-K Exhibit #</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6740" w:type="dxa"/>
            <w:vAlign w:val="bottom"/>
            <w:tcBorders>
              <w:bottom w:val="single" w:sz="8" w:color="auto"/>
            </w:tcBorders>
            <w:gridSpan w:val="14"/>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Attached Hereto</w:t>
            </w:r>
          </w:p>
        </w:tc>
        <w:tc>
          <w:tcPr>
            <w:tcW w:w="0" w:type="dxa"/>
            <w:vAlign w:val="bottom"/>
          </w:tcPr>
          <w:p>
            <w:pPr>
              <w:spacing w:after="0"/>
              <w:rPr>
                <w:sz w:val="1"/>
                <w:szCs w:val="1"/>
                <w:color w:val="auto"/>
              </w:rPr>
            </w:pPr>
          </w:p>
        </w:tc>
      </w:tr>
      <w:tr>
        <w:trPr>
          <w:trHeight w:val="211"/>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10.14A</w:t>
            </w:r>
          </w:p>
        </w:tc>
        <w:tc>
          <w:tcPr>
            <w:tcW w:w="20" w:type="dxa"/>
            <w:vAlign w:val="bottom"/>
          </w:tcPr>
          <w:p>
            <w:pPr>
              <w:spacing w:after="0"/>
              <w:rPr>
                <w:sz w:val="18"/>
                <w:szCs w:val="18"/>
                <w:color w:val="auto"/>
              </w:rPr>
            </w:pPr>
          </w:p>
        </w:tc>
        <w:tc>
          <w:tcPr>
            <w:tcW w:w="8300" w:type="dxa"/>
            <w:vAlign w:val="bottom"/>
            <w:gridSpan w:val="16"/>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Amendment No. 1 to Change in Control Severance Agreement between HomeTrust Bancshares, Inc. and Marty Caywood</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8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Amended and Restated Change in Control Severance Agreement between HomeTrust Bancshares, Inc. and Keith J. Houghton</w:t>
              </w:r>
            </w:hyperlink>
          </w:p>
        </w:tc>
        <w:tc>
          <w:tcPr>
            <w:tcW w:w="120" w:type="dxa"/>
            <w:vAlign w:val="bottom"/>
            <w:gridSpan w:val="2"/>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(g)</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10.15A</w:t>
            </w:r>
          </w:p>
        </w:tc>
        <w:tc>
          <w:tcPr>
            <w:tcW w:w="20" w:type="dxa"/>
            <w:vAlign w:val="bottom"/>
          </w:tcPr>
          <w:p>
            <w:pPr>
              <w:spacing w:after="0"/>
              <w:rPr>
                <w:sz w:val="17"/>
                <w:szCs w:val="17"/>
                <w:color w:val="auto"/>
              </w:rPr>
            </w:pPr>
          </w:p>
        </w:tc>
        <w:tc>
          <w:tcPr>
            <w:tcW w:w="8300" w:type="dxa"/>
            <w:vAlign w:val="bottom"/>
            <w:gridSpan w:val="16"/>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Amendment No. 1 to Amended and Restated Change in Control Severance Agreement between HomeTrust Bancshares, Inc.</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8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and Keith J. Houghton</w:t>
              </w:r>
            </w:hyperlink>
          </w:p>
        </w:tc>
        <w:tc>
          <w:tcPr>
            <w:tcW w:w="8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6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Amended and Restated Change in Control Severance Agreement between HomeTrust Bancshares, Inc. and John Sprink</w:t>
              </w:r>
            </w:hyperlink>
          </w:p>
        </w:tc>
        <w:tc>
          <w:tcPr>
            <w:tcW w:w="540" w:type="dxa"/>
            <w:vAlign w:val="bottom"/>
            <w:gridSpan w:val="7"/>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8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Change in Control Severance Agreement between HomeTrust Bancshares, Inc. and Kristin Powell</w:t>
              </w:r>
            </w:hyperlink>
          </w:p>
        </w:tc>
        <w:tc>
          <w:tcPr>
            <w:tcW w:w="1920" w:type="dxa"/>
            <w:vAlign w:val="bottom"/>
            <w:gridSpan w:val="11"/>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w:t>
            </w:r>
          </w:p>
        </w:tc>
        <w:tc>
          <w:tcPr>
            <w:tcW w:w="0" w:type="dxa"/>
            <w:vAlign w:val="bottom"/>
          </w:tcPr>
          <w:p>
            <w:pPr>
              <w:spacing w:after="0"/>
              <w:rPr>
                <w:sz w:val="1"/>
                <w:szCs w:val="1"/>
                <w:color w:val="auto"/>
              </w:rPr>
            </w:pPr>
          </w:p>
        </w:tc>
      </w:tr>
      <w:tr>
        <w:trPr>
          <w:trHeight w:val="19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10.17A</w:t>
            </w:r>
          </w:p>
        </w:tc>
        <w:tc>
          <w:tcPr>
            <w:tcW w:w="20" w:type="dxa"/>
            <w:vAlign w:val="bottom"/>
          </w:tcPr>
          <w:p>
            <w:pPr>
              <w:spacing w:after="0"/>
              <w:rPr>
                <w:sz w:val="17"/>
                <w:szCs w:val="17"/>
                <w:color w:val="auto"/>
              </w:rPr>
            </w:pPr>
          </w:p>
        </w:tc>
        <w:tc>
          <w:tcPr>
            <w:tcW w:w="8300" w:type="dxa"/>
            <w:vAlign w:val="bottom"/>
            <w:gridSpan w:val="16"/>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Amendment No. 1 to Change in Control Severance Agreement between HomeTrust Bancshares, Inc. and Kristin Powell</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80" w:type="dxa"/>
            <w:vAlign w:val="bottom"/>
            <w:tcBorders>
              <w:top w:val="single" w:sz="8" w:color="0000FF"/>
            </w:tcBorders>
            <w:gridSpan w:val="10"/>
          </w:tcPr>
          <w:p>
            <w:pPr>
              <w:spacing w:after="0"/>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Change in Control Severance Agreement between HomeTrust Bancshares, Inc. and Megan Pelletier</w:t>
              </w:r>
            </w:hyperlink>
          </w:p>
        </w:tc>
        <w:tc>
          <w:tcPr>
            <w:tcW w:w="520" w:type="dxa"/>
            <w:vAlign w:val="bottom"/>
            <w:gridSpan w:val="6"/>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60" w:type="dxa"/>
            <w:vAlign w:val="bottom"/>
            <w:tcBorders>
              <w:top w:val="single" w:sz="8" w:color="0000FF"/>
            </w:tcBorders>
            <w:gridSpan w:val="6"/>
          </w:tcPr>
          <w:p>
            <w:pPr>
              <w:spacing w:after="0"/>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Change in Control Severance Agreement between HomeTrust Bancshares, Inc. and Lora Jex</w:t>
              </w:r>
            </w:hyperlink>
          </w:p>
        </w:tc>
        <w:tc>
          <w:tcPr>
            <w:tcW w:w="1840" w:type="dxa"/>
            <w:vAlign w:val="bottom"/>
            <w:gridSpan w:val="10"/>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(p)</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Securities Exchange Act Rules 13a-14(a) and 15d-14(a) as adopted</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3900" w:type="dxa"/>
            <w:vAlign w:val="bottom"/>
            <w:tcBorders>
              <w:top w:val="single" w:sz="8" w:color="0000FF"/>
            </w:tcBorders>
            <w:gridSpan w:val="6"/>
          </w:tcPr>
          <w:p>
            <w:pPr>
              <w:spacing w:after="0"/>
              <w:rPr>
                <w:sz w:val="12"/>
                <w:szCs w:val="12"/>
                <w:color w:val="auto"/>
              </w:rPr>
            </w:pPr>
          </w:p>
        </w:tc>
        <w:tc>
          <w:tcPr>
            <w:tcW w:w="420" w:type="dxa"/>
            <w:vAlign w:val="bottom"/>
            <w:gridSpan w:val="5"/>
          </w:tcPr>
          <w:p>
            <w:pPr>
              <w:spacing w:after="0"/>
              <w:rPr>
                <w:sz w:val="12"/>
                <w:szCs w:val="12"/>
                <w:color w:val="auto"/>
              </w:rPr>
            </w:pPr>
          </w:p>
        </w:tc>
        <w:tc>
          <w:tcPr>
            <w:tcW w:w="140" w:type="dxa"/>
            <w:vAlign w:val="bottom"/>
            <w:gridSpan w:val="3"/>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Securities Exchange Act Rules 13a-14(a) and 15d-14(a) as adopted</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3860" w:type="dxa"/>
            <w:vAlign w:val="bottom"/>
            <w:tcBorders>
              <w:top w:val="single" w:sz="8" w:color="0000FF"/>
            </w:tcBorders>
            <w:gridSpan w:val="5"/>
          </w:tcPr>
          <w:p>
            <w:pPr>
              <w:spacing w:after="0"/>
              <w:rPr>
                <w:sz w:val="12"/>
                <w:szCs w:val="12"/>
                <w:color w:val="auto"/>
              </w:rPr>
            </w:pPr>
          </w:p>
        </w:tc>
        <w:tc>
          <w:tcPr>
            <w:tcW w:w="460" w:type="dxa"/>
            <w:vAlign w:val="bottom"/>
            <w:gridSpan w:val="6"/>
          </w:tcPr>
          <w:p>
            <w:pPr>
              <w:spacing w:after="0"/>
              <w:rPr>
                <w:sz w:val="12"/>
                <w:szCs w:val="12"/>
                <w:color w:val="auto"/>
              </w:rPr>
            </w:pPr>
          </w:p>
        </w:tc>
        <w:tc>
          <w:tcPr>
            <w:tcW w:w="140" w:type="dxa"/>
            <w:vAlign w:val="bottom"/>
            <w:gridSpan w:val="3"/>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Certificate of Chief Executive Officer and Chief Financial Officer pursuant to Section 906 of the Sarbanes-Oxley Act of 2002</w:t>
            </w:r>
          </w:p>
        </w:tc>
        <w:tc>
          <w:tcPr>
            <w:tcW w:w="140" w:type="dxa"/>
            <w:vAlign w:val="bottom"/>
            <w:gridSpan w:val="3"/>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Policy Relating to Recovery of Erroneously Awarded Compensation</w:t>
              </w:r>
            </w:hyperlink>
          </w:p>
        </w:tc>
        <w:tc>
          <w:tcPr>
            <w:tcW w:w="3860" w:type="dxa"/>
            <w:vAlign w:val="bottom"/>
            <w:gridSpan w:val="13"/>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183"/>
        </w:trPr>
        <w:tc>
          <w:tcPr>
            <w:tcW w:w="10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auto"/>
              </w:rPr>
              <w:t>The following materials from HomeTrust Bancshares’ Transition Report on Form 10-KT for the six-month transition period</w:t>
            </w:r>
          </w:p>
        </w:tc>
        <w:tc>
          <w:tcPr>
            <w:tcW w:w="17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gridSpan w:val="16"/>
          </w:tcPr>
          <w:p>
            <w:pPr>
              <w:spacing w:after="0" w:line="180" w:lineRule="exact"/>
              <w:rPr>
                <w:sz w:val="20"/>
                <w:szCs w:val="20"/>
                <w:color w:val="auto"/>
              </w:rPr>
            </w:pPr>
            <w:r>
              <w:rPr>
                <w:rFonts w:ascii="Times New Roman" w:cs="Times New Roman" w:eastAsia="Times New Roman" w:hAnsi="Times New Roman"/>
                <w:sz w:val="16"/>
                <w:szCs w:val="16"/>
                <w:color w:val="auto"/>
              </w:rPr>
              <w:t>ended December 31, 2023, formatted in Extensible Business Reporting Language (XBRL): (a) Consolidated Balance Sheets;</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200" w:right="1900"/>
        <w:spacing w:after="0" w:line="224" w:lineRule="auto"/>
        <w:tabs>
          <w:tab w:leader="none" w:pos="1429"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Statements of Income; (c) Consolidated Statements of Comprehensive Income; (d) Consolidated Statements of Changes in Stockholders' Equity; (e) Consolidated Statements of Cash Flows; and (f) Notes to Consolidated Financial Statements.</w:t>
      </w:r>
    </w:p>
    <w:p>
      <w:pPr>
        <w:spacing w:after="0" w:line="132"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Annual Report on Form 10-K for the fiscal year ended June 30, 2022 (File No. 001-35593).</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September 25, 2018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March 31, 2019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Registration Statement on Form S-1 (File No. 333-178817) filed on December 29, 2011.</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May 24, 2022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Transition Report on Form 10-KT for the-six month transition period ended December 31, 2023 (File No. 001-35593).</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September 11, 2018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October 28, 2020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Amendment No. 1 to HomeTrust Bancshares’s Registration Statement on Form S-1 (File No. 333-178817) filed on March 9, 2012.</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Attached as Appendix A to HomeTrust Bancshares’s definitive proxy statement filed on December 5, 2012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Registration Statement on Form S-8 (File No. 333-186666) filed on February 13, 2013.</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February 15, 2022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March 31, 2022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Annual Report on Form 10-K for the fiscal year ended June 30, 2014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July 28, 2021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September 30, 2023 (File No. 001-35593).</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Attached as Appendix A to HomeTrust Bancshares’s definitive proxy statement filed on October 3, 2022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September 30, 2022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Annual Report on Form 10-K for the fiscal year ended June 30, 2023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August 28, 2023 (File No. 001-35593).</w:t>
      </w:r>
    </w:p>
    <w:p>
      <w:pPr>
        <w:spacing w:after="0" w:line="6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Registration Statement on Form S-8 (File No. 333-186666) filed on February 6, 2023.</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0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8200" w:type="dxa"/>
            <w:vAlign w:val="bottom"/>
            <w:gridSpan w:val="2"/>
          </w:tcPr>
          <w:p>
            <w:pPr>
              <w:ind w:left="1780"/>
              <w:spacing w:after="0"/>
              <w:rPr>
                <w:sz w:val="20"/>
                <w:szCs w:val="20"/>
                <w:color w:val="auto"/>
              </w:rPr>
            </w:pPr>
            <w:r>
              <w:rPr>
                <w:rFonts w:ascii="Times New Roman" w:cs="Times New Roman" w:eastAsia="Times New Roman" w:hAnsi="Times New Roman"/>
                <w:sz w:val="16"/>
                <w:szCs w:val="16"/>
                <w:b w:val="1"/>
                <w:bCs w:val="1"/>
                <w:color w:val="auto"/>
              </w:rPr>
              <w:t>HOMETRUST BANCSHARES, INC.</w:t>
            </w:r>
          </w:p>
        </w:tc>
      </w:tr>
      <w:tr>
        <w:trPr>
          <w:trHeight w:val="313"/>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Date: May 8, 2024</w:t>
            </w:r>
          </w:p>
        </w:tc>
        <w:tc>
          <w:tcPr>
            <w:tcW w:w="260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 Hunter Westbrook</w:t>
            </w:r>
          </w:p>
        </w:tc>
      </w:tr>
      <w:tr>
        <w:trPr>
          <w:trHeight w:val="207"/>
        </w:trPr>
        <w:tc>
          <w:tcPr>
            <w:tcW w:w="30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 Hunter Westbrook</w:t>
            </w:r>
          </w:p>
        </w:tc>
      </w:tr>
      <w:tr>
        <w:trPr>
          <w:trHeight w:val="216"/>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16"/>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(Duly Authorized Officer)</w:t>
            </w:r>
          </w:p>
        </w:tc>
      </w:tr>
      <w:tr>
        <w:trPr>
          <w:trHeight w:val="313"/>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Date: May 8, 2024</w:t>
            </w:r>
          </w:p>
        </w:tc>
        <w:tc>
          <w:tcPr>
            <w:tcW w:w="260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Tony J. VunCannon</w:t>
            </w:r>
          </w:p>
        </w:tc>
      </w:tr>
      <w:tr>
        <w:trPr>
          <w:trHeight w:val="207"/>
        </w:trPr>
        <w:tc>
          <w:tcPr>
            <w:tcW w:w="30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Tony J. VunCannon</w:t>
            </w:r>
          </w:p>
        </w:tc>
      </w:tr>
      <w:tr>
        <w:trPr>
          <w:trHeight w:val="216"/>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CFO, Corporate Secretary and Treasurer</w:t>
            </w:r>
          </w:p>
        </w:tc>
      </w:tr>
      <w:tr>
        <w:trPr>
          <w:trHeight w:val="216"/>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89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 CERTIFICATION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C. Hunter Westbrook, certify that:</w:t>
      </w:r>
    </w:p>
    <w:p>
      <w:pPr>
        <w:spacing w:after="0" w:line="167"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HomeTrust Bancshares, Inc. (the "Company");</w:t>
      </w:r>
    </w:p>
    <w:p>
      <w:pPr>
        <w:spacing w:after="0" w:line="180" w:lineRule="exact"/>
        <w:rPr>
          <w:rFonts w:ascii="Times New Roman" w:cs="Times New Roman" w:eastAsia="Times New Roman" w:hAnsi="Times New Roman"/>
          <w:sz w:val="16"/>
          <w:szCs w:val="16"/>
          <w:color w:val="auto"/>
        </w:rPr>
      </w:pPr>
    </w:p>
    <w:p>
      <w:pPr>
        <w:ind w:left="660" w:hanging="652"/>
        <w:spacing w:after="0" w:line="280"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6"/>
          <w:szCs w:val="16"/>
          <w:color w:val="auto"/>
        </w:rPr>
      </w:pPr>
    </w:p>
    <w:p>
      <w:pPr>
        <w:ind w:left="660" w:hanging="652"/>
        <w:spacing w:after="0" w:line="298"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6" w:lineRule="exact"/>
        <w:rPr>
          <w:rFonts w:ascii="Times New Roman" w:cs="Times New Roman" w:eastAsia="Times New Roman" w:hAnsi="Times New Roman"/>
          <w:sz w:val="16"/>
          <w:szCs w:val="16"/>
          <w:color w:val="auto"/>
        </w:rPr>
      </w:pPr>
    </w:p>
    <w:p>
      <w:pPr>
        <w:ind w:left="660" w:right="20" w:hanging="652"/>
        <w:spacing w:after="0" w:line="298"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for the Company and have:</w:t>
      </w:r>
    </w:p>
    <w:p>
      <w:pPr>
        <w:spacing w:after="0" w:line="9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3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4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6"/>
          <w:szCs w:val="16"/>
          <w:color w:val="auto"/>
        </w:rPr>
      </w:pPr>
    </w:p>
    <w:p>
      <w:pPr>
        <w:ind w:left="1140" w:hanging="322"/>
        <w:spacing w:after="0" w:line="298" w:lineRule="auto"/>
        <w:tabs>
          <w:tab w:leader="none" w:pos="113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spacing w:after="0" w:line="96" w:lineRule="exact"/>
        <w:rPr>
          <w:rFonts w:ascii="Times New Roman" w:cs="Times New Roman" w:eastAsia="Times New Roman" w:hAnsi="Times New Roman"/>
          <w:sz w:val="16"/>
          <w:szCs w:val="16"/>
          <w:color w:val="auto"/>
        </w:rPr>
      </w:pPr>
    </w:p>
    <w:p>
      <w:pPr>
        <w:ind w:left="1140" w:hanging="322"/>
        <w:spacing w:after="0" w:line="280" w:lineRule="auto"/>
        <w:tabs>
          <w:tab w:leader="none" w:pos="114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24" w:lineRule="exact"/>
        <w:rPr>
          <w:rFonts w:ascii="Times New Roman" w:cs="Times New Roman" w:eastAsia="Times New Roman" w:hAnsi="Times New Roman"/>
          <w:sz w:val="16"/>
          <w:szCs w:val="16"/>
          <w:color w:val="auto"/>
        </w:rPr>
      </w:pPr>
    </w:p>
    <w:p>
      <w:pPr>
        <w:ind w:left="660" w:right="20" w:hanging="652"/>
        <w:spacing w:after="0" w:line="280"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4" w:lineRule="exact"/>
        <w:rPr>
          <w:rFonts w:ascii="Times New Roman" w:cs="Times New Roman" w:eastAsia="Times New Roman" w:hAnsi="Times New Roman"/>
          <w:sz w:val="16"/>
          <w:szCs w:val="16"/>
          <w:color w:val="auto"/>
        </w:rPr>
      </w:pPr>
    </w:p>
    <w:p>
      <w:pPr>
        <w:ind w:left="1140" w:right="20" w:hanging="322"/>
        <w:spacing w:after="0" w:line="280" w:lineRule="auto"/>
        <w:tabs>
          <w:tab w:leader="none" w:pos="113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140" w:hanging="322"/>
        <w:spacing w:after="0" w:line="298" w:lineRule="auto"/>
        <w:tabs>
          <w:tab w:leader="none" w:pos="114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37" w:lineRule="exact"/>
        <w:rPr>
          <w:sz w:val="20"/>
          <w:szCs w:val="20"/>
          <w:color w:val="auto"/>
        </w:rPr>
      </w:pPr>
    </w:p>
    <w:p>
      <w:pPr>
        <w:ind w:left="20"/>
        <w:spacing w:after="0"/>
        <w:tabs>
          <w:tab w:leader="none" w:pos="4980" w:val="left"/>
          <w:tab w:leader="none" w:pos="5960" w:val="left"/>
        </w:tabs>
        <w:rPr>
          <w:sz w:val="20"/>
          <w:szCs w:val="20"/>
          <w:color w:val="auto"/>
        </w:rPr>
      </w:pPr>
      <w:r>
        <w:rPr>
          <w:rFonts w:ascii="Times New Roman" w:cs="Times New Roman" w:eastAsia="Times New Roman" w:hAnsi="Times New Roman"/>
          <w:sz w:val="16"/>
          <w:szCs w:val="16"/>
          <w:color w:val="auto"/>
        </w:rPr>
        <w:t>May 8,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20320</wp:posOffset>
            </wp:positionV>
            <wp:extent cx="33350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3335020" cy="8890"/>
                    </a:xfrm>
                    <a:prstGeom prst="rect">
                      <a:avLst/>
                    </a:prstGeom>
                    <a:noFill/>
                  </pic:spPr>
                </pic:pic>
              </a:graphicData>
            </a:graphic>
          </wp:anchor>
        </w:drawing>
      </w:r>
    </w:p>
    <w:p>
      <w:pPr>
        <w:spacing w:after="0" w:line="2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C. Hunter Westbrook</w:t>
      </w:r>
    </w:p>
    <w:p>
      <w:pPr>
        <w:spacing w:after="0" w:line="7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ectPr>
          <w:pgSz w:w="11900" w:h="16838" w:orient="portrait"/>
          <w:cols w:equalWidth="0" w:num="1">
            <w:col w:w="11240"/>
          </w:cols>
          <w:pgMar w:left="320" w:top="89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 CERTIFICATION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Tony J. VunCannon, certify that:</w:t>
      </w:r>
    </w:p>
    <w:p>
      <w:pPr>
        <w:spacing w:after="0" w:line="167"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HomeTrust Bancshares, Inc. (the "Company");</w:t>
      </w:r>
    </w:p>
    <w:p>
      <w:pPr>
        <w:spacing w:after="0" w:line="180" w:lineRule="exact"/>
        <w:rPr>
          <w:rFonts w:ascii="Times New Roman" w:cs="Times New Roman" w:eastAsia="Times New Roman" w:hAnsi="Times New Roman"/>
          <w:sz w:val="16"/>
          <w:szCs w:val="16"/>
          <w:color w:val="auto"/>
        </w:rPr>
      </w:pPr>
    </w:p>
    <w:p>
      <w:pPr>
        <w:ind w:left="660" w:hanging="652"/>
        <w:spacing w:after="0" w:line="280"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6"/>
          <w:szCs w:val="16"/>
          <w:color w:val="auto"/>
        </w:rPr>
      </w:pPr>
    </w:p>
    <w:p>
      <w:pPr>
        <w:ind w:left="660" w:hanging="652"/>
        <w:spacing w:after="0" w:line="298"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6" w:lineRule="exact"/>
        <w:rPr>
          <w:rFonts w:ascii="Times New Roman" w:cs="Times New Roman" w:eastAsia="Times New Roman" w:hAnsi="Times New Roman"/>
          <w:sz w:val="16"/>
          <w:szCs w:val="16"/>
          <w:color w:val="auto"/>
        </w:rPr>
      </w:pPr>
    </w:p>
    <w:p>
      <w:pPr>
        <w:ind w:left="660" w:right="20" w:hanging="652"/>
        <w:spacing w:after="0" w:line="298"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for the Company and have:</w:t>
      </w:r>
    </w:p>
    <w:p>
      <w:pPr>
        <w:spacing w:after="0" w:line="9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31"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4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6"/>
          <w:szCs w:val="16"/>
          <w:color w:val="auto"/>
        </w:rPr>
      </w:pPr>
    </w:p>
    <w:p>
      <w:pPr>
        <w:ind w:left="1140" w:hanging="322"/>
        <w:spacing w:after="0" w:line="298" w:lineRule="auto"/>
        <w:tabs>
          <w:tab w:leader="none" w:pos="1131"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spacing w:after="0" w:line="96" w:lineRule="exact"/>
        <w:rPr>
          <w:rFonts w:ascii="Times New Roman" w:cs="Times New Roman" w:eastAsia="Times New Roman" w:hAnsi="Times New Roman"/>
          <w:sz w:val="16"/>
          <w:szCs w:val="16"/>
          <w:color w:val="auto"/>
        </w:rPr>
      </w:pPr>
    </w:p>
    <w:p>
      <w:pPr>
        <w:ind w:left="1140" w:hanging="322"/>
        <w:spacing w:after="0" w:line="280" w:lineRule="auto"/>
        <w:tabs>
          <w:tab w:leader="none" w:pos="114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24" w:lineRule="exact"/>
        <w:rPr>
          <w:rFonts w:ascii="Times New Roman" w:cs="Times New Roman" w:eastAsia="Times New Roman" w:hAnsi="Times New Roman"/>
          <w:sz w:val="16"/>
          <w:szCs w:val="16"/>
          <w:color w:val="auto"/>
        </w:rPr>
      </w:pPr>
    </w:p>
    <w:p>
      <w:pPr>
        <w:ind w:left="660" w:right="20" w:hanging="652"/>
        <w:spacing w:after="0" w:line="280"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4" w:lineRule="exact"/>
        <w:rPr>
          <w:rFonts w:ascii="Times New Roman" w:cs="Times New Roman" w:eastAsia="Times New Roman" w:hAnsi="Times New Roman"/>
          <w:sz w:val="16"/>
          <w:szCs w:val="16"/>
          <w:color w:val="auto"/>
        </w:rPr>
      </w:pPr>
    </w:p>
    <w:p>
      <w:pPr>
        <w:ind w:left="1140" w:right="20" w:hanging="322"/>
        <w:spacing w:after="0" w:line="280" w:lineRule="auto"/>
        <w:tabs>
          <w:tab w:leader="none" w:pos="1131"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140" w:hanging="322"/>
        <w:spacing w:after="0" w:line="298" w:lineRule="auto"/>
        <w:tabs>
          <w:tab w:leader="none" w:pos="114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37" w:lineRule="exact"/>
        <w:rPr>
          <w:sz w:val="20"/>
          <w:szCs w:val="20"/>
          <w:color w:val="auto"/>
        </w:rPr>
      </w:pPr>
    </w:p>
    <w:p>
      <w:pPr>
        <w:ind w:left="20"/>
        <w:spacing w:after="0"/>
        <w:tabs>
          <w:tab w:leader="none" w:pos="4980" w:val="left"/>
          <w:tab w:leader="none" w:pos="5960" w:val="left"/>
        </w:tabs>
        <w:rPr>
          <w:sz w:val="20"/>
          <w:szCs w:val="20"/>
          <w:color w:val="auto"/>
        </w:rPr>
      </w:pPr>
      <w:r>
        <w:rPr>
          <w:rFonts w:ascii="Times New Roman" w:cs="Times New Roman" w:eastAsia="Times New Roman" w:hAnsi="Times New Roman"/>
          <w:sz w:val="16"/>
          <w:szCs w:val="16"/>
          <w:color w:val="auto"/>
        </w:rPr>
        <w:t>May 8,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20320</wp:posOffset>
            </wp:positionV>
            <wp:extent cx="33350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3335020" cy="8890"/>
                    </a:xfrm>
                    <a:prstGeom prst="rect">
                      <a:avLst/>
                    </a:prstGeom>
                    <a:noFill/>
                  </pic:spPr>
                </pic:pic>
              </a:graphicData>
            </a:graphic>
          </wp:anchor>
        </w:drawing>
      </w:r>
    </w:p>
    <w:p>
      <w:pPr>
        <w:spacing w:after="0" w:line="2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Tony J. VunCannon</w:t>
      </w:r>
    </w:p>
    <w:p>
      <w:pPr>
        <w:spacing w:after="0" w:line="7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Executive Vice President, CFO, and Treasurer</w:t>
      </w:r>
    </w:p>
    <w:p>
      <w:pPr>
        <w:sectPr>
          <w:pgSz w:w="11900" w:h="16838" w:orient="portrait"/>
          <w:cols w:equalWidth="0" w:num="1">
            <w:col w:w="11240"/>
          </w:cols>
          <w:pgMar w:left="320" w:top="89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1350 CERTIFICATION</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Each of the undersigned hereby certifies in his capacity as an officer of HomeTrust Bancshares, Inc. (the "Company") that the Quarterly Report of the Company on Form 10-Q for the period ended March 31, 2024, fully complies with the requirements of Section 13(a) of the Securities and Exchange Act of 1934, as amended, and that the information contained in such report fairly presents, in all material respects, the financial condition and results of operations of the Company as of the dates and periods presented in the financial statements included in such report.</w:t>
      </w:r>
    </w:p>
    <w:p>
      <w:pPr>
        <w:spacing w:after="0" w:line="166" w:lineRule="exact"/>
        <w:rPr>
          <w:sz w:val="20"/>
          <w:szCs w:val="20"/>
          <w:color w:val="auto"/>
        </w:rPr>
      </w:pPr>
    </w:p>
    <w:p>
      <w:pPr>
        <w:ind w:left="20"/>
        <w:spacing w:after="0"/>
        <w:tabs>
          <w:tab w:leader="none" w:pos="4320" w:val="left"/>
          <w:tab w:leader="none" w:pos="5440" w:val="left"/>
        </w:tabs>
        <w:rPr>
          <w:sz w:val="20"/>
          <w:szCs w:val="20"/>
          <w:color w:val="auto"/>
        </w:rPr>
      </w:pPr>
      <w:r>
        <w:rPr>
          <w:rFonts w:ascii="Times New Roman" w:cs="Times New Roman" w:eastAsia="Times New Roman" w:hAnsi="Times New Roman"/>
          <w:sz w:val="16"/>
          <w:szCs w:val="16"/>
          <w:color w:val="auto"/>
        </w:rPr>
        <w:t>May 8,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20320</wp:posOffset>
            </wp:positionV>
            <wp:extent cx="36690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C. Hunter Westbrook</w:t>
      </w:r>
    </w:p>
    <w:p>
      <w:pPr>
        <w:spacing w:after="0" w:line="7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4320" w:val="left"/>
          <w:tab w:leader="none" w:pos="5440" w:val="left"/>
        </w:tabs>
        <w:rPr>
          <w:sz w:val="20"/>
          <w:szCs w:val="20"/>
          <w:color w:val="auto"/>
        </w:rPr>
      </w:pPr>
      <w:r>
        <w:rPr>
          <w:rFonts w:ascii="Times New Roman" w:cs="Times New Roman" w:eastAsia="Times New Roman" w:hAnsi="Times New Roman"/>
          <w:sz w:val="16"/>
          <w:szCs w:val="16"/>
          <w:color w:val="auto"/>
        </w:rPr>
        <w:t>May 8,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20320</wp:posOffset>
            </wp:positionV>
            <wp:extent cx="36690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Tony J. VunCannon</w:t>
      </w:r>
    </w:p>
    <w:p>
      <w:pPr>
        <w:spacing w:after="0" w:line="7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Executive Vice President, CFO, and Treasurer</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6"/>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8"/>
    </w:lvl>
  </w:abstractNum>
  <w:abstractNum w:abstractNumId="10">
    <w:nsid w:val="436C6125"/>
    <w:multiLevelType w:val="hybridMultilevel"/>
    <w:lvl w:ilvl="0">
      <w:lvlJc w:val="left"/>
      <w:lvlText w:val="%1."/>
      <w:numFmt w:val="decimal"/>
      <w:start w:val="9"/>
    </w:lvl>
  </w:abstractNum>
  <w:abstractNum w:abstractNumId="11">
    <w:nsid w:val="628C895D"/>
    <w:multiLevelType w:val="hybridMultilevel"/>
    <w:lvl w:ilvl="0">
      <w:lvlJc w:val="left"/>
      <w:lvlText w:val="%1."/>
      <w:numFmt w:val="decimal"/>
      <w:start w:val="10"/>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1"/>
    </w:lvl>
  </w:abstractNum>
  <w:abstractNum w:abstractNumId="14">
    <w:nsid w:val="2443A858"/>
    <w:multiLevelType w:val="hybridMultilevel"/>
    <w:lvl w:ilvl="0">
      <w:lvlJc w:val="left"/>
      <w:lvlText w:val="%1."/>
      <w:numFmt w:val="decimal"/>
      <w:start w:val="12"/>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3"/>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lowerLetter"/>
      <w:start w:val="1"/>
    </w:lvl>
    <w:lvl w:ilvl="1">
      <w:lvlJc w:val="left"/>
      <w:lvlText w:val="(%2)"/>
      <w:numFmt w:val="lowerLetter"/>
      <w:start w:val="2"/>
    </w:lvl>
  </w:abstractNum>
  <w:abstractNum w:abstractNumId="27">
    <w:nsid w:val="2901D82"/>
    <w:multiLevelType w:val="hybridMultilevel"/>
    <w:lvl w:ilvl="0">
      <w:lvlJc w:val="left"/>
      <w:lvlText w:val="(%1)"/>
      <w:numFmt w:val="lowerLetter"/>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4" Type="http://schemas.openxmlformats.org/officeDocument/2006/relationships/image" Target="media/image41.png"/><Relationship Id="rId68" Type="http://schemas.openxmlformats.org/officeDocument/2006/relationships/image" Target="media/image42.png"/><Relationship Id="rId69"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48" Type="http://schemas.openxmlformats.org/officeDocument/2006/relationships/hyperlink" Target="https://www.sec.gov/Archives/edgar/data/1538263/000119312511355607/0001193125-11-355607-index.htm" TargetMode="External"/><Relationship Id="rId49" Type="http://schemas.openxmlformats.org/officeDocument/2006/relationships/hyperlink" Target="https://www.sec.gov/ix?doc=/Archives/edgar/data/1538263/000153826323000047/htbi-20230630.htm" TargetMode="External"/><Relationship Id="rId50" Type="http://schemas.openxmlformats.org/officeDocument/2006/relationships/hyperlink" Target="https://www.sec.gov/ix?doc=/Archives/edgar/data/1538263/000153826324000029/htbi-20231231.htm" TargetMode="External"/><Relationship Id="rId51" Type="http://schemas.openxmlformats.org/officeDocument/2006/relationships/hyperlink" Target="https://www.sec.gov/ix?doc=/Archives/edgar/data/0001538263/000153826322000047/htbi-20220630.htm" TargetMode="External"/><Relationship Id="rId52" Type="http://schemas.openxmlformats.org/officeDocument/2006/relationships/hyperlink" Target="https://www.sec.gov/Archives/edgar/data/1538263/000153826318000044/htbi-20180911x8k.htm" TargetMode="External"/><Relationship Id="rId53" Type="http://schemas.openxmlformats.org/officeDocument/2006/relationships/hyperlink" Target="https://www.sec.gov/Archives/edgar/data/1538263/000153826318000049/htbi-20180925x8k.htm" TargetMode="External"/><Relationship Id="rId55" Type="http://schemas.openxmlformats.org/officeDocument/2006/relationships/hyperlink" Target="https://www.sec.gov/ix?doc=/Archives/edgar/data/0001538263/000153826320000039/htbi-20201027.htm" TargetMode="External"/><Relationship Id="rId56" Type="http://schemas.openxmlformats.org/officeDocument/2006/relationships/hyperlink" Target="https://www.sec.gov/ix?doc=/Archives/edgar/data/0001538263/000153826321000053/htbi-20210726.htm" TargetMode="External"/><Relationship Id="rId57" Type="http://schemas.openxmlformats.org/officeDocument/2006/relationships/hyperlink" Target="https://www.sec.gov/ix?doc=/Archives/edgar/data/0001538263/000153826322000024/htbi-20220523.htm" TargetMode="External"/><Relationship Id="rId58" Type="http://schemas.openxmlformats.org/officeDocument/2006/relationships/hyperlink" Target="https://www.sec.gov/ix?doc=/Archives/edgar/data/0001538263/000153826322000021/htbi-20220331.htm" TargetMode="External"/><Relationship Id="rId59" Type="http://schemas.openxmlformats.org/officeDocument/2006/relationships/hyperlink" Target="https://www.sec.gov/ix?doc=/Archives/edgar/data/0001538263/000153826322000009/htbi-20220211.htm" TargetMode="External"/><Relationship Id="rId60" Type="http://schemas.openxmlformats.org/officeDocument/2006/relationships/hyperlink" Target="https://www.sec.gov/Archives/edgar/data/1538263/000119312512107294/0001193125-12-107294-index.htm" TargetMode="External"/><Relationship Id="rId61" Type="http://schemas.openxmlformats.org/officeDocument/2006/relationships/hyperlink" Target="https://www.sec.gov/Archives/edgar/data/1538263/000153826322000058/0001538263-22-000058-index.htm" TargetMode="External"/><Relationship Id="rId62" Type="http://schemas.openxmlformats.org/officeDocument/2006/relationships/hyperlink" Target="https://www.sec.gov/ix?doc=/Archives/edgar/data/0001538263/000153826323000038/htbi-20230828.htm" TargetMode="External"/><Relationship Id="rId63" Type="http://schemas.openxmlformats.org/officeDocument/2006/relationships/hyperlink" Target="https://www.sec.gov/Archives/edgar/data/1538263/000092708912000332/htbi-def14a2012.htm" TargetMode="External"/><Relationship Id="rId64" Type="http://schemas.openxmlformats.org/officeDocument/2006/relationships/hyperlink" Target="https://www.sec.gov/Archives/edgar/data/1538263/000092708913000038/0000927089-13-000038-index.htm" TargetMode="External"/><Relationship Id="rId65" Type="http://schemas.openxmlformats.org/officeDocument/2006/relationships/hyperlink" Target="https://www.sec.gov/Archives/edgar/data/1538263/000110465922104918/tm2226697d1_def14a.htm" TargetMode="External"/><Relationship Id="rId66" Type="http://schemas.openxmlformats.org/officeDocument/2006/relationships/hyperlink" Target="https://www.sec.gov/Archives/edgar/data/1538263/000110465923011174/tm235386d1_s8.htm" TargetMode="External"/><Relationship Id="rId67" Type="http://schemas.openxmlformats.org/officeDocument/2006/relationships/hyperlink" Target="https://www.sec.gov/Archives/edgar/data/1538263/000153826319000024/a2019-03x31xhtbix10q.htm" TargetMode="External"/><Relationship Id="rId70" Type="http://schemas.openxmlformats.org/officeDocument/2006/relationships/hyperlink" Target="https://www.sec.gov/ix?doc=/Archives/edgar/data/0001538263/000153826323000056/htbi-20230930.htm" TargetMode="External"/><Relationship Id="rId71" Type="http://schemas.openxmlformats.org/officeDocument/2006/relationships/hyperlink" Target="https://www.sec.gov/Archives/edgar/data/1538263/000153826324000029/hometrustbancsharesclaw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2024-05-08T15:43:50Z</dcterms:created>
  <dcterms:modified xsi:type="dcterms:W3CDTF">2024-05-08T15:43:50Z</dcterms:modified>
</cp:coreProperties>
</file>