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69" w:lineRule="exact"/>
        <w:rPr>
          <w:sz w:val="24"/>
          <w:szCs w:val="24"/>
          <w:color w:val="auto"/>
        </w:rPr>
      </w:pPr>
    </w:p>
    <w:p>
      <w:pPr>
        <w:ind w:left="4100" w:right="3340" w:hanging="4092"/>
        <w:spacing w:after="0" w:line="548" w:lineRule="auto"/>
        <w:tabs>
          <w:tab w:leader="none" w:pos="63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UNDER SECTION 13 OR 15(d) OF THE SECURITIES EXCHANGE ACT OF 1934 For the quarterly period ended March 31, 2026</w:t>
      </w:r>
    </w:p>
    <w:p>
      <w:pPr>
        <w:spacing w:after="0" w:line="37" w:lineRule="exact"/>
        <w:rPr>
          <w:sz w:val="24"/>
          <w:szCs w:val="24"/>
          <w:color w:val="auto"/>
        </w:rPr>
      </w:pPr>
    </w:p>
    <w:p>
      <w:pPr>
        <w:ind w:left="3940" w:right="3320" w:hanging="3932"/>
        <w:spacing w:after="0" w:line="562" w:lineRule="auto"/>
        <w:tabs>
          <w:tab w:leader="none" w:pos="6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UNDER SECTION 13 OR 15(d) OF THE SECURITIES EXCHANGE ACT OF 1934 For the transition period from _______ to ________</w:t>
      </w:r>
    </w:p>
    <w:p>
      <w:pPr>
        <w:ind w:left="43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001-35593</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HOMETRUST BANCSHARES,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8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5400" w:type="dxa"/>
            <w:vAlign w:val="bottom"/>
          </w:tcPr>
          <w:p>
            <w:pPr>
              <w:jc w:val="right"/>
              <w:ind w:right="2019"/>
              <w:spacing w:after="0"/>
              <w:rPr>
                <w:sz w:val="20"/>
                <w:szCs w:val="20"/>
                <w:color w:val="auto"/>
              </w:rPr>
            </w:pPr>
            <w:r>
              <w:rPr>
                <w:rFonts w:ascii="Times New Roman" w:cs="Times New Roman" w:eastAsia="Times New Roman" w:hAnsi="Times New Roman"/>
                <w:sz w:val="16"/>
                <w:szCs w:val="16"/>
                <w:b w:val="1"/>
                <w:bCs w:val="1"/>
                <w:color w:val="auto"/>
              </w:rPr>
              <w:t>45-5055422</w:t>
            </w:r>
          </w:p>
        </w:tc>
      </w:tr>
      <w:tr>
        <w:trPr>
          <w:trHeight w:val="207"/>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of organization)</w:t>
            </w:r>
          </w:p>
        </w:tc>
        <w:tc>
          <w:tcPr>
            <w:tcW w:w="440" w:type="dxa"/>
            <w:vAlign w:val="bottom"/>
          </w:tcPr>
          <w:p>
            <w:pPr>
              <w:spacing w:after="0"/>
              <w:rPr>
                <w:sz w:val="17"/>
                <w:szCs w:val="17"/>
                <w:color w:val="auto"/>
              </w:rPr>
            </w:pPr>
          </w:p>
        </w:tc>
        <w:tc>
          <w:tcPr>
            <w:tcW w:w="540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6"/>
                <w:szCs w:val="16"/>
                <w:color w:val="auto"/>
              </w:rPr>
              <w:t>(I.R.S. Employer Identification No.)</w:t>
            </w:r>
          </w:p>
        </w:tc>
      </w:tr>
    </w:tbl>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10 Woodfin Street, Asheville, North Carolina 28801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(828) 259-3939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tbl>
      <w:tblPr>
        <w:tblLayout w:type="fixed"/>
        <w:tblInd w:w="150" w:type="dxa"/>
        <w:tblCellMar>
          <w:top w:w="0" w:type="dxa"/>
          <w:left w:w="0" w:type="dxa"/>
          <w:bottom w:w="0" w:type="dxa"/>
          <w:right w:w="0" w:type="dxa"/>
        </w:tblCellMar>
      </w:tblPr>
      <w:tr>
        <w:trPr>
          <w:trHeight w:val="228"/>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HTB</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New York Stock Exchange LLC</w:t>
            </w:r>
          </w:p>
        </w:tc>
      </w:tr>
    </w:tbl>
    <w:p>
      <w:pPr>
        <w:spacing w:after="0" w:line="310"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and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w:t>
            </w:r>
          </w:p>
        </w:tc>
        <w:tc>
          <w:tcPr>
            <w:tcW w:w="320" w:type="dxa"/>
            <w:vAlign w:val="bottom"/>
            <w:vMerge w:val="restart"/>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complying with any new or revised financial accounting standards provided pursuant to Section 13(a) of the Exchange Act.</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16,805,350 shares of common stock, par value of $0.01 per share, issued and outstanding as of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HOMETRUST BANCSHARES,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9"/>
        </w:trPr>
        <w:tc>
          <w:tcPr>
            <w:tcW w:w="1040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04"/>
        </w:trPr>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6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768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Balance Sheets at March 31, 2026 (Unaudited) and December 31, 2025</w:t>
            </w:r>
          </w:p>
        </w:tc>
        <w:tc>
          <w:tcPr>
            <w:tcW w:w="3840" w:type="dxa"/>
            <w:vAlign w:val="bottom"/>
            <w:gridSpan w:val="6"/>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Income (Unaudited) for the Three Months Ended March 31, 2026 and 2025</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4</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for the Three Months Ended March 31, 2026 and 2025</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5</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Equity (Unaudited) for the Three Months Ended March 31, 2026 and 2025</w:t>
            </w:r>
          </w:p>
        </w:tc>
        <w:tc>
          <w:tcPr>
            <w:tcW w:w="1020" w:type="dxa"/>
            <w:vAlign w:val="bottom"/>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6</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for the Three Months Ended March 31, 2026 and 2025</w:t>
            </w:r>
          </w:p>
        </w:tc>
        <w:tc>
          <w:tcPr>
            <w:tcW w:w="1020" w:type="dxa"/>
            <w:vAlign w:val="bottom"/>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7</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8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2380" w:type="dxa"/>
            <w:vAlign w:val="bottom"/>
            <w:gridSpan w:val="3"/>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9</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31</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00" w:type="dxa"/>
            <w:vAlign w:val="bottom"/>
            <w:gridSpan w:val="2"/>
          </w:tcPr>
          <w:p>
            <w:pPr>
              <w:spacing w:after="0"/>
              <w:rPr>
                <w:sz w:val="24"/>
                <w:szCs w:val="24"/>
                <w:color w:val="auto"/>
              </w:rPr>
            </w:pPr>
          </w:p>
        </w:tc>
        <w:tc>
          <w:tcPr>
            <w:tcW w:w="3580" w:type="dxa"/>
            <w:vAlign w:val="bottom"/>
            <w:gridSpan w:val="5"/>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41</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388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480" w:type="dxa"/>
            <w:vAlign w:val="bottom"/>
            <w:gridSpan w:val="7"/>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41</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520"/>
        </w:trPr>
        <w:tc>
          <w:tcPr>
            <w:tcW w:w="2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794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Legal Proceedings</w:t>
            </w:r>
          </w:p>
        </w:tc>
        <w:tc>
          <w:tcPr>
            <w:tcW w:w="8180" w:type="dxa"/>
            <w:vAlign w:val="bottom"/>
            <w:gridSpan w:val="1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8180" w:type="dxa"/>
            <w:vAlign w:val="bottom"/>
            <w:gridSpan w:val="1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5480" w:type="dxa"/>
            <w:vAlign w:val="bottom"/>
            <w:gridSpan w:val="7"/>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5"/>
            <w:shd w:val="clear" w:color="auto" w:fill="0000FF"/>
          </w:tcPr>
          <w:p>
            <w:pPr>
              <w:spacing w:after="0" w:line="20" w:lineRule="exact"/>
              <w:rPr>
                <w:sz w:val="1"/>
                <w:szCs w:val="1"/>
                <w:color w:val="auto"/>
              </w:rPr>
            </w:pPr>
          </w:p>
        </w:tc>
        <w:tc>
          <w:tcPr>
            <w:tcW w:w="7280" w:type="dxa"/>
            <w:vAlign w:val="bottom"/>
            <w:gridSpan w:val="9"/>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20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280" w:type="dxa"/>
            <w:vAlign w:val="bottom"/>
            <w:gridSpan w:val="9"/>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7"/>
              </w:rPr>
              <w:t>Other Information</w:t>
            </w:r>
          </w:p>
        </w:tc>
        <w:tc>
          <w:tcPr>
            <w:tcW w:w="400" w:type="dxa"/>
            <w:vAlign w:val="bottom"/>
            <w:gridSpan w:val="3"/>
          </w:tcPr>
          <w:p>
            <w:pPr>
              <w:spacing w:after="0"/>
              <w:rPr>
                <w:sz w:val="24"/>
                <w:szCs w:val="24"/>
                <w:color w:val="auto"/>
              </w:rPr>
            </w:pPr>
          </w:p>
        </w:tc>
        <w:tc>
          <w:tcPr>
            <w:tcW w:w="7780" w:type="dxa"/>
            <w:vAlign w:val="bottom"/>
            <w:gridSpan w:val="11"/>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180" w:type="dxa"/>
            <w:vAlign w:val="bottom"/>
            <w:gridSpan w:val="1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gridSpan w:val="2"/>
          </w:tcPr>
          <w:p>
            <w:pPr>
              <w:spacing w:after="0"/>
              <w:rPr>
                <w:sz w:val="24"/>
                <w:szCs w:val="24"/>
                <w:color w:val="auto"/>
              </w:rPr>
            </w:pPr>
          </w:p>
        </w:tc>
        <w:tc>
          <w:tcPr>
            <w:tcW w:w="8180" w:type="dxa"/>
            <w:vAlign w:val="bottom"/>
            <w:gridSpan w:val="1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43</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45</w:t>
            </w:r>
          </w:p>
        </w:tc>
      </w:tr>
      <w:tr>
        <w:trPr>
          <w:trHeight w:val="20"/>
        </w:trPr>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Glossary of Defined Terms</w:t>
      </w:r>
    </w:p>
    <w:p>
      <w:pPr>
        <w:spacing w:after="0" w:line="4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terms may be used throughout this Form 10-Q, including the Notes to Consolidated Financial Statements in Item 1 and Management's Discussion and Analysis of Financial Condition and Results of Operations in Item 2 of this Form 10-Q.</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w:t>
            </w:r>
          </w:p>
        </w:tc>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21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w:t>
            </w:r>
          </w:p>
        </w:tc>
        <w:tc>
          <w:tcPr>
            <w:tcW w:w="100" w:type="dxa"/>
            <w:vAlign w:val="bottom"/>
            <w:tcBorders>
              <w:top w:val="single" w:sz="8" w:color="CCEEFF"/>
            </w:tcBorders>
            <w:shd w:val="clear" w:color="auto" w:fill="CCEEFF"/>
          </w:tcPr>
          <w:p>
            <w:pPr>
              <w:spacing w:after="0"/>
              <w:rPr>
                <w:sz w:val="18"/>
                <w:szCs w:val="18"/>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AFS</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Accounting Standards Codification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ASU</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Accounting Standards Update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Owned Life Insurance</w:t>
            </w: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CD</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Deposit</w:t>
            </w:r>
          </w:p>
        </w:tc>
        <w:tc>
          <w:tcPr>
            <w:tcW w:w="0" w:type="dxa"/>
            <w:vAlign w:val="bottom"/>
          </w:tcPr>
          <w:p>
            <w:pPr>
              <w:spacing w:after="0"/>
              <w:rPr>
                <w:sz w:val="1"/>
                <w:szCs w:val="1"/>
                <w:color w:val="auto"/>
              </w:rPr>
            </w:pPr>
          </w:p>
        </w:tc>
      </w:tr>
      <w:tr>
        <w:trPr>
          <w:trHeight w:val="165"/>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CDA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Collateral Dependent Asset</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CECL</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Current Expected Credit Losses</w:t>
            </w: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Equity Tier 1</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ECL</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Expected Credit Losses</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EPS</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ESOP</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Ownership Plan</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FASB</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Accounting Standards Board</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FDIC</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Federal Deposit Insurance Corporation</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Reserve</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Board of Governors of the Federal Reserve System</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FHLB or FHLB of Atlanta</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Federal Home Loan Bank of Atlanta</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FRB</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Reserve Bank of Richmond</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GSE</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Government-Sponsored Enterprises</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Home Equity Line of Credit</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IRLC</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 Security</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NCCOB</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North Carolina Office of the Commissioner of Banks</w:t>
            </w:r>
          </w:p>
        </w:tc>
        <w:tc>
          <w:tcPr>
            <w:tcW w:w="0" w:type="dxa"/>
            <w:vAlign w:val="bottom"/>
          </w:tcPr>
          <w:p>
            <w:pPr>
              <w:spacing w:after="0"/>
              <w:rPr>
                <w:sz w:val="1"/>
                <w:szCs w:val="1"/>
                <w:color w:val="auto"/>
              </w:rPr>
            </w:pPr>
          </w:p>
        </w:tc>
      </w:tr>
      <w:tr>
        <w:trPr>
          <w:trHeight w:val="165"/>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PCD</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Purchased Financial Assets with Credit Deterioration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Quantum</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Quantum Capital Corp. and its wholly owned subsidiary, Quantum National Bank</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Return on Assets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ROE</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Return on Equity</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 of Use</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RSU</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Small Business Administration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SBIC</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Small Business Investment Companies</w:t>
            </w: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and Exchange Commission</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Secured Overnight Financing Rate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To-be-announced</w:t>
            </w: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US GAAP</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162"/>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60" w:type="dxa"/>
            <w:vAlign w:val="bottom"/>
          </w:tcPr>
          <w:p>
            <w:pPr>
              <w:spacing w:after="0"/>
              <w:rPr>
                <w:sz w:val="19"/>
                <w:szCs w:val="19"/>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310,281</w:t>
            </w:r>
          </w:p>
        </w:tc>
        <w:tc>
          <w:tcPr>
            <w:tcW w:w="0" w:type="dxa"/>
            <w:vAlign w:val="bottom"/>
          </w:tcPr>
          <w:p>
            <w:pPr>
              <w:spacing w:after="0"/>
              <w:rPr>
                <w:sz w:val="1"/>
                <w:szCs w:val="1"/>
                <w:color w:val="auto"/>
              </w:rPr>
            </w:pPr>
          </w:p>
        </w:tc>
      </w:tr>
      <w:tr>
        <w:trPr>
          <w:trHeight w:val="207"/>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324,692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0" w:type="dxa"/>
            <w:vAlign w:val="bottom"/>
          </w:tcPr>
          <w:p>
            <w:pPr>
              <w:spacing w:after="0"/>
              <w:rPr>
                <w:sz w:val="1"/>
                <w:szCs w:val="1"/>
                <w:color w:val="auto"/>
              </w:rPr>
            </w:pPr>
          </w:p>
        </w:tc>
      </w:tr>
      <w:tr>
        <w:trPr>
          <w:trHeight w:val="162"/>
        </w:trPr>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Debt securities available for sale, at fair value (amortized cost of $149,790 and $141,793 at March 31, 2026 and</w:t>
            </w:r>
          </w:p>
        </w:tc>
        <w:tc>
          <w:tcPr>
            <w:tcW w:w="2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149,729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142,540</w:t>
            </w:r>
          </w:p>
        </w:tc>
        <w:tc>
          <w:tcPr>
            <w:tcW w:w="0" w:type="dxa"/>
            <w:vAlign w:val="bottom"/>
          </w:tcPr>
          <w:p>
            <w:pPr>
              <w:spacing w:after="0"/>
              <w:rPr>
                <w:sz w:val="1"/>
                <w:szCs w:val="1"/>
                <w:color w:val="auto"/>
              </w:rPr>
            </w:pPr>
          </w:p>
        </w:tc>
      </w:tr>
      <w:tr>
        <w:trPr>
          <w:trHeight w:val="213"/>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FHLB and FRB stock</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13,636</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SBIC investments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7,005</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198,688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net of deferred loan fees and costs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3,578,154</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 loans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(40,607)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(41,479)</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net</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3,505,973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3,536,675</w:t>
            </w:r>
          </w:p>
        </w:tc>
        <w:tc>
          <w:tcPr>
            <w:tcW w:w="0" w:type="dxa"/>
            <w:vAlign w:val="bottom"/>
          </w:tcPr>
          <w:p>
            <w:pPr>
              <w:spacing w:after="0"/>
              <w:rPr>
                <w:sz w:val="1"/>
                <w:szCs w:val="1"/>
                <w:color w:val="auto"/>
              </w:rPr>
            </w:pPr>
          </w:p>
        </w:tc>
      </w:tr>
      <w:tr>
        <w:trPr>
          <w:trHeight w:val="207"/>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62,400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15,973</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BOLI</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93,930</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Core deposit intangibles,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63,556</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4,386,341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4,545,635</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3,639,542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3,709,997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10,220</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59,728</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3,793,934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3,944,945</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 See Note 11</w:t>
            </w: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or outstanding</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Common stock, $0.01 par value, 60,000,000 shares authorized, 16,803,185 and 17,286,289 shares issued and</w:t>
            </w:r>
          </w:p>
        </w:tc>
        <w:tc>
          <w:tcPr>
            <w:tcW w:w="2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3"/>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at March 31, 2026 and December 31, 2025, respectively</w:t>
            </w:r>
          </w:p>
        </w:tc>
        <w:tc>
          <w:tcPr>
            <w:tcW w:w="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166,856</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Unearned ESOP shares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592,407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600,690</w:t>
            </w:r>
          </w:p>
        </w:tc>
        <w:tc>
          <w:tcPr>
            <w:tcW w:w="0" w:type="dxa"/>
            <w:vAlign w:val="bottom"/>
          </w:tcPr>
          <w:p>
            <w:pPr>
              <w:spacing w:after="0"/>
              <w:rPr>
                <w:sz w:val="1"/>
                <w:szCs w:val="1"/>
                <w:color w:val="auto"/>
              </w:rPr>
            </w:pPr>
          </w:p>
        </w:tc>
      </w:tr>
      <w:tr>
        <w:trPr>
          <w:trHeight w:val="212"/>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4,386,341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4,545,635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Consolidated Statements of Income</w:t>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40" w:type="dxa"/>
            <w:vAlign w:val="bottom"/>
          </w:tcPr>
          <w:p>
            <w:pPr>
              <w:spacing w:after="0"/>
              <w:rPr>
                <w:sz w:val="18"/>
                <w:szCs w:val="18"/>
                <w:color w:val="auto"/>
              </w:rPr>
            </w:pPr>
          </w:p>
        </w:tc>
      </w:tr>
      <w:tr>
        <w:trPr>
          <w:trHeight w:val="219"/>
        </w:trPr>
        <w:tc>
          <w:tcPr>
            <w:tcW w:w="75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5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dividend income</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57,725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58,613</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investments and interest-bearing deposits</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w:t>
            </w: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 and dividend income</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63,635</w:t>
            </w:r>
          </w:p>
        </w:tc>
      </w:tr>
      <w:tr>
        <w:trPr>
          <w:trHeight w:val="26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20,363</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7"/>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 expense</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20,728</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42,907</w:t>
            </w: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43,935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41,367</w:t>
            </w:r>
          </w:p>
        </w:tc>
      </w:tr>
      <w:tr>
        <w:trPr>
          <w:trHeight w:val="26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 income and fees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BOLI income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income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premises and equipment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r>
      <w:tr>
        <w:trPr>
          <w:trHeight w:val="207"/>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8,027</w:t>
            </w:r>
          </w:p>
        </w:tc>
      </w:tr>
      <w:tr>
        <w:trPr>
          <w:trHeight w:val="26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17,699</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 expense, net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Computer services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depreciation expense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4,054</w:t>
            </w: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30,961</w:t>
            </w: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18,433</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w:t>
            </w: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14,539</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7"/>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13"/>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73"/>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Average shares outstanding</w:t>
            </w: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13"/>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16,582,376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17,011,359</w:t>
            </w:r>
          </w:p>
        </w:tc>
      </w:tr>
      <w:tr>
        <w:trPr>
          <w:trHeight w:val="21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16,716,089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17,113,424</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8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20" w:type="dxa"/>
            <w:vAlign w:val="bottom"/>
          </w:tcPr>
          <w:p>
            <w:pPr>
              <w:spacing w:after="0"/>
              <w:rPr>
                <w:sz w:val="18"/>
                <w:szCs w:val="18"/>
                <w:color w:val="auto"/>
              </w:rPr>
            </w:pPr>
          </w:p>
        </w:tc>
      </w:tr>
      <w:tr>
        <w:trPr>
          <w:trHeight w:val="219"/>
        </w:trPr>
        <w:tc>
          <w:tcPr>
            <w:tcW w:w="7580" w:type="dxa"/>
            <w:vAlign w:val="bottom"/>
          </w:tcPr>
          <w:p>
            <w:pPr>
              <w:spacing w:after="0"/>
              <w:rPr>
                <w:sz w:val="19"/>
                <w:szCs w:val="19"/>
                <w:color w:val="auto"/>
              </w:rPr>
            </w:pPr>
          </w:p>
        </w:tc>
        <w:tc>
          <w:tcPr>
            <w:tcW w:w="30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9"/>
                <w:szCs w:val="19"/>
                <w:color w:val="auto"/>
              </w:rPr>
            </w:pPr>
          </w:p>
        </w:tc>
      </w:tr>
      <w:tr>
        <w:trPr>
          <w:trHeight w:val="220"/>
        </w:trPr>
        <w:tc>
          <w:tcPr>
            <w:tcW w:w="75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Pr>
          <w:p>
            <w:pPr>
              <w:spacing w:after="0"/>
              <w:rPr>
                <w:sz w:val="19"/>
                <w:szCs w:val="19"/>
                <w:color w:val="auto"/>
              </w:rPr>
            </w:pPr>
          </w:p>
        </w:tc>
      </w:tr>
      <w:tr>
        <w:trPr>
          <w:trHeight w:val="33"/>
        </w:trPr>
        <w:tc>
          <w:tcPr>
            <w:tcW w:w="7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14,539</w:t>
            </w:r>
          </w:p>
        </w:tc>
      </w:tr>
      <w:tr>
        <w:trPr>
          <w:trHeight w:val="26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3"/>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Unrealized holding gains (losses) on debt securities available for sale</w:t>
            </w:r>
          </w:p>
        </w:tc>
        <w:tc>
          <w:tcPr>
            <w:tcW w:w="1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13"/>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(Losses) gains arising during the period</w:t>
            </w:r>
          </w:p>
        </w:tc>
        <w:tc>
          <w:tcPr>
            <w:tcW w:w="1160" w:type="dxa"/>
            <w:vAlign w:val="bottom"/>
          </w:tcPr>
          <w:p>
            <w:pPr>
              <w:spacing w:after="0"/>
              <w:rPr>
                <w:sz w:val="18"/>
                <w:szCs w:val="18"/>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r>
      <w:tr>
        <w:trPr>
          <w:trHeight w:val="21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07"/>
        </w:trPr>
        <w:tc>
          <w:tcPr>
            <w:tcW w:w="7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w:t>
            </w:r>
          </w:p>
        </w:tc>
      </w:tr>
      <w:tr>
        <w:trPr>
          <w:trHeight w:val="235"/>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16,150</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ind w:left="3680"/>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ind w:left="64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9"/>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3"/>
                <w:szCs w:val="13"/>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21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Paid In</w:t>
            </w:r>
          </w:p>
        </w:tc>
        <w:tc>
          <w:tcPr>
            <w:tcW w:w="1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ESOP</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11"/>
                <w:szCs w:val="11"/>
                <w:color w:val="auto"/>
              </w:rPr>
            </w:pPr>
          </w:p>
        </w:tc>
        <w:tc>
          <w:tcPr>
            <w:tcW w:w="1120" w:type="dxa"/>
            <w:vAlign w:val="bottom"/>
          </w:tcPr>
          <w:p>
            <w:pPr>
              <w:jc w:val="center"/>
              <w:ind w:right="59"/>
              <w:spacing w:after="0" w:line="13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9"/>
                <w:szCs w:val="19"/>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17,286,289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166,856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600,690</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$0.13/common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35"/>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16,803,185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592,407</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9"/>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In</w:t>
            </w:r>
          </w:p>
        </w:tc>
        <w:tc>
          <w:tcPr>
            <w:tcW w:w="120" w:type="dxa"/>
            <w:vAlign w:val="bottom"/>
          </w:tcPr>
          <w:p>
            <w:pPr>
              <w:spacing w:after="0"/>
              <w:rPr>
                <w:sz w:val="10"/>
                <w:szCs w:val="10"/>
                <w:color w:val="auto"/>
              </w:rPr>
            </w:pPr>
          </w:p>
        </w:tc>
        <w:tc>
          <w:tcPr>
            <w:tcW w:w="92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20" w:type="dxa"/>
            <w:vAlign w:val="bottom"/>
          </w:tcPr>
          <w:p>
            <w:pPr>
              <w:spacing w:after="0"/>
              <w:rPr>
                <w:sz w:val="10"/>
                <w:szCs w:val="10"/>
                <w:color w:val="auto"/>
              </w:rPr>
            </w:pPr>
          </w:p>
        </w:tc>
        <w:tc>
          <w:tcPr>
            <w:tcW w:w="138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0"/>
                <w:szCs w:val="10"/>
                <w:color w:val="auto"/>
              </w:rPr>
            </w:pPr>
          </w:p>
        </w:tc>
        <w:tc>
          <w:tcPr>
            <w:tcW w:w="112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9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17,527,709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176,693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551,758</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$0.12/common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17,552,626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176,682</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393,026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565,449</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7720" w:type="dxa"/>
            <w:vAlign w:val="bottom"/>
          </w:tcPr>
          <w:p>
            <w:pPr>
              <w:jc w:val="center"/>
              <w:ind w:left="3459"/>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3"/>
        </w:trPr>
        <w:tc>
          <w:tcPr>
            <w:tcW w:w="7720" w:type="dxa"/>
            <w:vAlign w:val="bottom"/>
          </w:tcPr>
          <w:p>
            <w:pPr>
              <w:jc w:val="center"/>
              <w:ind w:left="3459"/>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0"/>
        </w:trPr>
        <w:tc>
          <w:tcPr>
            <w:tcW w:w="7720" w:type="dxa"/>
            <w:vAlign w:val="bottom"/>
          </w:tcPr>
          <w:p>
            <w:pPr>
              <w:jc w:val="center"/>
              <w:ind w:left="3439"/>
              <w:spacing w:after="0"/>
              <w:rPr>
                <w:sz w:val="20"/>
                <w:szCs w:val="20"/>
                <w:color w:val="auto"/>
              </w:rPr>
            </w:pPr>
            <w:r>
              <w:rPr>
                <w:rFonts w:ascii="Times New Roman" w:cs="Times New Roman" w:eastAsia="Times New Roman" w:hAnsi="Times New Roman"/>
                <w:sz w:val="16"/>
                <w:szCs w:val="16"/>
                <w:color w:val="auto"/>
              </w:rPr>
              <w:t>(Dollars in thousands)</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9"/>
        </w:trPr>
        <w:tc>
          <w:tcPr>
            <w:tcW w:w="7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40" w:type="dxa"/>
            <w:vAlign w:val="bottom"/>
            <w:gridSpan w:val="3"/>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20" w:type="dxa"/>
            <w:vAlign w:val="bottom"/>
          </w:tcPr>
          <w:p>
            <w:pPr>
              <w:spacing w:after="0"/>
              <w:rPr>
                <w:sz w:val="19"/>
                <w:szCs w:val="19"/>
                <w:color w:val="auto"/>
              </w:rPr>
            </w:pPr>
          </w:p>
        </w:tc>
      </w:tr>
      <w:tr>
        <w:trPr>
          <w:trHeight w:val="219"/>
        </w:trPr>
        <w:tc>
          <w:tcPr>
            <w:tcW w:w="7720" w:type="dxa"/>
            <w:vAlign w:val="bottom"/>
          </w:tcPr>
          <w:p>
            <w:pPr>
              <w:spacing w:after="0"/>
              <w:rPr>
                <w:sz w:val="19"/>
                <w:szCs w:val="19"/>
                <w:color w:val="auto"/>
              </w:rPr>
            </w:pPr>
          </w:p>
        </w:tc>
        <w:tc>
          <w:tcPr>
            <w:tcW w:w="2900" w:type="dxa"/>
            <w:vAlign w:val="bottom"/>
            <w:tcBorders>
              <w:bottom w:val="single" w:sz="8" w:color="auto"/>
            </w:tcBorders>
            <w:gridSpan w:val="4"/>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9"/>
                <w:szCs w:val="19"/>
                <w:color w:val="auto"/>
              </w:rPr>
            </w:pPr>
          </w:p>
        </w:tc>
      </w:tr>
      <w:tr>
        <w:trPr>
          <w:trHeight w:val="211"/>
        </w:trPr>
        <w:tc>
          <w:tcPr>
            <w:tcW w:w="77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19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8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r>
      <w:tr>
        <w:trPr>
          <w:trHeight w:val="21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of premises and equipment and equipment for operating leases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r>
      <w:tr>
        <w:trPr>
          <w:trHeight w:val="21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r>
      <w:tr>
        <w:trPr>
          <w:trHeight w:val="21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accretion of purchase accounting adjustments on loans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1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amortization and accretion</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r>
      <w:tr>
        <w:trPr>
          <w:trHeight w:val="21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SBIC investments income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r>
      <w:tr>
        <w:trPr>
          <w:trHeight w:val="21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premises and equipment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repossessed assets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previously leased equipment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r>
      <w:tr>
        <w:trPr>
          <w:trHeight w:val="21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BOLI income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r>
      <w:tr>
        <w:trPr>
          <w:trHeight w:val="21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r>
      <w:tr>
        <w:trPr>
          <w:trHeight w:val="21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Origination of loans held for sale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(64,529)</w:t>
            </w:r>
          </w:p>
        </w:tc>
      </w:tr>
      <w:tr>
        <w:trPr>
          <w:trHeight w:val="21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sales of loans held for sale</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145,598</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114,846</w:t>
            </w:r>
          </w:p>
        </w:tc>
      </w:tr>
      <w:tr>
        <w:trPr>
          <w:trHeight w:val="21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New deferred loan origination fees,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tax credit equity investments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(increase) in accrued interest receivable and other assets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7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3"/>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(Decrease) increase in accrued interest payable and other liabilities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w:t>
            </w:r>
          </w:p>
        </w:tc>
      </w:tr>
      <w:tr>
        <w:trPr>
          <w:trHeight w:val="212"/>
        </w:trPr>
        <w:tc>
          <w:tcPr>
            <w:tcW w:w="7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110,834</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71,655</w:t>
            </w:r>
          </w:p>
        </w:tc>
      </w:tr>
      <w:tr>
        <w:trPr>
          <w:trHeight w:val="20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5"/>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debt securities available for sale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maturities, calls and paydowns of debt securities available for sale</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CDs in other banks</w:t>
            </w:r>
          </w:p>
        </w:tc>
        <w:tc>
          <w:tcPr>
            <w:tcW w:w="10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maturities of CDs in other banks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3,976</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redemption of FHLB and FRB stock</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capital contributions in SBIC investments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redemptions of tax credit equity investments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decrease in loans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BOLI</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redemption of BOLI policies</w:t>
            </w:r>
          </w:p>
        </w:tc>
        <w:tc>
          <w:tcPr>
            <w:tcW w:w="10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Death benefit proceeds from BOLI policies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equipment for operating leases - lessor</w:t>
            </w:r>
          </w:p>
        </w:tc>
        <w:tc>
          <w:tcPr>
            <w:tcW w:w="10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 of equipment for operating leases - lessor</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 of premises and equipment and assets held for sale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Proceeds from sale of repossessed assets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36,391</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w:t>
            </w: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Cash Flows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20" w:type="dxa"/>
            <w:vAlign w:val="bottom"/>
          </w:tcPr>
          <w:p>
            <w:pPr>
              <w:spacing w:after="0"/>
              <w:rPr>
                <w:sz w:val="18"/>
                <w:szCs w:val="18"/>
                <w:color w:val="auto"/>
              </w:rPr>
            </w:pPr>
          </w:p>
        </w:tc>
      </w:tr>
      <w:tr>
        <w:trPr>
          <w:trHeight w:val="219"/>
        </w:trPr>
        <w:tc>
          <w:tcPr>
            <w:tcW w:w="7720" w:type="dxa"/>
            <w:vAlign w:val="bottom"/>
          </w:tcPr>
          <w:p>
            <w:pPr>
              <w:spacing w:after="0"/>
              <w:rPr>
                <w:sz w:val="19"/>
                <w:szCs w:val="19"/>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9"/>
                <w:szCs w:val="19"/>
                <w:color w:val="auto"/>
              </w:rPr>
            </w:pPr>
          </w:p>
        </w:tc>
      </w:tr>
      <w:tr>
        <w:trPr>
          <w:trHeight w:val="211"/>
        </w:trPr>
        <w:tc>
          <w:tcPr>
            <w:tcW w:w="77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decrease in deposits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(70,455)</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(42,843)</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decrease in short-term borrowings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(23,081)</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dividends paid</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3"/>
        </w:trPr>
        <w:tc>
          <w:tcPr>
            <w:tcW w:w="7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2"/>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(171,224)</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(56,731)</w:t>
            </w:r>
          </w:p>
        </w:tc>
      </w:tr>
      <w:tr>
        <w:trPr>
          <w:trHeight w:val="20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10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(23,999)</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20,606</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324,692</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279,219</w:t>
            </w:r>
          </w:p>
        </w:tc>
      </w:tr>
      <w:tr>
        <w:trPr>
          <w:trHeight w:val="207"/>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300,693</w:t>
            </w:r>
          </w:p>
        </w:tc>
        <w:tc>
          <w:tcPr>
            <w:tcW w:w="80" w:type="dxa"/>
            <w:vAlign w:val="bottom"/>
          </w:tcPr>
          <w:p>
            <w:pPr>
              <w:spacing w:after="0"/>
              <w:rPr>
                <w:sz w:val="17"/>
                <w:szCs w:val="17"/>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299,825</w:t>
            </w:r>
          </w:p>
        </w:tc>
      </w:tr>
      <w:tr>
        <w:trPr>
          <w:trHeight w:val="23"/>
        </w:trPr>
        <w:tc>
          <w:tcPr>
            <w:tcW w:w="7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15"/>
        </w:trPr>
        <w:tc>
          <w:tcPr>
            <w:tcW w:w="7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23,356</w:t>
            </w: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5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transactions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Unrealized (loss) gain in value of debt securities available for sale, net of income taxes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8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Transfers of loans held for sale to loans held for investment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w:t>
            </w:r>
          </w:p>
        </w:tc>
      </w:tr>
      <w:tr>
        <w:trPr>
          <w:trHeight w:val="213"/>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Transfers of loans held for investment to repossessed assets</w:t>
            </w:r>
          </w:p>
        </w:tc>
        <w:tc>
          <w:tcPr>
            <w:tcW w:w="10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Transfer of premises and equipment to assets held for sale</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w:t>
            </w:r>
          </w:p>
        </w:tc>
      </w:tr>
      <w:tr>
        <w:trPr>
          <w:trHeight w:val="210"/>
        </w:trPr>
        <w:tc>
          <w:tcPr>
            <w:tcW w:w="7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ROU asset and lease liabilities for operating lease accounting</w:t>
            </w:r>
          </w:p>
        </w:tc>
        <w:tc>
          <w:tcPr>
            <w:tcW w:w="10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Summary of Significant Accounting Policies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consolidated unaudited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the "Piedmont" region, Charlotte and Raleigh/Cary), South Carolina (Greenville and Charleston), East Tennessee (Kingsport/Johnson City and Morristown), Southwest Virginia (the Roanoke Valley) and Georgia (Greater Atlanta). The Company operates under a single set of corporate policies and procedures and its operations are considered to be aggregated in one reportable operating segment for financial reporting purposes.</w:t>
      </w:r>
    </w:p>
    <w:p>
      <w:pPr>
        <w:spacing w:after="0" w:line="4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As a result of its merger with Quantum on February 12, 2023, HomeTrust became the 100% successor owner of the Quantum Capital Statutory Trust II Delaware trust. The sole assets of the trust represent the proceeds of offerings loaned in exchange for subordinated debentures with similar terms to the trust preferred securities.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accompanying unaudited consolidated financial statements have been prepared in accordance with US GAAP for interim financial information and in accordance with the instructions to Form 10-Q and Article 10 of Regulation S-X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Annual Report on Form 10-K for the year ended December 31, 2025 ("2025 Form 10-K") filed with the SEC on March 13, 2026. The results of operations for the three months ended March 31, 2026 are not necessarily indicative of results that may be expected for the fiscal year ending December 31, 2026, the period which will be covered on a Report on Form 10-K.</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as an accounting policy that, due to the judgments, estimates and assumptions inherent in the policy, is critical to an understanding of the Company's financial statements. This policy and the related judgments, estimates and assumptions are described in greater detail in the notes to the Consolidated Financial Statements and Management's Discussion and Analysis of Financial Condition and Results of Operations (Critical Accounting Policies and Estimates) in the 2025 Form 10-K.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these estimates and the Company's financial condition and operating results in future periods.</w:t>
      </w:r>
    </w:p>
    <w:p>
      <w:pPr>
        <w:spacing w:after="0" w:line="4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Reclassifications and corrections. </w:t>
      </w:r>
      <w:r>
        <w:rPr>
          <w:rFonts w:ascii="Times New Roman" w:cs="Times New Roman" w:eastAsia="Times New Roman" w:hAnsi="Times New Roman"/>
          <w:sz w:val="16"/>
          <w:szCs w:val="16"/>
          <w:color w:val="auto"/>
        </w:rPr>
        <w:t>To maintain consistency and comparability, certain amounts from prior periods have been reclassified to conform to current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presentation with no effect on net income or stockholders’ equity as previously reported.</w:t>
      </w:r>
    </w:p>
    <w:p>
      <w:pPr>
        <w:spacing w:after="0" w:line="93"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Recent Accounting Pronouncements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Newly Issued but Not Yet Effective Accounting Standards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ASU 2024-03, "Income Statement—Reporting Comprehensive Income—Expense Disaggregation Disclosures (Subtopic 220-40): Disaggregation of Income Statement Expenses." </w:t>
      </w:r>
      <w:r>
        <w:rPr>
          <w:rFonts w:ascii="Times New Roman" w:cs="Times New Roman" w:eastAsia="Times New Roman" w:hAnsi="Times New Roman"/>
          <w:sz w:val="16"/>
          <w:szCs w:val="16"/>
          <w:color w:val="auto"/>
        </w:rPr>
        <w:t>In November 2024, the FASB issued ASU 2024-03 which requires entities to disclose more detailed information about certain costs and expenses related to</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purchases of inventory, employee compensation, depreciation and intangible asset amortization amongst other items. This ASU is effective for public business entities for annual reporting periods beginning after December 15, 2026 and interim periods beginning after December 15, 2027. The adoption of the provisions of ASU 2024-03 is not expected to have an impact on the Company's operating results or financial condition, but will impact disclosures.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ASU 2025-06, "Intangibles—Goodwill and Other—Internal-Use Software (Subtopic 350-40): Targeted Improvements to the Accounting for Internal-Use Software." </w:t>
      </w:r>
      <w:r>
        <w:rPr>
          <w:rFonts w:ascii="Times New Roman" w:cs="Times New Roman" w:eastAsia="Times New Roman" w:hAnsi="Times New Roman"/>
          <w:sz w:val="16"/>
          <w:szCs w:val="16"/>
          <w:color w:val="auto"/>
        </w:rPr>
        <w:t>In</w:t>
      </w:r>
    </w:p>
    <w:p>
      <w:pPr>
        <w:spacing w:after="0" w:line="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September 2025, the FASB issued ASU 2025-06 which removes all references to prescriptive and sequential software development stages (i.e., project stages), instead requiring an entity to start capitalizing software costs when both of the following occur: 1) management has authorized and committed to funding the software project, and</w:t>
      </w:r>
    </w:p>
    <w:p>
      <w:pPr>
        <w:spacing w:after="0" w:line="1" w:lineRule="exact"/>
        <w:rPr>
          <w:sz w:val="20"/>
          <w:szCs w:val="20"/>
          <w:color w:val="auto"/>
        </w:rPr>
      </w:pPr>
    </w:p>
    <w:p>
      <w:pPr>
        <w:jc w:val="both"/>
        <w:ind w:right="20" w:firstLine="8"/>
        <w:spacing w:after="0" w:line="258" w:lineRule="auto"/>
        <w:tabs>
          <w:tab w:leader="none" w:pos="19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probable that the project will be completed and the software will be used to perform the intended function. This ASU is effective for public business entities for interim and annual reporting periods beginning after December 15, 2027. The adoption of the provisions of ASU 2025-06 is not expected to have a material effect on the Company's operating results or financial condition.</w:t>
      </w:r>
    </w:p>
    <w:p>
      <w:pPr>
        <w:spacing w:after="0" w:line="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ASU 2025-08, "Financial Instruments—Credit Losses (Topic 326): Purchased Loans." </w:t>
      </w:r>
      <w:r>
        <w:rPr>
          <w:rFonts w:ascii="Times New Roman" w:cs="Times New Roman" w:eastAsia="Times New Roman" w:hAnsi="Times New Roman"/>
          <w:sz w:val="16"/>
          <w:szCs w:val="16"/>
          <w:color w:val="auto"/>
        </w:rPr>
        <w:t>In November 2025, the FASB issued ASU 2025-08 which simplifies the accounting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acquired loans under CECL by expanding the use of the gross-up method to a new category of purchased seasoned loans, defined as acquired loans purchased more than 90 days after origination, or through a business combination, when the acquirer was not involved in the origination. This ASU is effective for public business entities for interim and annual reporting periods beginning after December 15, 2026. The adoption of the provisions of ASU 2025-06 is not expected to have an impact on the Company's operating results or financial condition, but will impact the Company's accounting for future purchased loans.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Debt Securities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 securities available for sale consist of the following at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3"/>
                <w:szCs w:val="13"/>
                <w:color w:val="auto"/>
              </w:rPr>
            </w:pPr>
          </w:p>
        </w:tc>
        <w:tc>
          <w:tcPr>
            <w:tcW w:w="15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3"/>
                <w:szCs w:val="13"/>
                <w:color w:val="auto"/>
              </w:rPr>
            </w:pPr>
          </w:p>
        </w:tc>
        <w:tc>
          <w:tcPr>
            <w:tcW w:w="15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80" w:type="dxa"/>
            <w:vAlign w:val="bottom"/>
          </w:tcPr>
          <w:p>
            <w:pPr>
              <w:spacing w:after="0"/>
              <w:rPr>
                <w:sz w:val="13"/>
                <w:szCs w:val="13"/>
                <w:color w:val="auto"/>
              </w:rPr>
            </w:pPr>
          </w:p>
        </w:tc>
        <w:tc>
          <w:tcPr>
            <w:tcW w:w="1360" w:type="dxa"/>
            <w:vAlign w:val="bottom"/>
          </w:tcPr>
          <w:p>
            <w:pPr>
              <w:jc w:val="right"/>
              <w:ind w:right="39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8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143,268</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0" w:type="dxa"/>
            <w:vAlign w:val="bottom"/>
          </w:tcPr>
          <w:p>
            <w:pPr>
              <w:spacing w:after="0"/>
              <w:rPr>
                <w:sz w:val="1"/>
                <w:szCs w:val="1"/>
                <w:color w:val="auto"/>
              </w:rPr>
            </w:pPr>
          </w:p>
        </w:tc>
      </w:tr>
      <w:tr>
        <w:trPr>
          <w:trHeight w:val="207"/>
        </w:trPr>
        <w:tc>
          <w:tcPr>
            <w:tcW w:w="44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149,790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149,729</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3"/>
                <w:szCs w:val="13"/>
                <w:color w:val="auto"/>
              </w:rPr>
            </w:pPr>
          </w:p>
        </w:tc>
        <w:tc>
          <w:tcPr>
            <w:tcW w:w="15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3"/>
                <w:szCs w:val="13"/>
                <w:color w:val="auto"/>
              </w:rPr>
            </w:pPr>
          </w:p>
        </w:tc>
        <w:tc>
          <w:tcPr>
            <w:tcW w:w="15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80" w:type="dxa"/>
            <w:vAlign w:val="bottom"/>
          </w:tcPr>
          <w:p>
            <w:pPr>
              <w:spacing w:after="0"/>
              <w:rPr>
                <w:sz w:val="13"/>
                <w:szCs w:val="13"/>
                <w:color w:val="auto"/>
              </w:rPr>
            </w:pPr>
          </w:p>
        </w:tc>
        <w:tc>
          <w:tcPr>
            <w:tcW w:w="1360" w:type="dxa"/>
            <w:vAlign w:val="bottom"/>
          </w:tcPr>
          <w:p>
            <w:pPr>
              <w:jc w:val="right"/>
              <w:ind w:right="39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8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136,082</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0" w:type="dxa"/>
            <w:vAlign w:val="bottom"/>
          </w:tcPr>
          <w:p>
            <w:pPr>
              <w:spacing w:after="0"/>
              <w:rPr>
                <w:sz w:val="1"/>
                <w:szCs w:val="1"/>
                <w:color w:val="auto"/>
              </w:rPr>
            </w:pPr>
          </w:p>
        </w:tc>
      </w:tr>
      <w:tr>
        <w:trPr>
          <w:trHeight w:val="207"/>
        </w:trPr>
        <w:tc>
          <w:tcPr>
            <w:tcW w:w="44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141,793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142,540</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Debt securities available for sale by contractual maturity at March 31, 2026 and December 31, 2025 are shown below. MBS are not included in the maturity categories because the borrowers in the underlying pools may prepay without penalty; therefore, it is unlikely that the securities will pay at their stated maturity schedule.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11"/>
        </w:trPr>
        <w:tc>
          <w:tcPr>
            <w:tcW w:w="7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11"/>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2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143,268</w:t>
            </w:r>
          </w:p>
        </w:tc>
      </w:tr>
      <w:tr>
        <w:trPr>
          <w:trHeight w:val="207"/>
        </w:trPr>
        <w:tc>
          <w:tcPr>
            <w:tcW w:w="72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149,790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149,729</w:t>
            </w:r>
          </w:p>
        </w:tc>
      </w:tr>
      <w:tr>
        <w:trPr>
          <w:trHeight w:val="23"/>
        </w:trPr>
        <w:tc>
          <w:tcPr>
            <w:tcW w:w="7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12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7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11"/>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4,632</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2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136,082</w:t>
            </w:r>
          </w:p>
        </w:tc>
      </w:tr>
      <w:tr>
        <w:trPr>
          <w:trHeight w:val="207"/>
        </w:trPr>
        <w:tc>
          <w:tcPr>
            <w:tcW w:w="72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141,793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142,540</w:t>
            </w:r>
          </w:p>
        </w:tc>
      </w:tr>
      <w:tr>
        <w:trPr>
          <w:trHeight w:val="23"/>
        </w:trPr>
        <w:tc>
          <w:tcPr>
            <w:tcW w:w="7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no sales of debt securities available for sale and no gross realized gains or losses were recognized during the three months ended March 31, 2026 or 2025.</w:t>
      </w:r>
    </w:p>
    <w:p>
      <w:pPr>
        <w:spacing w:after="0" w:line="8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Debt securities available for sale with amortized costs totaling $73,381 and $73,944 and market values of $73,834 and $74,987 at March 31, 2026 and December 31, 2025, respectively, were pledged as collateral to secure various public deposits and other borrowings.</w:t>
      </w:r>
    </w:p>
    <w:p>
      <w:pPr>
        <w:spacing w:after="0" w:line="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gross unrealized losses and the fair value of debt securities available for sale aggregated by the length of time that individual securities have been in a continuous unrealized loss position as of March 31, 2026 and December 31, 2025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4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4"/>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11"/>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7"/>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43,648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30,815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74,463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r>
      <w:tr>
        <w:trPr>
          <w:trHeight w:val="23"/>
        </w:trPr>
        <w:tc>
          <w:tcPr>
            <w:tcW w:w="4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4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4"/>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center"/>
              <w:ind w:left="49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07"/>
        </w:trPr>
        <w:tc>
          <w:tcPr>
            <w:tcW w:w="41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center"/>
              <w:ind w:left="55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31,617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41,095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w:t>
            </w:r>
          </w:p>
        </w:tc>
      </w:tr>
      <w:tr>
        <w:trPr>
          <w:trHeight w:val="23"/>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number of securities with unrealized losses at March 31, 2026 and December 31, 2025 were 124 and 119, respectively.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March 31, 2026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2025 Form 10-K for further discussion.</w:t>
      </w:r>
    </w:p>
    <w:p>
      <w:pPr>
        <w:spacing w:after="0" w:line="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Management excludes the accrued interest receivable balance from the amortized cost basis in measuring ECLs on investment securities and does not record an ACL on accrued interest receivable. As of March 31, 2026 and December 31, 2025, the accrued interest receivable for debt securities available for sale was $532 and $554, respectively.</w:t>
      </w:r>
    </w:p>
    <w:p>
      <w:pPr>
        <w:spacing w:after="0" w:line="101"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Loans Held For Sale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held for sale, at the lower of cost or fair value, consist of the following as of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One-to-four family</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35,567</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162,817</w:t>
            </w:r>
          </w:p>
        </w:tc>
      </w:tr>
      <w:tr>
        <w:trPr>
          <w:trHeight w:val="207"/>
        </w:trPr>
        <w:tc>
          <w:tcPr>
            <w:tcW w:w="73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loans held for sale, at the lower of cost or fair value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101,930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198,688</w:t>
            </w:r>
          </w:p>
        </w:tc>
      </w:tr>
      <w:tr>
        <w:trPr>
          <w:trHeight w:val="23"/>
        </w:trPr>
        <w:tc>
          <w:tcPr>
            <w:tcW w:w="7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carrying balance of loans held for sale, at fair value, was $6,562 and $7,005 at March 31, 2026 and December 31, 2025, respectively, while the amortized cost of these loans was $6,536 and $6,896, respectively, at the same dates.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right="7560" w:firstLine="8"/>
        <w:spacing w:after="0" w:line="256" w:lineRule="auto"/>
        <w:tabs>
          <w:tab w:leader="none" w:pos="283"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Loans and Allowance for Credit Losses on Loans </w:t>
      </w:r>
      <w:r>
        <w:rPr>
          <w:rFonts w:ascii="Times New Roman" w:cs="Times New Roman" w:eastAsia="Times New Roman" w:hAnsi="Times New Roman"/>
          <w:sz w:val="16"/>
          <w:szCs w:val="16"/>
          <w:color w:val="auto"/>
        </w:rPr>
        <w:t>Loans consist of the following at the dates indicated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7"/>
                <w:szCs w:val="17"/>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6"/>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277,028</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562,049</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823,672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832,502</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110,912</w:t>
            </w:r>
          </w:p>
        </w:tc>
      </w:tr>
      <w:tr>
        <w:trPr>
          <w:trHeight w:val="207"/>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1,778,108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1,782,491</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378,686</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311,356</w:t>
            </w: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166,396</w:t>
            </w: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856,438</w:t>
            </w: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8"/>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45,617</w:t>
            </w: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633,511</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217,310</w:t>
            </w:r>
          </w:p>
        </w:tc>
      </w:tr>
      <w:tr>
        <w:trPr>
          <w:trHeight w:val="207"/>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886,733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896,438</w:t>
            </w:r>
          </w:p>
        </w:tc>
      </w:tr>
      <w:tr>
        <w:trPr>
          <w:trHeight w:val="219"/>
        </w:trPr>
        <w:tc>
          <w:tcPr>
            <w:tcW w:w="7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42,787</w:t>
            </w: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net of deferred loan fees and costs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3,546,580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3,578,154</w:t>
            </w:r>
          </w:p>
        </w:tc>
      </w:tr>
      <w:tr>
        <w:trPr>
          <w:trHeight w:val="219"/>
        </w:trPr>
        <w:tc>
          <w:tcPr>
            <w:tcW w:w="7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credit losses – loans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(41,479)</w:t>
            </w:r>
          </w:p>
        </w:tc>
      </w:tr>
      <w:tr>
        <w:trPr>
          <w:trHeight w:val="207"/>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Loans,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3,505,973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3,536,675</w:t>
            </w:r>
          </w:p>
        </w:tc>
      </w:tr>
      <w:tr>
        <w:trPr>
          <w:trHeight w:val="23"/>
        </w:trPr>
        <w:tc>
          <w:tcPr>
            <w:tcW w:w="7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March 31, 2026 and December 31, 2025 accrued interest receivable of $13,848 and $15,305 was accounted for separately from the amortized cost basis.</w:t>
      </w:r>
    </w:p>
    <w:p>
      <w:pPr>
        <w:spacing w:after="0" w:line="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All qualifying one-to-four family loans, HELOCs, commercial real estate loans and FHLB of Atlanta stock are pledged as collateral by a blanket pledge to secure outstanding FHLB advances.</w:t>
      </w:r>
    </w:p>
    <w:p>
      <w:pPr>
        <w:spacing w:after="0" w:line="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Loans are made to the Company's executive officers, directors and their associates during the ordinary course of business. The aggregate amount of loans to related parties totaled $0 at both March 31, 2026 and December 31, 2025. In relation to these loans are unfunded commitments that totaled approximately $3 at both March 31, 2026 and December 31, 2025.</w:t>
      </w:r>
    </w:p>
    <w:p>
      <w:pPr>
        <w:spacing w:after="0" w:line="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ind w:left="180"/>
        <w:spacing w:after="0"/>
        <w:rPr>
          <w:sz w:val="20"/>
          <w:szCs w:val="20"/>
          <w:color w:val="auto"/>
        </w:rPr>
      </w:pPr>
      <w:r>
        <w:rPr>
          <w:rFonts w:ascii="Times New Roman" w:cs="Times New Roman" w:eastAsia="Times New Roman" w:hAnsi="Times New Roman"/>
          <w:sz w:val="16"/>
          <w:szCs w:val="16"/>
          <w:u w:val="single" w:color="auto"/>
          <w:color w:val="auto"/>
        </w:rPr>
        <w:t>Pass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pass rated loan is not adversely classified because it does not display any of the characteristics for adverse classification.</w:t>
      </w:r>
    </w:p>
    <w:p>
      <w:pPr>
        <w:spacing w:after="0" w:line="48"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6"/>
          <w:szCs w:val="16"/>
          <w:u w:val="single" w:color="auto"/>
          <w:color w:val="auto"/>
        </w:rPr>
        <w:t>Special Mention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jc w:val="both"/>
        <w:ind w:left="180"/>
        <w:spacing w:after="0" w:line="270" w:lineRule="auto"/>
        <w:rPr>
          <w:sz w:val="20"/>
          <w:szCs w:val="20"/>
          <w:color w:val="auto"/>
        </w:rPr>
      </w:pPr>
      <w:r>
        <w:rPr>
          <w:rFonts w:ascii="Times New Roman" w:cs="Times New Roman" w:eastAsia="Times New Roman" w:hAnsi="Times New Roman"/>
          <w:sz w:val="16"/>
          <w:szCs w:val="16"/>
          <w:u w:val="single" w:color="auto"/>
          <w:color w:val="auto"/>
        </w:rPr>
        <w:t>Substandard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spacing w:after="0" w:line="1" w:lineRule="exact"/>
        <w:rPr>
          <w:sz w:val="20"/>
          <w:szCs w:val="20"/>
          <w:color w:val="auto"/>
        </w:rPr>
      </w:pPr>
    </w:p>
    <w:p>
      <w:pPr>
        <w:jc w:val="both"/>
        <w:ind w:left="180"/>
        <w:spacing w:after="0" w:line="281" w:lineRule="auto"/>
        <w:rPr>
          <w:sz w:val="20"/>
          <w:szCs w:val="20"/>
          <w:color w:val="auto"/>
        </w:rPr>
      </w:pPr>
      <w:r>
        <w:rPr>
          <w:rFonts w:ascii="Times New Roman" w:cs="Times New Roman" w:eastAsia="Times New Roman" w:hAnsi="Times New Roman"/>
          <w:sz w:val="16"/>
          <w:szCs w:val="16"/>
          <w:u w:val="single" w:color="auto"/>
          <w:color w:val="auto"/>
        </w:rPr>
        <w:t>Doubtful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spacing w:after="0" w:line="1" w:lineRule="exact"/>
        <w:rPr>
          <w:sz w:val="20"/>
          <w:szCs w:val="20"/>
          <w:color w:val="auto"/>
        </w:rPr>
      </w:pPr>
    </w:p>
    <w:p>
      <w:pPr>
        <w:jc w:val="both"/>
        <w:ind w:left="180"/>
        <w:spacing w:after="0" w:line="284" w:lineRule="auto"/>
        <w:rPr>
          <w:sz w:val="20"/>
          <w:szCs w:val="20"/>
          <w:color w:val="auto"/>
        </w:rPr>
      </w:pP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2026. Also included in the table detailing loan balances are gross charge-offs for the three months ended March 31, 2026:</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159,926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316,643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159,926</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75,717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27,243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317,497</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owner occupied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74,363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510,679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74,363</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53,175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40,596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60,986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276,511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527,375</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non-owner occupied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85,077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811,046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 – non-owner occupied</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85,077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52,368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96,195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548,828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823,672</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108,282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9,288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72,458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109,564</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328,654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903,542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1,746,650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66,355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328,654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196,344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74,690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168,427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925,040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18,598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1,778,108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60" w:right="20" w:hanging="252"/>
        <w:spacing w:after="0" w:line="262" w:lineRule="auto"/>
        <w:tabs>
          <w:tab w:leader="none" w:pos="258"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4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369,859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105,184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70,650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33,358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26,097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49,539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96,570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392,114</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275,411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equipment finance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59,942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71,183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39,500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66,680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37,165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286,455</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167,371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municipal leases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77,066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167,371</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812,641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185,594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171,215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87,397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112,213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163,770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96,570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845,940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30,257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48,715</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46,340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610,210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one-to-four family</w:t>
            </w: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46,340</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36,966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148,819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347,003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619,735</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208,261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HELOCs</w:t>
            </w: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218,283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218,283</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76,597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867,186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76,597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41,206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153,039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353,029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224,564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886,733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1,065</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35,799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149"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Also included in the table detailing loan balances are gross charge-offs for the year ended December 31,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276,647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133,327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85,217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21,775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277,028</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Commercial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owner occupied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543,425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78,784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53,962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43,906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62,874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90,005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226,929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562,049</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Commercial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non-owner occupied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55,342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810,958</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 – non-owner occupied</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77,184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55,342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95,337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131,895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451,660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832,502</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110,461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110,912</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208,220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1,741,491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298,656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209,626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83,880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168,814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248,890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755,708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1,782,491</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60" w:right="20" w:hanging="252"/>
        <w:spacing w:after="0" w:line="262" w:lineRule="auto"/>
        <w:tabs>
          <w:tab w:leader="none" w:pos="25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357,542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102,278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77,279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35,656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30,465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27,116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27,964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77,928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378,686</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301,212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equipment finance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64,021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77,549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44,390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77,419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33,614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14,363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311,356</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166,396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municipal leases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15,546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20,701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18,934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62,081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166,396</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825,150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14,428</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185,494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184,767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95,592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128,585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79,664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104,408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77,928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856,438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1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45,204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45,617</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625,877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one-to-four family</w:t>
            </w: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45,062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41,656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23,263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154,009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140,061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217,646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633,511</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208,402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HELOCs</w:t>
            </w: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217,310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217,310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879,483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69,682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159,762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144,234</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219,900</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229,124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896,438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1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11,034</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42,787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aging analyses of past due loans (including nonaccrual loans) by segment and class as of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60" w:type="dxa"/>
            <w:vAlign w:val="bottom"/>
          </w:tcPr>
          <w:p>
            <w:pPr>
              <w:spacing w:after="0"/>
              <w:rPr>
                <w:sz w:val="18"/>
                <w:szCs w:val="18"/>
                <w:color w:val="auto"/>
              </w:rPr>
            </w:pPr>
          </w:p>
        </w:tc>
        <w:tc>
          <w:tcPr>
            <w:tcW w:w="1060" w:type="dxa"/>
            <w:vAlign w:val="bottom"/>
          </w:tcPr>
          <w:p>
            <w:pPr>
              <w:jc w:val="right"/>
              <w:ind w:right="339"/>
              <w:spacing w:after="0" w:line="216" w:lineRule="exact"/>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8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Loans</w:t>
            </w:r>
          </w:p>
        </w:tc>
      </w:tr>
      <w:tr>
        <w:trPr>
          <w:trHeight w:val="196"/>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317,497</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527,375</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823,672</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109,564</w:t>
            </w:r>
          </w:p>
        </w:tc>
      </w:tr>
      <w:tr>
        <w:trPr>
          <w:trHeight w:val="212"/>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1,759,403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1,778,108</w:t>
            </w: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392,114</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286,455</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167,371</w:t>
            </w:r>
          </w:p>
        </w:tc>
      </w:tr>
      <w:tr>
        <w:trPr>
          <w:trHeight w:val="20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23,568</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822,372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845,940</w:t>
            </w: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48,715</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619,735</w:t>
            </w:r>
          </w:p>
        </w:tc>
      </w:tr>
      <w:tr>
        <w:trPr>
          <w:trHeight w:val="213"/>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218,283</w:t>
            </w:r>
          </w:p>
        </w:tc>
      </w:tr>
      <w:tr>
        <w:trPr>
          <w:trHeight w:val="212"/>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886,733</w:t>
            </w:r>
          </w:p>
        </w:tc>
      </w:tr>
      <w:tr>
        <w:trPr>
          <w:trHeight w:val="214"/>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35,799</w:t>
            </w:r>
          </w:p>
        </w:tc>
      </w:tr>
      <w:tr>
        <w:trPr>
          <w:trHeight w:val="23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3,461,130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3,546,580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341"/>
        </w:trPr>
        <w:tc>
          <w:tcPr>
            <w:tcW w:w="4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Past Due</w:t>
            </w:r>
            <w:r>
              <w:rPr>
                <w:rFonts w:ascii="Times New Roman" w:cs="Times New Roman" w:eastAsia="Times New Roman" w:hAnsi="Times New Roman"/>
                <w:sz w:val="21"/>
                <w:szCs w:val="21"/>
                <w:b w:val="1"/>
                <w:bCs w:val="1"/>
                <w:color w:val="auto"/>
                <w:w w:val="95"/>
                <w:vertAlign w:val="superscript"/>
              </w:rPr>
              <w:t>(2)</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60" w:type="dxa"/>
            <w:vAlign w:val="bottom"/>
          </w:tcPr>
          <w:p>
            <w:pPr>
              <w:spacing w:after="0"/>
              <w:rPr>
                <w:sz w:val="18"/>
                <w:szCs w:val="18"/>
                <w:color w:val="auto"/>
              </w:rPr>
            </w:pPr>
          </w:p>
        </w:tc>
        <w:tc>
          <w:tcPr>
            <w:tcW w:w="1060" w:type="dxa"/>
            <w:vAlign w:val="bottom"/>
          </w:tcPr>
          <w:p>
            <w:pPr>
              <w:jc w:val="right"/>
              <w:ind w:right="339"/>
              <w:spacing w:after="0" w:line="210" w:lineRule="exact"/>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8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Loans</w:t>
            </w:r>
          </w:p>
        </w:tc>
      </w:tr>
      <w:tr>
        <w:trPr>
          <w:trHeight w:val="196"/>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277,028</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550,263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562,049</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832,502</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110,912</w:t>
            </w:r>
          </w:p>
        </w:tc>
      </w:tr>
      <w:tr>
        <w:trPr>
          <w:trHeight w:val="212"/>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1,763,423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1,782,491</w:t>
            </w: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378,686</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311,356</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166,396</w:t>
            </w:r>
          </w:p>
        </w:tc>
      </w:tr>
      <w:tr>
        <w:trPr>
          <w:trHeight w:val="20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832,821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856,438</w:t>
            </w: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45,617</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604,915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633,511</w:t>
            </w:r>
          </w:p>
        </w:tc>
      </w:tr>
      <w:tr>
        <w:trPr>
          <w:trHeight w:val="213"/>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217,310</w:t>
            </w:r>
          </w:p>
        </w:tc>
      </w:tr>
      <w:tr>
        <w:trPr>
          <w:trHeight w:val="212"/>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896,438</w:t>
            </w:r>
          </w:p>
        </w:tc>
      </w:tr>
      <w:tr>
        <w:trPr>
          <w:trHeight w:val="214"/>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40,985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42,787</w:t>
            </w:r>
          </w:p>
        </w:tc>
      </w:tr>
      <w:tr>
        <w:trPr>
          <w:trHeight w:val="23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3,495,768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3,578,154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hanging="251"/>
        <w:spacing w:after="0"/>
        <w:tabs>
          <w:tab w:leader="none" w:pos="3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past due totals presented above, $12,570 and $14,307 of these balances were fully guaranteed by the SBA as of March 31, 2026 a</w:t>
      </w:r>
      <w:r>
        <w:rPr>
          <w:rFonts w:ascii="Times New Roman" w:cs="Times New Roman" w:eastAsia="Times New Roman" w:hAnsi="Times New Roman"/>
          <w:sz w:val="16"/>
          <w:szCs w:val="16"/>
          <w:color w:val="auto"/>
        </w:rPr>
        <w:t>nd</w:t>
      </w:r>
      <w:r>
        <w:rPr>
          <w:rFonts w:ascii="Times New Roman" w:cs="Times New Roman" w:eastAsia="Times New Roman" w:hAnsi="Times New Roman"/>
          <w:sz w:val="13"/>
          <w:szCs w:val="13"/>
          <w:color w:val="auto"/>
        </w:rPr>
        <w:t xml:space="preserve"> December 31, 2025, respectively.</w:t>
      </w:r>
    </w:p>
    <w:p>
      <w:pPr>
        <w:spacing w:after="0" w:line="14" w:lineRule="exact"/>
        <w:rPr>
          <w:rFonts w:ascii="Times New Roman" w:cs="Times New Roman" w:eastAsia="Times New Roman" w:hAnsi="Times New Roman"/>
          <w:sz w:val="13"/>
          <w:szCs w:val="13"/>
          <w:color w:val="auto"/>
        </w:rPr>
      </w:pPr>
    </w:p>
    <w:p>
      <w:pPr>
        <w:jc w:val="both"/>
        <w:ind w:left="340" w:hanging="251"/>
        <w:spacing w:after="0" w:line="239" w:lineRule="auto"/>
        <w:tabs>
          <w:tab w:leader="none" w:pos="33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 change in prior period disclosures where, for loans with monthly payments, they were previously considered past due when a loan is in arrears two or more payments. Under the updated disclosure, these loans are considered past due when the loan is in arrears one or more payments. The most significant impact was to the "30-89 Days" column where the total balance increased by $37,194, with the one-to-four family residential real estate portfolio making up $22,393 of the change.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recorded investment in loans on nonaccrual status, by segment and class, including restructured loans. It also includes interest income recognized on nonaccrual loans for the three months ended March 31, 2026.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90 Days+ &amp;</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Nonaccrual with No</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Still Accruing as of</w:t>
            </w:r>
          </w:p>
        </w:tc>
        <w:tc>
          <w:tcPr>
            <w:tcW w:w="16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ACL as of March 31,</w:t>
            </w: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39"/>
              <w:spacing w:after="0" w:line="216" w:lineRule="exact"/>
              <w:rPr>
                <w:sz w:val="20"/>
                <w:szCs w:val="20"/>
                <w:color w:val="auto"/>
              </w:rPr>
            </w:pPr>
            <w:r>
              <w:rPr>
                <w:rFonts w:ascii="Times New Roman" w:cs="Times New Roman" w:eastAsia="Times New Roman" w:hAnsi="Times New Roman"/>
                <w:sz w:val="16"/>
                <w:szCs w:val="16"/>
                <w:b w:val="1"/>
                <w:bCs w:val="1"/>
                <w:color w:val="auto"/>
              </w:rPr>
              <w:t>2025</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360" w:type="dxa"/>
            <w:vAlign w:val="bottom"/>
          </w:tcPr>
          <w:p>
            <w:pPr>
              <w:spacing w:after="0"/>
              <w:rPr>
                <w:sz w:val="18"/>
                <w:szCs w:val="18"/>
                <w:color w:val="auto"/>
              </w:rPr>
            </w:pPr>
          </w:p>
        </w:tc>
        <w:tc>
          <w:tcPr>
            <w:tcW w:w="12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4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1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17,414</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4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9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4"/>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7"/>
        </w:trPr>
        <w:tc>
          <w:tcPr>
            <w:tcW w:w="3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9,484</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7"/>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46,739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43,776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  Of the nonaccrual totals presented above, $16,348 and $14,885 of these balances were fully guaranteed by the SBA as of March 31, 2026 and December 31, 2025, respectively.</w:t>
      </w:r>
    </w:p>
    <w:p>
      <w:pPr>
        <w:spacing w:after="0" w:line="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following tables present analyses of the ACL on loans by segment for the periods indicated below. In addition to the provision (benefit) for credit losses on loans presented below, a benefit of $575 and provision of $740 for off-balance sheet credit exposures were recorded for the three months ended March 31, 2026 and 2025, respectively.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41,479</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19,781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12,047</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40,607</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45,285</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14,863</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44,742</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 loan is considered to be collateral dependent when the borrower is experiencing financial difficulty and the repayment is expected to be provided substantially through the operation or sale of the collateral. The following tables provide a breakdown between loans identified as CDAs and non-CDAs, by segment and class, as well as collateral coverage for those loans at the dates indicated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ind w:left="720"/>
              <w:spacing w:after="0"/>
              <w:rPr>
                <w:sz w:val="20"/>
                <w:szCs w:val="20"/>
                <w:color w:val="auto"/>
              </w:rPr>
            </w:pPr>
            <w:r>
              <w:rPr>
                <w:rFonts w:ascii="Times New Roman" w:cs="Times New Roman" w:eastAsia="Times New Roman" w:hAnsi="Times New Roman"/>
                <w:sz w:val="16"/>
                <w:szCs w:val="16"/>
                <w:b w:val="1"/>
                <w:bCs w:val="1"/>
                <w:color w:val="auto"/>
              </w:rPr>
              <w:t>Type and Extent of Collateral Securing CDAs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3"/>
                <w:szCs w:val="13"/>
                <w:color w:val="auto"/>
              </w:rPr>
            </w:pPr>
          </w:p>
        </w:tc>
        <w:tc>
          <w:tcPr>
            <w:tcW w:w="84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Non-CDAs</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0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317,497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317,497</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527,375</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823,672</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109,564</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1,770,000</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1,778,108</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392,114</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286,455</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167,371</w:t>
            </w:r>
          </w:p>
        </w:tc>
        <w:tc>
          <w:tcPr>
            <w:tcW w:w="0" w:type="dxa"/>
            <w:vAlign w:val="bottom"/>
          </w:tcPr>
          <w:p>
            <w:pPr>
              <w:spacing w:after="0"/>
              <w:rPr>
                <w:sz w:val="1"/>
                <w:szCs w:val="1"/>
                <w:color w:val="auto"/>
              </w:rPr>
            </w:pPr>
          </w:p>
        </w:tc>
      </w:tr>
      <w:tr>
        <w:trPr>
          <w:trHeight w:val="212"/>
        </w:trPr>
        <w:tc>
          <w:tcPr>
            <w:tcW w:w="4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844,963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845,940</w:t>
            </w: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48,715</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619,735</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218,283</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886,733</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886,733</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35,799</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3,537,495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3,546,580</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ind w:left="720"/>
              <w:spacing w:after="0"/>
              <w:rPr>
                <w:sz w:val="20"/>
                <w:szCs w:val="20"/>
                <w:color w:val="auto"/>
              </w:rPr>
            </w:pPr>
            <w:r>
              <w:rPr>
                <w:rFonts w:ascii="Times New Roman" w:cs="Times New Roman" w:eastAsia="Times New Roman" w:hAnsi="Times New Roman"/>
                <w:sz w:val="16"/>
                <w:szCs w:val="16"/>
                <w:b w:val="1"/>
                <w:bCs w:val="1"/>
                <w:color w:val="auto"/>
              </w:rPr>
              <w:t>Type and Extent of Collateral Securing CDAs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3"/>
                <w:szCs w:val="13"/>
                <w:color w:val="auto"/>
              </w:rPr>
            </w:pPr>
          </w:p>
        </w:tc>
        <w:tc>
          <w:tcPr>
            <w:tcW w:w="84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Non-CDAs</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0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277,028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277,028</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562,049</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832,502</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110,912</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1,774,260</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1,782,491</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378,686</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311,356</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166,396</w:t>
            </w:r>
          </w:p>
        </w:tc>
        <w:tc>
          <w:tcPr>
            <w:tcW w:w="0" w:type="dxa"/>
            <w:vAlign w:val="bottom"/>
          </w:tcPr>
          <w:p>
            <w:pPr>
              <w:spacing w:after="0"/>
              <w:rPr>
                <w:sz w:val="1"/>
                <w:szCs w:val="1"/>
                <w:color w:val="auto"/>
              </w:rPr>
            </w:pPr>
          </w:p>
        </w:tc>
      </w:tr>
      <w:tr>
        <w:trPr>
          <w:trHeight w:val="212"/>
        </w:trPr>
        <w:tc>
          <w:tcPr>
            <w:tcW w:w="4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854,351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856,438</w:t>
            </w: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45,617</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633,511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633,511</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217,310</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896,438</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896,438</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42,787</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3,567,836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3,578,154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Modifications to Borrowers Experiencing Financial Difficulty</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modifies loans to borrowers experiencing financial difficulty by providing principal forgiveness, a term extension, an other-than-insignificant payment delay or interest rate adjustments. In some cases, the Company provides multiple types of modifications on one loan. Typically, one type of modification, such as a term extension, is granted initially. If the borrower continues to experience financial difficulty, another modification, such as principal forgiveness, may be granted. For loans included in the combination columns in the table below, multiple types of modifications have been made on the same loan within the current reporting period.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following tables present the amortized cost basis of loans at March 31, 2026 and 2025, that were both experiencing financial difficulty and modified during the three months ended March 31, 2026 and 2025, by class and type of modification. The percentage of the amortized cost basis of loans that were modified to borrowers in financial difficulty as compared to the amortized cost basis of each class of financing receivable is also presented.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Total Class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&amp; Principal</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&amp; Interest Rate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Financing</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real estate – owner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0.40 %</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Commercial real estate – non-owner</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r>
        <w:trPr>
          <w:trHeight w:val="209"/>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0.18 %</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5"/>
        </w:trPr>
        <w:tc>
          <w:tcPr>
            <w:tcW w:w="2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Total Class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&amp; Principal</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&amp; Interest Rate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Financing</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real estate – owner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0.14 %</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0.06 %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financial effect of the loan modifications presented above to borrowers experiencing financial difficulty for the periods indicated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r>
      <w:tr>
        <w:trPr>
          <w:trHeight w:val="158"/>
        </w:trPr>
        <w:tc>
          <w:tcPr>
            <w:tcW w:w="6100" w:type="dxa"/>
            <w:vAlign w:val="bottom"/>
          </w:tcPr>
          <w:p>
            <w:pPr>
              <w:spacing w:after="0"/>
              <w:rPr>
                <w:sz w:val="13"/>
                <w:szCs w:val="13"/>
                <w:color w:val="auto"/>
              </w:rPr>
            </w:pPr>
          </w:p>
        </w:tc>
        <w:tc>
          <w:tcPr>
            <w:tcW w:w="110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 Term</w:t>
            </w:r>
          </w:p>
        </w:tc>
      </w:tr>
      <w:tr>
        <w:trPr>
          <w:trHeight w:val="214"/>
        </w:trPr>
        <w:tc>
          <w:tcPr>
            <w:tcW w:w="6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Rate Reduction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Extension (Years)</w:t>
            </w:r>
          </w:p>
        </w:tc>
      </w:tr>
      <w:tr>
        <w:trPr>
          <w:trHeight w:val="19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owner-occupied</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tcPr>
          <w:p>
            <w:pPr>
              <w:spacing w:after="0"/>
              <w:rPr>
                <w:sz w:val="18"/>
                <w:szCs w:val="18"/>
                <w:color w:val="auto"/>
              </w:rPr>
            </w:pPr>
          </w:p>
        </w:tc>
        <w:tc>
          <w:tcPr>
            <w:tcW w:w="17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ind w:left="1540"/>
              <w:spacing w:after="0"/>
              <w:rPr>
                <w:sz w:val="20"/>
                <w:szCs w:val="20"/>
                <w:color w:val="auto"/>
              </w:rPr>
            </w:pPr>
            <w:r>
              <w:rPr>
                <w:rFonts w:ascii="Times New Roman" w:cs="Times New Roman" w:eastAsia="Times New Roman" w:hAnsi="Times New Roman"/>
                <w:sz w:val="16"/>
                <w:szCs w:val="16"/>
                <w:color w:val="auto"/>
                <w:w w:val="99"/>
              </w:rPr>
              <w:t>5.0</w:t>
            </w:r>
          </w:p>
        </w:tc>
      </w:tr>
      <w:tr>
        <w:trPr>
          <w:trHeight w:val="237"/>
        </w:trPr>
        <w:tc>
          <w:tcPr>
            <w:tcW w:w="6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w w:val="99"/>
              </w:rPr>
              <w:t>5.0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5"/>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2025</w:t>
            </w:r>
          </w:p>
        </w:tc>
      </w:tr>
      <w:tr>
        <w:trPr>
          <w:trHeight w:val="158"/>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 Term</w:t>
            </w:r>
          </w:p>
        </w:tc>
      </w:tr>
      <w:tr>
        <w:trPr>
          <w:trHeight w:val="214"/>
        </w:trPr>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Rate Reduction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Extension (Years)</w:t>
            </w:r>
          </w:p>
        </w:tc>
      </w:tr>
      <w:tr>
        <w:trPr>
          <w:trHeight w:val="19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0"/>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ind w:left="920"/>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bl>
    <w:p>
      <w:pPr>
        <w:spacing w:after="0" w:line="15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presents loans that had a payment default during the periods indicated that had previously been modified within the prior twelve months. For purposes of this table, a loan is considered to be in default when it becomes 30 days contractually past due under the modified terms.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3"/>
                <w:szCs w:val="13"/>
                <w:color w:val="auto"/>
              </w:rPr>
            </w:pPr>
          </w:p>
        </w:tc>
        <w:tc>
          <w:tcPr>
            <w:tcW w:w="12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4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0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400" w:type="dxa"/>
            <w:vAlign w:val="bottom"/>
            <w:gridSpan w:val="4"/>
            <w:vMerge w:val="continue"/>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0" w:type="dxa"/>
            <w:vAlign w:val="bottom"/>
          </w:tcPr>
          <w:p>
            <w:pPr>
              <w:spacing w:after="0"/>
              <w:rPr>
                <w:sz w:val="1"/>
                <w:szCs w:val="1"/>
                <w:color w:val="auto"/>
              </w:rPr>
            </w:pPr>
          </w:p>
        </w:tc>
      </w:tr>
      <w:tr>
        <w:trPr>
          <w:trHeight w:val="19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3"/>
                <w:szCs w:val="13"/>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Payment Delay</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20" w:type="dxa"/>
            <w:vAlign w:val="bottom"/>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0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0" w:type="dxa"/>
            <w:vAlign w:val="bottom"/>
          </w:tcPr>
          <w:p>
            <w:pPr>
              <w:spacing w:after="0"/>
              <w:rPr>
                <w:sz w:val="1"/>
                <w:szCs w:val="1"/>
                <w:color w:val="auto"/>
              </w:rPr>
            </w:pPr>
          </w:p>
        </w:tc>
      </w:tr>
      <w:tr>
        <w:trPr>
          <w:trHeight w:val="19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owner-occupied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Off-Balance Sheet Credit Exposure</w:t>
      </w:r>
    </w:p>
    <w:p>
      <w:pPr>
        <w:spacing w:after="0" w:line="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March 31, 2026 and December 31, 2025, the ACL on off-balance sheet credit exposures included in other liabilities was $3,570 and $4,145, respectively.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6.  Deposits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44"/>
        </w:trPr>
        <w:tc>
          <w:tcPr>
            <w:tcW w:w="7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Deposit accounts at the dates indicated consist of the following:</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33"/>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20"/>
                <w:szCs w:val="20"/>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2"/>
        </w:trPr>
        <w:tc>
          <w:tcPr>
            <w:tcW w:w="75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accounts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707,748</w:t>
            </w:r>
          </w:p>
        </w:tc>
      </w:tr>
      <w:tr>
        <w:trPr>
          <w:trHeight w:val="213"/>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NOW accounts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546,387</w:t>
            </w:r>
          </w:p>
        </w:tc>
      </w:tr>
      <w:tr>
        <w:trPr>
          <w:trHeight w:val="219"/>
        </w:trPr>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accounts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1,374,635</w:t>
            </w:r>
          </w:p>
        </w:tc>
      </w:tr>
      <w:tr>
        <w:trPr>
          <w:trHeight w:val="213"/>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171,455</w:t>
            </w:r>
          </w:p>
        </w:tc>
      </w:tr>
      <w:tr>
        <w:trPr>
          <w:trHeight w:val="216"/>
        </w:trPr>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768,477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909,772</w:t>
            </w:r>
          </w:p>
        </w:tc>
      </w:tr>
      <w:tr>
        <w:trPr>
          <w:trHeight w:val="212"/>
        </w:trPr>
        <w:tc>
          <w:tcPr>
            <w:tcW w:w="75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3,639,542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3,709,997</w:t>
            </w: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Deposits received from executive officers, directors and their associates totaled approximately $2,104 and $1,105 at March 31, 2026 and December 31, 2025, respectively.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tcPr>
          <w:p>
            <w:pPr>
              <w:spacing w:after="0"/>
              <w:rPr>
                <w:sz w:val="20"/>
                <w:szCs w:val="20"/>
                <w:color w:val="auto"/>
              </w:rPr>
            </w:pPr>
            <w:r>
              <w:rPr>
                <w:rFonts w:ascii="Times New Roman" w:cs="Times New Roman" w:eastAsia="Times New Roman" w:hAnsi="Times New Roman"/>
                <w:sz w:val="16"/>
                <w:szCs w:val="16"/>
                <w:color w:val="auto"/>
              </w:rPr>
              <w:t>As of March 31, 2026, scheduled maturities of certificates of deposit were as follows:</w:t>
            </w: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0"/>
        </w:trPr>
        <w:tc>
          <w:tcPr>
            <w:tcW w:w="9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16"/>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Remainder of 2026</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726,382</w:t>
            </w:r>
          </w:p>
        </w:tc>
      </w:tr>
      <w:tr>
        <w:trPr>
          <w:trHeight w:val="213"/>
        </w:trPr>
        <w:tc>
          <w:tcPr>
            <w:tcW w:w="9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38,369</w:t>
            </w:r>
          </w:p>
        </w:tc>
      </w:tr>
      <w:tr>
        <w:trPr>
          <w:trHeight w:val="219"/>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w:t>
            </w:r>
          </w:p>
        </w:tc>
      </w:tr>
      <w:tr>
        <w:trPr>
          <w:trHeight w:val="213"/>
        </w:trPr>
        <w:tc>
          <w:tcPr>
            <w:tcW w:w="9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2029</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9"/>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2030</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213"/>
        </w:trPr>
        <w:tc>
          <w:tcPr>
            <w:tcW w:w="9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37"/>
        </w:trPr>
        <w:tc>
          <w:tcPr>
            <w:tcW w:w="9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768,477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Certificates of deposit with balances of $250 or greater totaled $186,265 and $198,473 at March 31, 2026 and December 31, 2025, respectively. Generally, deposit amounts in excess of $250 are not federally insured.</w:t>
      </w:r>
    </w:p>
    <w:p>
      <w:pPr>
        <w:spacing w:after="0" w:line="95" w:lineRule="exact"/>
        <w:rPr>
          <w:sz w:val="20"/>
          <w:szCs w:val="20"/>
          <w:color w:val="auto"/>
        </w:rPr>
      </w:pPr>
    </w:p>
    <w:p>
      <w:pPr>
        <w:ind w:left="300" w:hanging="292"/>
        <w:spacing w:after="0"/>
        <w:tabs>
          <w:tab w:leader="none" w:pos="30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Borrowings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Junior Subordinated Debentures</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February 21, 2007, Quantum formed a Connecticut statutory trust, Quantum Capital Statutory Trust II (the "Trust"), which issued $11,000 of trust preferred securities that were designed to qualify as Tier I capital under Federal Reserve Board guidelines. All of the common securities of the Trust were owned by Quantum. The proceeds from the issuance of the common securities and the trust preferred securities were used by the Trust to purchase $11,341 of junior subordinated debentures of Quantum. As a result of its merger with Quantum on February 12, 2023, HomeTrust became the 100% successor owner of the Trust.</w:t>
      </w:r>
    </w:p>
    <w:p>
      <w:pPr>
        <w:spacing w:after="0" w:line="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trust preferred securities accrue and pay quarterly distributions at a floating rate of 3-month Term SOFR plus 2.20%, which was 5.88% at March 31, 2026. The Company has guaranteed distributions and other payments due on the trust preferred securities to the extent the Trust has insufficient funds with which to make the distributions and other payments. The net combined effect of all documents entered into in connection with the trust preferred securities is that the Company is liable to make the distributions and other payments required on the trust preferred securities.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trust preferred securities are mandatorily redeemable upon maturity of the debentures on March 15, 2037, or upon earlier redemption as provided in the indenture. The debentures purchased by the Trust have been redeemable, in whole or in part, since March 15, 2012. As specified in the indenture, if the debentures are redeemed prior to maturity, the redemption price will be the principal amount and any accrued but unpaid interest.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Borrowings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Borrowings, outside of junior subordinated debt, consist of the following at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00" w:type="dxa"/>
            <w:vAlign w:val="bottom"/>
            <w:gridSpan w:val="5"/>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338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3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2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FRB advances (short-term)</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3.75 %</w:t>
            </w:r>
          </w:p>
        </w:tc>
      </w:tr>
    </w:tbl>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All qualifying one-to-four family loans, HELOCs, commercial real estate loans, multifamily loans and FHLB of Atlanta stock are pledged as collateral to secure outstanding FHLB advances while commercial construction loans, indirect auto loans, and equipment and municipal leases are pledged as collateral to secure outstanding FRB advances. At March 31, 2026 and December 31, 2025, the Company had the ability to borrow $366,632 and $355,296, respectively, through additional FHLB advances and $140,612 and $66,347, respectively, through the unused portion of a line of credit with the FRB.</w:t>
      </w:r>
    </w:p>
    <w:p>
      <w:pPr>
        <w:spacing w:after="0" w:line="3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At March 31, 2026 and December 31, 2025, the Company maintained revolving lines of credit with four unaffiliated banks which totaled $135,000 and $165,000, respectively. At both dates, the aggregate outstanding balance on the revolving lines of credit was $0.</w:t>
      </w:r>
    </w:p>
    <w:p>
      <w:pPr>
        <w:spacing w:after="0" w:line="81"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Leases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Lessee - Operating Leases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spacing w:after="0" w:line="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following tables present supplemental balance sheet information related to operating leases. ROU assets are included in other assets and lease liabilities are included in other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3"/>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7,634</w:t>
            </w: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8,765</w:t>
            </w:r>
          </w:p>
        </w:tc>
        <w:tc>
          <w:tcPr>
            <w:tcW w:w="10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9,047</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terms (years)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3.64 %</w:t>
            </w:r>
          </w:p>
        </w:tc>
        <w:tc>
          <w:tcPr>
            <w:tcW w:w="0" w:type="dxa"/>
            <w:vAlign w:val="bottom"/>
          </w:tcPr>
          <w:p>
            <w:pPr>
              <w:spacing w:after="0"/>
              <w:rPr>
                <w:sz w:val="1"/>
                <w:szCs w:val="1"/>
                <w:color w:val="auto"/>
              </w:rPr>
            </w:pPr>
          </w:p>
        </w:tc>
      </w:tr>
      <w:tr>
        <w:trPr>
          <w:trHeight w:val="364"/>
        </w:trPr>
        <w:tc>
          <w:tcPr>
            <w:tcW w:w="93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following schedule summarizes aggregate future minimum lease payments under these operating leases at March 31, 2026: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7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w:t>
            </w: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0" w:type="dxa"/>
            <w:vAlign w:val="bottom"/>
          </w:tcPr>
          <w:p>
            <w:pPr>
              <w:spacing w:after="0"/>
              <w:rPr>
                <w:sz w:val="1"/>
                <w:szCs w:val="1"/>
                <w:color w:val="auto"/>
              </w:rPr>
            </w:pPr>
          </w:p>
        </w:tc>
      </w:tr>
      <w:tr>
        <w:trPr>
          <w:trHeight w:val="234"/>
        </w:trPr>
        <w:tc>
          <w:tcPr>
            <w:tcW w:w="7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lease liability</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The following table presents components of operating lease expense for the periods indicated:</w:t>
            </w: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6"/>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 (included in occupancy expense,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Sublease income (included in other noninterest income)</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6"/>
                <w:szCs w:val="16"/>
                <w:color w:val="auto"/>
                <w:w w:val="97"/>
              </w:rPr>
              <w:t>(55)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35"/>
        </w:trPr>
        <w:tc>
          <w:tcPr>
            <w:tcW w:w="7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operating lease expense, net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345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presents supplemental operating lease cash flow information for the periods indicated:</w:t>
            </w: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73"/>
        </w:trPr>
        <w:tc>
          <w:tcPr>
            <w:tcW w:w="7580" w:type="dxa"/>
            <w:vAlign w:val="bottom"/>
          </w:tcPr>
          <w:p>
            <w:pPr>
              <w:spacing w:after="0"/>
              <w:rPr>
                <w:sz w:val="23"/>
                <w:szCs w:val="23"/>
                <w:color w:val="auto"/>
              </w:rPr>
            </w:pPr>
          </w:p>
        </w:tc>
        <w:tc>
          <w:tcPr>
            <w:tcW w:w="314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23"/>
                <w:szCs w:val="23"/>
                <w:color w:val="auto"/>
              </w:rPr>
            </w:pPr>
          </w:p>
        </w:tc>
      </w:tr>
      <w:tr>
        <w:trPr>
          <w:trHeight w:val="211"/>
        </w:trPr>
        <w:tc>
          <w:tcPr>
            <w:tcW w:w="75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r>
      <w:tr>
        <w:trPr>
          <w:trHeight w:val="21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 - noncash additions</w:t>
            </w: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General</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fixed purchase option, and most of the leases that do not have a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Operating Leases</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Operating lease income is recognized as a component of noninterest income on a straight-line basis over the lease term. Lease terms range from one to seven years. Assets related to operating leases are included in other assets and the corresponding depreciation expense is recorded on a straight-line basis as a component of other noninterest expense. The net book value of leased assets totaled $23,224 and $25,415 with a residual value of $12,617 and $13,167 as of March 31, 2026 and December 31, 2025, respectively.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schedule summarizes, as of March 31, 2026, aggregate future minimum lease payments to be received:</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60"/>
        </w:trPr>
        <w:tc>
          <w:tcPr>
            <w:tcW w:w="9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1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r>
      <w:tr>
        <w:trPr>
          <w:trHeight w:val="21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4"/>
        </w:trPr>
        <w:tc>
          <w:tcPr>
            <w:tcW w:w="9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of future minimum payments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15,291</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Financing Leases</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March 31, 2026 and 2025, interest income on equipment finance leases totaled $1,499 and $1,218, respectively.</w:t>
      </w:r>
    </w:p>
    <w:p>
      <w:pPr>
        <w:spacing w:after="0" w:line="3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lease receivable component of finance lease net investment included within the equipment finance class of financing receivables was $81,522 and $82,305 at March 31, 2026 and December 31, 2025, respectively.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schedule summarizes, as of March 31, 2026, aggregate future minimum finance lease payments to be received:</w:t>
            </w: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0"/>
        </w:trPr>
        <w:tc>
          <w:tcPr>
            <w:tcW w:w="9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1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21,609</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25,844</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19,455</w:t>
            </w:r>
          </w:p>
        </w:tc>
      </w:tr>
      <w:tr>
        <w:trPr>
          <w:trHeight w:val="213"/>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14,054</w:t>
            </w: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w:t>
            </w:r>
          </w:p>
        </w:tc>
      </w:tr>
      <w:tr>
        <w:trPr>
          <w:trHeight w:val="21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5,842</w:t>
            </w:r>
          </w:p>
        </w:tc>
      </w:tr>
      <w:tr>
        <w:trPr>
          <w:trHeight w:val="212"/>
        </w:trPr>
        <w:tc>
          <w:tcPr>
            <w:tcW w:w="9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95,301</w:t>
            </w:r>
          </w:p>
        </w:tc>
      </w:tr>
      <w:tr>
        <w:trPr>
          <w:trHeight w:val="213"/>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(13,779)</w:t>
            </w:r>
          </w:p>
        </w:tc>
      </w:tr>
      <w:tr>
        <w:trPr>
          <w:trHeight w:val="237"/>
        </w:trPr>
        <w:tc>
          <w:tcPr>
            <w:tcW w:w="9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lease receivable</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81,522</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Equity Incentive Plan</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spacing w:after="0" w:line="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share-based compensation expense and the estimated related tax benefit for stock options and restricted stock for the periods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314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11"/>
        </w:trPr>
        <w:tc>
          <w:tcPr>
            <w:tcW w:w="75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r>
      <w:tr>
        <w:trPr>
          <w:trHeight w:val="21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stock option activity and related information for the periods indicated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6"/>
                <w:szCs w:val="16"/>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260" w:type="dxa"/>
            <w:vAlign w:val="bottom"/>
          </w:tcPr>
          <w:p>
            <w:pPr>
              <w:spacing w:after="0"/>
              <w:rPr>
                <w:sz w:val="14"/>
                <w:szCs w:val="14"/>
                <w:color w:val="auto"/>
              </w:rPr>
            </w:pPr>
          </w:p>
        </w:tc>
        <w:tc>
          <w:tcPr>
            <w:tcW w:w="1280" w:type="dxa"/>
            <w:vAlign w:val="bottom"/>
          </w:tcPr>
          <w:p>
            <w:pPr>
              <w:jc w:val="center"/>
              <w:ind w:right="1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4"/>
        </w:trPr>
        <w:tc>
          <w:tcPr>
            <w:tcW w:w="48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60" w:type="dxa"/>
            <w:vAlign w:val="bottom"/>
          </w:tcPr>
          <w:p>
            <w:pPr>
              <w:spacing w:after="0"/>
              <w:rPr>
                <w:sz w:val="18"/>
                <w:szCs w:val="18"/>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December 31,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0" w:type="dxa"/>
            <w:vAlign w:val="bottom"/>
          </w:tcPr>
          <w:p>
            <w:pPr>
              <w:spacing w:after="0"/>
              <w:rPr>
                <w:sz w:val="1"/>
                <w:szCs w:val="1"/>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Options outstanding at March 31, 2025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408,737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March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2025</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48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December 31, 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5,945</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Options outstanding at March 31, 2026</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336,797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March 31,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2026</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options granted during the three months ended March 31, 2026 or 2025.</w:t>
      </w:r>
    </w:p>
    <w:p>
      <w:pPr>
        <w:spacing w:after="0" w:line="8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At March 31, 2026, the Company had $68 of unrecognized compensation expense related to 9,290 stock options originally scheduled to vest over a five-year period. The weighted average period over which compensation cost related to non-vested awards is expected to be recognized was 0.9 years at March 31, 2026. At March 31, 2025, the Company had $187 of unrecognized compensation expense related to 26,180 stock options originally scheduled to vest over a five-year period. The weighted average period over which compensation cost related to non-vested awards is expected to be recognized was 1.2 years at March 31, 2025.</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presents restricted stock award activity and related information: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spacing w:after="0"/>
              <w:rPr>
                <w:sz w:val="19"/>
                <w:szCs w:val="19"/>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Performance-Based</w:t>
            </w: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9"/>
                <w:szCs w:val="19"/>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180" w:type="dxa"/>
            <w:vAlign w:val="bottom"/>
          </w:tcPr>
          <w:p>
            <w:pPr>
              <w:spacing w:after="0"/>
              <w:rPr>
                <w:sz w:val="14"/>
                <w:szCs w:val="14"/>
                <w:color w:val="auto"/>
              </w:rPr>
            </w:pPr>
          </w:p>
        </w:tc>
        <w:tc>
          <w:tcPr>
            <w:tcW w:w="108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3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Stock Awards</w:t>
            </w:r>
            <w:r>
              <w:rPr>
                <w:rFonts w:ascii="Times New Roman" w:cs="Times New Roman" w:eastAsia="Times New Roman" w:hAnsi="Times New Roman"/>
                <w:sz w:val="21"/>
                <w:szCs w:val="21"/>
                <w:b w:val="1"/>
                <w:bCs w:val="1"/>
                <w:color w:val="auto"/>
                <w:w w:val="96"/>
                <w:vertAlign w:val="superscript"/>
              </w:rPr>
              <w:t>(1)</w:t>
            </w:r>
          </w:p>
        </w:tc>
        <w:tc>
          <w:tcPr>
            <w:tcW w:w="172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Stock Units</w:t>
            </w:r>
            <w:r>
              <w:rPr>
                <w:rFonts w:ascii="Times New Roman" w:cs="Times New Roman" w:eastAsia="Times New Roman" w:hAnsi="Times New Roman"/>
                <w:sz w:val="21"/>
                <w:szCs w:val="21"/>
                <w:b w:val="1"/>
                <w:bCs w:val="1"/>
                <w:color w:val="auto"/>
                <w:w w:val="96"/>
                <w:vertAlign w:val="superscript"/>
              </w:rPr>
              <w:t>(2)</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138,582</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0" w:type="dxa"/>
            <w:vAlign w:val="bottom"/>
          </w:tcPr>
          <w:p>
            <w:pPr>
              <w:spacing w:after="0"/>
              <w:rPr>
                <w:sz w:val="1"/>
                <w:szCs w:val="1"/>
                <w:color w:val="auto"/>
              </w:rPr>
            </w:pPr>
          </w:p>
        </w:tc>
      </w:tr>
      <w:tr>
        <w:trPr>
          <w:trHeight w:val="21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49,285</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(35,304)</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1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5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144,964</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0" w:type="dxa"/>
            <w:vAlign w:val="bottom"/>
          </w:tcPr>
          <w:p>
            <w:pPr>
              <w:spacing w:after="0"/>
              <w:rPr>
                <w:sz w:val="1"/>
                <w:szCs w:val="1"/>
                <w:color w:val="auto"/>
              </w:rPr>
            </w:pPr>
          </w:p>
        </w:tc>
      </w:tr>
      <w:tr>
        <w:trPr>
          <w:trHeight w:val="21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54,111</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(39,697)</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2026</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159,378</w:t>
            </w:r>
          </w:p>
        </w:tc>
        <w:tc>
          <w:tcPr>
            <w:tcW w:w="10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57,373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9,244</w:t>
            </w: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60" w:hanging="252"/>
        <w:spacing w:after="0" w:line="291" w:lineRule="auto"/>
        <w:tabs>
          <w:tab w:leader="none" w:pos="25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awards granted in calendar year 2026 are scheduled to vest over 1.0 year for director awards and 3.0 years for employee awards. All restricted stock awards granted prior to calendar year 2026 are scheduled to vest over 1.0 year for director awards and 5.0 years for employee awards.</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restricted stock units are scheduled to vest over 3.0 years assuming the applicable financial goals are met.</w:t>
      </w:r>
    </w:p>
    <w:p>
      <w:pPr>
        <w:spacing w:after="0" w:line="1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March 31, 2026, unrecognized compensation expense was $6,741 related to 216,751 shares of restricted stock. The weighted average period over which compensation cost related to non-vested awards is expected to be recognized was 1.9 years at March 31, 2026. At March 31, 2025, unrecognized compensation expense was $4,952 related to 195,475 shares of restricted stock. The weighted average period over which compensation cost related to non-vested awards is expected to be recognized was 2.0 years at March 31,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Net Income per Share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the numerator and denominator of basic and diluted net income per share of common stock for the periods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5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w:t>
            </w: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Allocation of earnings to participating securities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183"/>
        </w:trPr>
        <w:tc>
          <w:tcPr>
            <w:tcW w:w="7580" w:type="dxa"/>
            <w:vAlign w:val="bottom"/>
          </w:tcPr>
          <w:p>
            <w:pPr>
              <w:ind w:left="180"/>
              <w:spacing w:after="0" w:line="183" w:lineRule="exact"/>
              <w:rPr>
                <w:sz w:val="20"/>
                <w:szCs w:val="20"/>
                <w:color w:val="auto"/>
              </w:rPr>
            </w:pPr>
            <w:r>
              <w:rPr>
                <w:rFonts w:ascii="Times New Roman" w:cs="Times New Roman" w:eastAsia="Times New Roman" w:hAnsi="Times New Roman"/>
                <w:sz w:val="16"/>
                <w:szCs w:val="16"/>
                <w:color w:val="auto"/>
              </w:rPr>
              <w:t>Numerator for basic and diluted EPS - net income available to common stockholders</w:t>
            </w:r>
          </w:p>
        </w:tc>
        <w:tc>
          <w:tcPr>
            <w:tcW w:w="420" w:type="dxa"/>
            <w:vAlign w:val="bottom"/>
            <w:tcBorders>
              <w:bottom w:val="single" w:sz="8" w:color="auto"/>
            </w:tcBorders>
          </w:tcPr>
          <w:p>
            <w:pPr>
              <w:jc w:val="right"/>
              <w:ind w:right="2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16,556</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14,374</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9"/>
        </w:trPr>
        <w:tc>
          <w:tcPr>
            <w:tcW w:w="75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Denominator</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85"/>
        </w:trPr>
        <w:tc>
          <w:tcPr>
            <w:tcW w:w="75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16,582,376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17,011,359</w:t>
            </w:r>
          </w:p>
        </w:tc>
      </w:tr>
      <w:tr>
        <w:trPr>
          <w:trHeight w:val="216"/>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Dilutive effect of assumed exercise of stock options</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133,713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102,065</w:t>
            </w:r>
          </w:p>
        </w:tc>
      </w:tr>
      <w:tr>
        <w:trPr>
          <w:trHeight w:val="212"/>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16,716,089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17,113,424</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basic</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diluted</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r>
    </w:tbl>
    <w:p>
      <w:pPr>
        <w:spacing w:after="0" w:line="1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Potential dilutive shares are excluded from the computation of earnings per share if their effect is anti-dilutive. There were no stock options that were anti-dilutive as of March 31, 2026 or 2025.</w:t>
      </w:r>
    </w:p>
    <w:p>
      <w:pPr>
        <w:spacing w:after="0" w:line="109"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Commitments and Contingencies</w:t>
      </w:r>
    </w:p>
    <w:p>
      <w:pPr>
        <w:spacing w:after="0" w:line="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u w:val="single" w:color="auto"/>
          <w:color w:val="auto"/>
        </w:rPr>
        <w:t>Loan Commitments</w:t>
      </w:r>
      <w:r>
        <w:rPr>
          <w:rFonts w:ascii="Times New Roman" w:cs="Times New Roman" w:eastAsia="Times New Roman" w:hAnsi="Times New Roman"/>
          <w:sz w:val="16"/>
          <w:szCs w:val="16"/>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to extend credit that are not reflected in the consolidated financial statements.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9"/>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presents details of loan commitments outstanding as of the dates indicated:</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300"/>
        </w:trPr>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24"/>
                <w:szCs w:val="24"/>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 commitments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87,259</w:t>
            </w:r>
          </w:p>
        </w:tc>
      </w:tr>
      <w:tr>
        <w:trPr>
          <w:trHeight w:val="216"/>
        </w:trPr>
        <w:tc>
          <w:tcPr>
            <w:tcW w:w="75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Fixed rate commitments</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34,716</w:t>
            </w:r>
          </w:p>
        </w:tc>
      </w:tr>
      <w:tr>
        <w:trPr>
          <w:trHeight w:val="210"/>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loan commitments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121,975</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fixed interest rates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 - 9.69%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 - 9.75%</w:t>
            </w:r>
          </w:p>
        </w:tc>
      </w:tr>
      <w:tr>
        <w:trPr>
          <w:trHeight w:val="60"/>
        </w:trPr>
        <w:tc>
          <w:tcPr>
            <w:tcW w:w="7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20" w:type="dxa"/>
            <w:vAlign w:val="bottom"/>
          </w:tcPr>
          <w:p>
            <w:pPr>
              <w:spacing w:after="0"/>
              <w:rPr>
                <w:sz w:val="5"/>
                <w:szCs w:val="5"/>
                <w:color w:val="auto"/>
              </w:rPr>
            </w:pPr>
          </w:p>
        </w:tc>
      </w:tr>
      <w:tr>
        <w:trPr>
          <w:trHeight w:val="25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Undisbursed portions of construction loans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225,617</w:t>
            </w:r>
          </w:p>
        </w:tc>
      </w:tr>
      <w:tr>
        <w:trPr>
          <w:trHeight w:val="279"/>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Pre-approved but unused lines of credit</w:t>
            </w:r>
            <w:r>
              <w:rPr>
                <w:rFonts w:ascii="Times New Roman" w:cs="Times New Roman" w:eastAsia="Times New Roman" w:hAnsi="Times New Roman"/>
                <w:sz w:val="21"/>
                <w:szCs w:val="21"/>
                <w:color w:val="auto"/>
                <w:vertAlign w:val="superscript"/>
              </w:rPr>
              <w:t>(2)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884,571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831,298</w:t>
            </w:r>
          </w:p>
        </w:tc>
      </w:tr>
    </w:tbl>
    <w:p>
      <w:pPr>
        <w:spacing w:after="0" w:line="36"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rate commitments had terms ranging from three to 30 years as of each date presented.</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Principally second mortgage home equity loans and overdraft protection loans.</w:t>
      </w:r>
    </w:p>
    <w:p>
      <w:pPr>
        <w:spacing w:after="0" w:line="9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commitments presented in the above table represent the Company’s exposure to credit risk and, in the opinion of management, have no more than the normal lending risk that the Company commits to its borrowers.</w:t>
      </w:r>
    </w:p>
    <w:p>
      <w:pPr>
        <w:spacing w:after="0" w:line="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March 31, 2026 or December 31, 2025.</w:t>
      </w:r>
    </w:p>
    <w:p>
      <w:pPr>
        <w:spacing w:after="0" w:line="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u w:val="single" w:color="auto"/>
          <w:color w:val="auto"/>
        </w:rPr>
        <w:t>Equity Investment Commitments</w:t>
      </w:r>
      <w:r>
        <w:rPr>
          <w:rFonts w:ascii="Times New Roman" w:cs="Times New Roman" w:eastAsia="Times New Roman" w:hAnsi="Times New Roman"/>
          <w:sz w:val="16"/>
          <w:szCs w:val="16"/>
          <w:color w:val="auto"/>
        </w:rPr>
        <w:t xml:space="preserve"> – As of March 31, 2026, the Company had committed $32,000 across ten SBIC investments with $8,733 remaining to be drawn, while as of December 31, 2025, the Company had committed $32,000 across ten SBIC investments with $9,983 remaining to be drawn. Similarly, the Company had committed $10,000 towards a solar tax equity investment with $2,519 remaining to be drawn at both March 31, 2026 and December 31, 2025. Although the remaining capital commitments may or may not be called in the future, under the terms of the associated agreements, the Company's exposure will not extend beyond the amount of the original commitments.</w:t>
      </w:r>
    </w:p>
    <w:p>
      <w:pPr>
        <w:spacing w:after="0" w:line="2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Guarantees</w:t>
      </w:r>
      <w:r>
        <w:rPr>
          <w:rFonts w:ascii="Times New Roman" w:cs="Times New Roman" w:eastAsia="Times New Roman" w:hAnsi="Times New Roman"/>
          <w:sz w:val="16"/>
          <w:szCs w:val="16"/>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March 31, 2026 and December 31, 2025 were $51,461 and $55,491, respectively. There was no liability recorded for these letters of credit at March 31, 2026 or December 31, 2025.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Times New Roman" w:cs="Times New Roman" w:eastAsia="Times New Roman" w:hAnsi="Times New Roman"/>
          <w:sz w:val="16"/>
          <w:szCs w:val="16"/>
          <w:b w:val="1"/>
          <w:bCs w:val="1"/>
          <w:color w:val="auto"/>
        </w:rPr>
        <w:t>.</w:t>
      </w:r>
    </w:p>
    <w:p>
      <w:pPr>
        <w:spacing w:after="0" w:line="110"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Fair Value of Financial Instruments</w:t>
      </w:r>
    </w:p>
    <w:p>
      <w:pPr>
        <w:spacing w:after="0" w:line="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 w:lineRule="exact"/>
        <w:rPr>
          <w:sz w:val="20"/>
          <w:szCs w:val="20"/>
          <w:color w:val="auto"/>
        </w:rPr>
      </w:pPr>
    </w:p>
    <w:p>
      <w:pPr>
        <w:ind w:left="80"/>
        <w:spacing w:after="0"/>
        <w:tabs>
          <w:tab w:leader="none" w:pos="760" w:val="left"/>
        </w:tabs>
        <w:rPr>
          <w:sz w:val="20"/>
          <w:szCs w:val="20"/>
          <w:color w:val="auto"/>
        </w:rPr>
      </w:pPr>
      <w:r>
        <w:rPr>
          <w:rFonts w:ascii="Times New Roman" w:cs="Times New Roman" w:eastAsia="Times New Roman" w:hAnsi="Times New Roman"/>
          <w:sz w:val="16"/>
          <w:szCs w:val="16"/>
          <w:color w:val="auto"/>
        </w:rPr>
        <w:t>Level 1:</w:t>
        <w:tab/>
        <w:t>Quoted prices (unadjusted) for identical assets or liabilities in active markets that the entity has the ability to access as of the measurement date.</w:t>
      </w:r>
    </w:p>
    <w:p>
      <w:pPr>
        <w:spacing w:after="0" w:line="46" w:lineRule="exact"/>
        <w:rPr>
          <w:sz w:val="20"/>
          <w:szCs w:val="20"/>
          <w:color w:val="auto"/>
        </w:rPr>
      </w:pPr>
    </w:p>
    <w:p>
      <w:pPr>
        <w:ind w:left="800" w:right="20" w:hanging="728"/>
        <w:spacing w:after="0" w:line="272" w:lineRule="auto"/>
        <w:tabs>
          <w:tab w:leader="none" w:pos="780" w:val="left"/>
        </w:tabs>
        <w:rPr>
          <w:sz w:val="20"/>
          <w:szCs w:val="20"/>
          <w:color w:val="auto"/>
        </w:rPr>
      </w:pPr>
      <w:r>
        <w:rPr>
          <w:rFonts w:ascii="Times New Roman" w:cs="Times New Roman" w:eastAsia="Times New Roman" w:hAnsi="Times New Roman"/>
          <w:sz w:val="16"/>
          <w:szCs w:val="16"/>
          <w:color w:val="auto"/>
        </w:rPr>
        <w:t>Level 2:</w:t>
        <w:tab/>
        <w:t>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sz w:val="20"/>
          <w:szCs w:val="20"/>
          <w:color w:val="auto"/>
        </w:rPr>
      </w:pPr>
    </w:p>
    <w:p>
      <w:pPr>
        <w:ind w:left="820" w:hanging="728"/>
        <w:spacing w:after="0" w:line="269" w:lineRule="auto"/>
        <w:tabs>
          <w:tab w:leader="none" w:pos="800" w:val="left"/>
        </w:tabs>
        <w:rPr>
          <w:sz w:val="20"/>
          <w:szCs w:val="20"/>
          <w:color w:val="auto"/>
        </w:rPr>
      </w:pPr>
      <w:r>
        <w:rPr>
          <w:rFonts w:ascii="Times New Roman" w:cs="Times New Roman" w:eastAsia="Times New Roman" w:hAnsi="Times New Roman"/>
          <w:sz w:val="16"/>
          <w:szCs w:val="16"/>
          <w:color w:val="auto"/>
        </w:rPr>
        <w:t>Level 3:</w:t>
        <w:tab/>
        <w:t>Significant unobservable inputs that reflect a company's own assumptions about the assumptions that market participants would use in pricing an asset or liability.</w:t>
      </w:r>
    </w:p>
    <w:p>
      <w:pPr>
        <w:spacing w:after="0" w:line="2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 The following is a description of valuation methodologies used for assets recorded at fair value. As of March 31, 2026 and December 31, 2025, the Company did not have any liabilities recorded at fair value.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methods of determining the fair value of assets and liabilities presented in this note are consistent with the methodologies disclosed in Note 20 of the 2025 Form 10-K.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Assets Recorded at Fair Value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financial assets measured at fair value on a recurring basis at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143,268</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143,268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sale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136,082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136,082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sale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7,005</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held for sale carried at fair value are valued at the individual loan level using quoted secondary market prices.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between levels during the three months ended March 31, 2026 or 2025.</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financial assets measured at fair value on a non-recurring basis at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w:t>
            </w: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finance</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09"/>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4,265</w:t>
            </w:r>
          </w:p>
        </w:tc>
      </w:tr>
      <w:tr>
        <w:trPr>
          <w:trHeight w:val="20"/>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w:t>
            </w: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finance</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r>
      <w:tr>
        <w:trPr>
          <w:trHeight w:val="210"/>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5,364</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5,364</w:t>
            </w:r>
          </w:p>
        </w:tc>
      </w:tr>
      <w:tr>
        <w:trPr>
          <w:trHeight w:val="20"/>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stated carrying value and estimated fair value amounts of financial instruments as of March 31, 2026 and December 31, 2025, are summarized below:</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3"/>
                <w:szCs w:val="13"/>
                <w:color w:val="auto"/>
              </w:rPr>
            </w:pPr>
          </w:p>
        </w:tc>
        <w:tc>
          <w:tcPr>
            <w:tcW w:w="10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4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3"/>
                <w:szCs w:val="13"/>
                <w:color w:val="auto"/>
              </w:rPr>
            </w:pPr>
          </w:p>
        </w:tc>
        <w:tc>
          <w:tcPr>
            <w:tcW w:w="1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300,693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300,693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300,693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 at fair value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104,424</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3,484,054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3,484,054</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13,848</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1,306,191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1,306,191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1,393,120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766,945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3"/>
                <w:szCs w:val="13"/>
                <w:color w:val="auto"/>
              </w:rPr>
            </w:pPr>
          </w:p>
        </w:tc>
        <w:tc>
          <w:tcPr>
            <w:tcW w:w="980" w:type="dxa"/>
            <w:vAlign w:val="bottom"/>
          </w:tcPr>
          <w:p>
            <w:pPr>
              <w:jc w:val="right"/>
              <w:ind w:right="3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3"/>
                <w:szCs w:val="13"/>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324,692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324,692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324,692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 at fair value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201,377</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3,536,675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3,521,272</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15,305</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1,254,135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1,254,135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1,254,135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1,374,635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909,772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had off-balance sheet financial commitments, which included approximately $1,259,139 and $1,234,381 of commitments to originate loans, undisbursed portions of construction loans, unused lines of credit and standby letters of credit at March 31, 2026 and December 31, 2025, respectively (see "Note 11 – Commitments and Contingencies"). Since these commitments are based on current rates, the carrying amount approximates the fair value.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ind w:right="4560"/>
        <w:spacing w:after="0" w:line="300"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factors that could result in material differentiation include, but are not limited to:</w:t>
      </w:r>
    </w:p>
    <w:p>
      <w:pPr>
        <w:spacing w:after="0" w:line="26" w:lineRule="exact"/>
        <w:rPr>
          <w:sz w:val="20"/>
          <w:szCs w:val="20"/>
          <w:color w:val="auto"/>
        </w:rPr>
      </w:pPr>
    </w:p>
    <w:p>
      <w:pPr>
        <w:ind w:left="340" w:hanging="251"/>
        <w:spacing w:after="0" w:line="253"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risks of lending activities, including changes in the level and trend of loan delinquencies and write offs and changes in our ACL and provision for credit losses that may be impacted by deterioration in the housing and commercial real estate markets;</w:t>
      </w: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conditions, both nationally and in our market areas;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geopolitical instability and trade policies on our operations including the imposition of tariffs and retaliatory tariffs;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of natural disasters, other severe weather events, epidemics and other public health issues, and other external events;</w:t>
      </w:r>
    </w:p>
    <w:p>
      <w:pPr>
        <w:spacing w:after="0" w:line="8" w:lineRule="exact"/>
        <w:rPr>
          <w:rFonts w:ascii="Times New Roman" w:cs="Times New Roman" w:eastAsia="Times New Roman" w:hAnsi="Times New Roman"/>
          <w:sz w:val="16"/>
          <w:szCs w:val="16"/>
          <w:color w:val="auto"/>
        </w:rPr>
      </w:pPr>
    </w:p>
    <w:p>
      <w:pPr>
        <w:ind w:left="340" w:hanging="251"/>
        <w:spacing w:after="0" w:line="253"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interest rate levels and the duration of such changes, whether or not through actions by the Federal Reserve, which could materially affect our net interest margin, funding costs, asset values, and access to capital and liquidity;</w:t>
      </w: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inflation or a potential recession, including monetary and fiscal policy responses thereto, and the impact on consumer and business behavior;</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 Federal government shutdown, a debt ceiling standoff, or other fiscal policy uncertainty;</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demand for loans, the number of unsold homes, land and other properties and fluctuations in real estate values in our market areas;</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decreases in the secondary market for the sale of loans that we originate;</w:t>
      </w:r>
    </w:p>
    <w:p>
      <w:pPr>
        <w:spacing w:after="0" w:line="8" w:lineRule="exact"/>
        <w:rPr>
          <w:rFonts w:ascii="Times New Roman" w:cs="Times New Roman" w:eastAsia="Times New Roman" w:hAnsi="Times New Roman"/>
          <w:sz w:val="16"/>
          <w:szCs w:val="16"/>
          <w:color w:val="auto"/>
        </w:rPr>
      </w:pPr>
    </w:p>
    <w:p>
      <w:pPr>
        <w:jc w:val="both"/>
        <w:ind w:left="340" w:hanging="251"/>
        <w:spacing w:after="0" w:line="256"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revenues, cost savings, synergies and other benefits from our merger and acquisition activities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w:t>
      </w:r>
    </w:p>
    <w:p>
      <w:pPr>
        <w:spacing w:after="0" w:line="1" w:lineRule="exact"/>
        <w:rPr>
          <w:rFonts w:ascii="Times New Roman" w:cs="Times New Roman" w:eastAsia="Times New Roman" w:hAnsi="Times New Roman"/>
          <w:sz w:val="16"/>
          <w:szCs w:val="16"/>
          <w:color w:val="auto"/>
        </w:rPr>
      </w:pPr>
    </w:p>
    <w:p>
      <w:pPr>
        <w:jc w:val="both"/>
        <w:ind w:left="340" w:hanging="251"/>
        <w:spacing w:after="0" w:line="252"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examinations of us by the Federal Reserve, the NCCOB or other regulatory authorities, including the possibility that any such regulatory authority may, among other things, require us to increase our ACL, write-down assets, increase our regulatory capital position or affect our ability to borrow funds or maintain or increase deposits, which could adversely affect our liquidity and earnings;</w:t>
      </w:r>
    </w:p>
    <w:p>
      <w:pPr>
        <w:ind w:left="340" w:hanging="251"/>
        <w:spacing w:after="0" w:line="255"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or regulations, changes in regulatory policies and principles or the application or interpretation of laws and regulations by regulatory agencies and tax authorities, including changes in deferred tax asset and liability activity, and the interpretation of regulatory capital or other rules;</w:t>
      </w: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resources to address changes in laws, rules or regulations, or to respond to regulatory actions;</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deposits;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access cost-effective funding and maintain sufficient liquidity;</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management's assumptions in determining the adequacy of the ACL;</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control operating costs and expenses, including costs associated with our operation as a public company;</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estimates in determining the fair value of certain assets, which estimates may prove to be incorrect and result in significant declines in valuation;</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reducing risks associated with the loans on our balance sheet;</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staffing fluctuations in response to product demand or the implementation of corporate strategies that affect our workforce and potential associated charges;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adapt to rapid technological changes, including advancements in artificial intelligence, digital banking and cybersecurity;</w:t>
      </w:r>
    </w:p>
    <w:p>
      <w:pPr>
        <w:spacing w:after="0" w:line="5" w:lineRule="exact"/>
        <w:rPr>
          <w:rFonts w:ascii="Times New Roman" w:cs="Times New Roman" w:eastAsia="Times New Roman" w:hAnsi="Times New Roman"/>
          <w:sz w:val="16"/>
          <w:szCs w:val="16"/>
          <w:color w:val="auto"/>
        </w:rPr>
      </w:pPr>
    </w:p>
    <w:p>
      <w:pPr>
        <w:ind w:left="340" w:hanging="251"/>
        <w:spacing w:after="0" w:line="255"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security breaches or other adverse events, failures or interruptions in, or attacks on, our information technology systems or on the third-party vendors who perform several of our critical processing functions;</w:t>
      </w: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key members of our senior management team;</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effects of litigation, including settlements and judgments;</w:t>
      </w:r>
    </w:p>
    <w:p>
      <w:pPr>
        <w:spacing w:after="0" w:line="15" w:lineRule="exact"/>
        <w:rPr>
          <w:rFonts w:ascii="Times New Roman" w:cs="Times New Roman" w:eastAsia="Times New Roman" w:hAnsi="Times New Roman"/>
          <w:sz w:val="16"/>
          <w:szCs w:val="16"/>
          <w:color w:val="auto"/>
        </w:rPr>
      </w:pPr>
    </w:p>
    <w:p>
      <w:pPr>
        <w:ind w:left="340" w:hanging="251"/>
        <w:spacing w:after="0" w:line="248"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bank failures or adverse developments involving other banks and related negative press about the banking industry in general on investor and depositor sentiment;</w:t>
      </w:r>
    </w:p>
    <w:p>
      <w:pPr>
        <w:spacing w:after="0" w:line="1"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competitive pressures among financial services companies;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spending, borrowing and savings habits;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the securities markets;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of key third-party providers to perform their obligations to us;</w:t>
      </w:r>
    </w:p>
    <w:p>
      <w:pPr>
        <w:spacing w:after="0" w:line="5" w:lineRule="exact"/>
        <w:rPr>
          <w:rFonts w:ascii="Times New Roman" w:cs="Times New Roman" w:eastAsia="Times New Roman" w:hAnsi="Times New Roman"/>
          <w:sz w:val="16"/>
          <w:szCs w:val="16"/>
          <w:color w:val="auto"/>
        </w:rPr>
      </w:pPr>
    </w:p>
    <w:p>
      <w:pPr>
        <w:ind w:left="340" w:hanging="251"/>
        <w:spacing w:after="0" w:line="255"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principles, policies or guidelines and practices, as may be adopted by the financial institution regulatory agencies, the Public Company Accounting Oversight Board or the FASB;</w:t>
      </w: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economic, competitive, governmental, regulatory and technological factors affecting our operations, pricing, products and services; and</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detailed from time to time in documents we file with or furnish to the SEC, including this Form 10-Q.</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2" w:name="page33"/>
    <w:bookmarkEnd w:id="32"/>
    <w:p>
      <w:pPr>
        <w:spacing w:after="0" w:line="280" w:lineRule="auto"/>
        <w:rPr>
          <w:sz w:val="20"/>
          <w:szCs w:val="20"/>
          <w:color w:val="auto"/>
        </w:rPr>
      </w:pPr>
      <w:r>
        <w:rPr>
          <w:rFonts w:ascii="Times New Roman" w:cs="Times New Roman" w:eastAsia="Times New Roman" w:hAnsi="Times New Roman"/>
          <w:sz w:val="16"/>
          <w:szCs w:val="16"/>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quarter ended March 31, 2026 compared to the quarter ended December 31, 2025:</w:t>
      </w:r>
    </w:p>
    <w:p>
      <w:pPr>
        <w:spacing w:after="0" w:line="59" w:lineRule="exact"/>
        <w:rPr>
          <w:sz w:val="20"/>
          <w:szCs w:val="20"/>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$16.8 million compared to $16.1 million;</w:t>
      </w:r>
    </w:p>
    <w:p>
      <w:pPr>
        <w:spacing w:after="0" w:line="23"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were $0.99 compared to $0.93;</w:t>
      </w:r>
    </w:p>
    <w:p>
      <w:pPr>
        <w:spacing w:after="0" w:line="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ROA was 1.55% compared to 1.44%;</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ROE was 11.35% compared to 10.63%;</w:t>
      </w:r>
    </w:p>
    <w:p>
      <w:pPr>
        <w:spacing w:after="0" w:line="1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margin was 4.31% compared to 4.20%;</w:t>
      </w:r>
    </w:p>
    <w:p>
      <w:pPr>
        <w:spacing w:after="0" w:line="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credit losses was $370,000 compared to $2.1 million;</w:t>
      </w:r>
    </w:p>
    <w:p>
      <w:pPr>
        <w:spacing w:after="0" w:line="8"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cash dividends continued at $0.13 per share totaling $2.2 million for both periods; and</w:t>
      </w:r>
    </w:p>
    <w:p>
      <w:pPr>
        <w:spacing w:after="0" w:line="15" w:lineRule="exact"/>
        <w:rPr>
          <w:rFonts w:ascii="Times New Roman" w:cs="Times New Roman" w:eastAsia="Times New Roman" w:hAnsi="Times New Roman"/>
          <w:sz w:val="16"/>
          <w:szCs w:val="16"/>
          <w:color w:val="auto"/>
        </w:rPr>
      </w:pPr>
    </w:p>
    <w:p>
      <w:pPr>
        <w:ind w:left="420" w:right="200" w:hanging="250"/>
        <w:spacing w:after="0" w:line="275" w:lineRule="auto"/>
        <w:tabs>
          <w:tab w:leader="none" w:pos="40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533,240 shares of Company common stock were repurchased during the current quarter at an average price of $42.85 compared to 241,201 shares repurchased at an average price of $42.19 in the prior quarter.</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96"/>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7"/>
                <w:szCs w:val="17"/>
                <w:color w:val="auto"/>
              </w:rPr>
            </w:pPr>
          </w:p>
        </w:tc>
        <w:tc>
          <w:tcPr>
            <w:tcW w:w="1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7"/>
                <w:szCs w:val="17"/>
                <w:color w:val="auto"/>
              </w:rPr>
            </w:pPr>
          </w:p>
        </w:tc>
        <w:tc>
          <w:tcPr>
            <w:tcW w:w="16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65"/>
        </w:trPr>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19,254</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44,213</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31,694</w:t>
            </w:r>
          </w:p>
        </w:tc>
        <w:tc>
          <w:tcPr>
            <w:tcW w:w="0" w:type="dxa"/>
            <w:vAlign w:val="bottom"/>
          </w:tcPr>
          <w:p>
            <w:pPr>
              <w:spacing w:after="0"/>
              <w:rPr>
                <w:sz w:val="1"/>
                <w:szCs w:val="1"/>
                <w:color w:val="auto"/>
              </w:rPr>
            </w:pP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16,124</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75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Net income per common share</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Book value per share at end of period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Tangible book value per share at end of period</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price per share at end of period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42.94</w:t>
            </w: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Basic and diluted net income per common share have been prepared in accordance with the two-class method.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See Non-GAAP reconciliations below for adjustments.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 The following represents our critical accounting policy:</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or ACL, on Loans. </w:t>
      </w:r>
      <w:r>
        <w:rPr>
          <w:rFonts w:ascii="Times New Roman" w:cs="Times New Roman" w:eastAsia="Times New Roman" w:hAnsi="Times New Roman"/>
          <w:sz w:val="16"/>
          <w:szCs w:val="16"/>
          <w:color w:val="auto"/>
        </w:rPr>
        <w:t>The ACL on loans held for investment reflects our estimate of credit losses that will result from the inability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borrowers to make required loan payments. We charge off loans against the ACL and subsequent recoveries, if any, increase the ACL when they are recognized. We use a systematic methodology to determine our ACL for loans held for investment and certain off-balance sheet credit exposures. The ACL on loans held for investment is a valuation account that is deducted from the amortized cost basis to present the net amount expected to be collected on the loan portfolio. The estimate of our ACL on loans held for investment involves a high degree of judgment including consideration of the effects of past events, current conditions and reasonable and supportable forecasts on the collectability of the loan portfolio. We recognize in net income the amount needed to adjust the ACL on loans held for investment and certain off-balance sheet credit exposures for management’s current estimate of ECLs. Our ACL on loans held for investment is calculated using collectively evaluated and individually evaluated loans.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GAAP Reconciliation of Non-GAAP Financial Measures</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0"/>
        </w:trPr>
        <w:tc>
          <w:tcPr>
            <w:tcW w:w="7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Set forth below is a reconciliation to US GAAP of tangible book value and tangible book value per share:</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8"/>
                <w:szCs w:val="18"/>
                <w:color w:val="auto"/>
              </w:rPr>
            </w:pP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1"/>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592,407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600,690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565,449</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38,793</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Tangible book value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526,656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16,803,185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17,286,289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17,552,626</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share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Tangible book value per share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364"/>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Set forth below is a reconciliation to GAAP of tangible equity to tangible assets:</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8"/>
                <w:szCs w:val="18"/>
                <w:color w:val="auto"/>
              </w:rPr>
            </w:pP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1"/>
        </w:trPr>
        <w:tc>
          <w:tcPr>
            <w:tcW w:w="572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Tangible equity</w:t>
            </w:r>
            <w:r>
              <w:rPr>
                <w:rFonts w:ascii="Times New Roman" w:cs="Times New Roman" w:eastAsia="Times New Roman" w:hAnsi="Times New Roman"/>
                <w:sz w:val="21"/>
                <w:szCs w:val="21"/>
                <w:color w:val="auto"/>
                <w:vertAlign w:val="superscript"/>
              </w:rPr>
              <w:t>(1)</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526,656</w:t>
            </w:r>
          </w:p>
        </w:tc>
        <w:tc>
          <w:tcPr>
            <w:tcW w:w="0" w:type="dxa"/>
            <w:vAlign w:val="bottom"/>
          </w:tcPr>
          <w:p>
            <w:pPr>
              <w:spacing w:after="0"/>
              <w:rPr>
                <w:sz w:val="1"/>
                <w:szCs w:val="1"/>
                <w:color w:val="auto"/>
              </w:rPr>
            </w:pP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4,386,341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4,545,635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4,558,060</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38,793</w:t>
            </w:r>
          </w:p>
        </w:tc>
        <w:tc>
          <w:tcPr>
            <w:tcW w:w="0" w:type="dxa"/>
            <w:vAlign w:val="bottom"/>
          </w:tcPr>
          <w:p>
            <w:pPr>
              <w:spacing w:after="0"/>
              <w:rPr>
                <w:sz w:val="1"/>
                <w:szCs w:val="1"/>
                <w:color w:val="auto"/>
              </w:rPr>
            </w:pP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tangible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4,348,785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4,507,791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4,519,267</w:t>
            </w: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Tangible equity to tangible assets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12.76 %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11.65 %</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Tangible equity (or tangible book value) is equal to total stockholders' equity less goodwill and core deposit intangibles, net of related deferred tax liabilities.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Comparison of Results of Operations for the Three Months Ended March 31, 2026 and December 31, 2025</w:t>
      </w:r>
    </w:p>
    <w:p>
      <w:pPr>
        <w:spacing w:after="0" w:line="3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w:t>
      </w:r>
      <w:r>
        <w:rPr>
          <w:rFonts w:ascii="Times New Roman" w:cs="Times New Roman" w:eastAsia="Times New Roman" w:hAnsi="Times New Roman"/>
          <w:sz w:val="16"/>
          <w:szCs w:val="16"/>
          <w:color w:val="auto"/>
        </w:rPr>
        <w:t>Net income totaled $16.8 million, or $0.99 per diluted share, for the three months ended March 31, 2026 compared to $16.1 million, or $0.93 per diluted share,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three months ended December 31, 2025, an increase of $648,000, or 4.0%. The results for the three months ended March 31, 2026 compared to the three months ended December 31, 2025 benefited from a $1.7 million decrease in the provision for credit losses and a $635,000 increase in noninterest income, partially offset by a $1.3 million increase in the noninterest expense. Details of the changes in the various components of net income are further discussed below.</w:t>
      </w:r>
    </w:p>
    <w:p>
      <w:pPr>
        <w:spacing w:after="0" w:line="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Interest Income. </w:t>
      </w:r>
      <w:r>
        <w:rPr>
          <w:rFonts w:ascii="Times New Roman" w:cs="Times New Roman" w:eastAsia="Times New Roman" w:hAnsi="Times New Roman"/>
          <w:sz w:val="16"/>
          <w:szCs w:val="16"/>
          <w:color w:val="auto"/>
        </w:rPr>
        <w:t>The following table presents the distribution of average assets, liabilities and equity, as well as interest income earned on average interest-earning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and interest expense paid on average interest-bearing liabilities. All average balances are daily average balances. Nonaccruing loans have been included in the table as loans carrying a zero yield.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Yield /</w:t>
            </w:r>
          </w:p>
        </w:tc>
        <w:tc>
          <w:tcPr>
            <w:tcW w:w="16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0" w:type="dxa"/>
            <w:vAlign w:val="bottom"/>
          </w:tcPr>
          <w:p>
            <w:pPr>
              <w:spacing w:after="0"/>
              <w:rPr>
                <w:sz w:val="1"/>
                <w:szCs w:val="1"/>
                <w:color w:val="auto"/>
              </w:rPr>
            </w:pPr>
          </w:p>
        </w:tc>
      </w:tr>
      <w:tr>
        <w:trPr>
          <w:trHeight w:val="162"/>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4"/>
                <w:szCs w:val="14"/>
                <w:color w:val="auto"/>
              </w:rPr>
            </w:pPr>
          </w:p>
        </w:tc>
        <w:tc>
          <w:tcPr>
            <w:tcW w:w="112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Earned /</w:t>
            </w: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Earned /</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Paid</w:t>
            </w:r>
          </w:p>
        </w:tc>
        <w:tc>
          <w:tcPr>
            <w:tcW w:w="8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2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198"/>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Loans receivable</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3,793,994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57,725</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6.17 %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3,809,902</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59,597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6.21 %</w:t>
            </w:r>
          </w:p>
        </w:tc>
        <w:tc>
          <w:tcPr>
            <w:tcW w:w="0" w:type="dxa"/>
            <w:vAlign w:val="bottom"/>
          </w:tcPr>
          <w:p>
            <w:pPr>
              <w:spacing w:after="0"/>
              <w:rPr>
                <w:sz w:val="1"/>
                <w:szCs w:val="1"/>
                <w:color w:val="auto"/>
              </w:rPr>
            </w:pPr>
          </w:p>
        </w:tc>
      </w:tr>
      <w:tr>
        <w:trPr>
          <w:trHeight w:val="213"/>
        </w:trPr>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6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144,520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1,604</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227,051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2,168</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07"/>
        </w:trPr>
        <w:tc>
          <w:tcPr>
            <w:tcW w:w="3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4,165,565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61,497</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4,180,416</w:t>
            </w:r>
          </w:p>
        </w:tc>
        <w:tc>
          <w:tcPr>
            <w:tcW w:w="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63,467</w:t>
            </w:r>
          </w:p>
        </w:tc>
        <w:tc>
          <w:tcPr>
            <w:tcW w:w="1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218,936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255,547</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4,384,501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4,435,963</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561,216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1,101</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0.80 %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540,889</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0.74 %</w:t>
            </w:r>
          </w:p>
        </w:tc>
        <w:tc>
          <w:tcPr>
            <w:tcW w:w="0" w:type="dxa"/>
            <w:vAlign w:val="bottom"/>
          </w:tcPr>
          <w:p>
            <w:pPr>
              <w:spacing w:after="0"/>
              <w:rPr>
                <w:sz w:val="1"/>
                <w:szCs w:val="1"/>
                <w:color w:val="auto"/>
              </w:rPr>
            </w:pPr>
          </w:p>
        </w:tc>
      </w:tr>
      <w:tr>
        <w:trPr>
          <w:trHeight w:val="213"/>
        </w:trPr>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6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1,369,569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8,616</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9,192</w:t>
            </w:r>
          </w:p>
        </w:tc>
        <w:tc>
          <w:tcPr>
            <w:tcW w:w="10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3"/>
        </w:trPr>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accounts</w:t>
            </w:r>
          </w:p>
        </w:tc>
        <w:tc>
          <w:tcPr>
            <w:tcW w:w="16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830,675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7,105</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926,678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8,674</w:t>
            </w:r>
          </w:p>
        </w:tc>
        <w:tc>
          <w:tcPr>
            <w:tcW w:w="10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2"/>
        </w:trPr>
        <w:tc>
          <w:tcPr>
            <w:tcW w:w="3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2,931,687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16,850</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3,000,990</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18,909</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6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188</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154</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07"/>
        </w:trPr>
        <w:tc>
          <w:tcPr>
            <w:tcW w:w="3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2,958,585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17,192</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3,021,346</w:t>
            </w:r>
          </w:p>
        </w:tc>
        <w:tc>
          <w:tcPr>
            <w:tcW w:w="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19,254</w:t>
            </w:r>
          </w:p>
        </w:tc>
        <w:tc>
          <w:tcPr>
            <w:tcW w:w="1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19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759,493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751,864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67,106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61,085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3,785,184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3,834,295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599,317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601,668</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4,384,501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4,435,963</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1,206,980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1,159,070</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2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Average interest-earning assets to average interest-</w:t>
            </w:r>
          </w:p>
        </w:tc>
        <w:tc>
          <w:tcPr>
            <w:tcW w:w="1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140.80 %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138.36 %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bearing liabilities</w:t>
            </w: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Non-tax-equivalent</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44,305</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44,213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3.63 %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ind w:left="740"/>
              <w:spacing w:after="0"/>
              <w:rPr>
                <w:sz w:val="20"/>
                <w:szCs w:val="20"/>
                <w:color w:val="auto"/>
              </w:rPr>
            </w:pPr>
            <w:r>
              <w:rPr>
                <w:rFonts w:ascii="Times New Roman" w:cs="Times New Roman" w:eastAsia="Times New Roman" w:hAnsi="Times New Roman"/>
                <w:sz w:val="16"/>
                <w:szCs w:val="16"/>
                <w:color w:val="auto"/>
              </w:rPr>
              <w:t>3.49 %</w:t>
            </w:r>
          </w:p>
        </w:tc>
        <w:tc>
          <w:tcPr>
            <w:tcW w:w="0" w:type="dxa"/>
            <w:vAlign w:val="bottom"/>
          </w:tcPr>
          <w:p>
            <w:pPr>
              <w:spacing w:after="0" w:line="20" w:lineRule="exact"/>
              <w:rPr>
                <w:sz w:val="1"/>
                <w:szCs w:val="1"/>
                <w:color w:val="auto"/>
              </w:rPr>
            </w:pPr>
          </w:p>
        </w:tc>
      </w:tr>
      <w:tr>
        <w:trPr>
          <w:trHeight w:val="160"/>
        </w:trPr>
        <w:tc>
          <w:tcPr>
            <w:tcW w:w="35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4.31 %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4.20 %</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Tax-equivalent</w:t>
            </w:r>
            <w:r>
              <w:rPr>
                <w:rFonts w:ascii="Times New Roman" w:cs="Times New Roman" w:eastAsia="Times New Roman" w:hAnsi="Times New Roman"/>
                <w:sz w:val="21"/>
                <w:szCs w:val="21"/>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44,740</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44,661</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3.67 %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ind w:left="740"/>
              <w:spacing w:after="0"/>
              <w:rPr>
                <w:sz w:val="20"/>
                <w:szCs w:val="20"/>
                <w:color w:val="auto"/>
              </w:rPr>
            </w:pPr>
            <w:r>
              <w:rPr>
                <w:rFonts w:ascii="Times New Roman" w:cs="Times New Roman" w:eastAsia="Times New Roman" w:hAnsi="Times New Roman"/>
                <w:sz w:val="16"/>
                <w:szCs w:val="16"/>
                <w:color w:val="auto"/>
              </w:rPr>
              <w:t>3.54 %</w:t>
            </w:r>
          </w:p>
        </w:tc>
        <w:tc>
          <w:tcPr>
            <w:tcW w:w="0" w:type="dxa"/>
            <w:vAlign w:val="bottom"/>
          </w:tcPr>
          <w:p>
            <w:pPr>
              <w:spacing w:after="0" w:line="20" w:lineRule="exact"/>
              <w:rPr>
                <w:sz w:val="1"/>
                <w:szCs w:val="1"/>
                <w:color w:val="auto"/>
              </w:rPr>
            </w:pPr>
          </w:p>
        </w:tc>
      </w:tr>
      <w:tr>
        <w:trPr>
          <w:trHeight w:val="160"/>
        </w:trPr>
        <w:tc>
          <w:tcPr>
            <w:tcW w:w="35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4.36 %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4.24 %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loans receivable balances include loans held for sale and nonaccruing loans.</w:t>
      </w:r>
    </w:p>
    <w:p>
      <w:pPr>
        <w:spacing w:after="0" w:line="27"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other interest-earning assets consist of FRB stock, FHLB stock, SBIC investments and deposits in other banks.</w:t>
      </w:r>
    </w:p>
    <w:p>
      <w:pPr>
        <w:spacing w:after="0" w:line="14"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income divided by average interest-earning assets.</w:t>
      </w:r>
    </w:p>
    <w:p>
      <w:pPr>
        <w:spacing w:after="0" w:line="14" w:lineRule="exact"/>
        <w:rPr>
          <w:rFonts w:ascii="Times New Roman" w:cs="Times New Roman" w:eastAsia="Times New Roman" w:hAnsi="Times New Roman"/>
          <w:sz w:val="14"/>
          <w:szCs w:val="14"/>
          <w:color w:val="auto"/>
        </w:rPr>
      </w:pPr>
    </w:p>
    <w:p>
      <w:pPr>
        <w:ind w:left="260" w:right="500" w:hanging="252"/>
        <w:spacing w:after="0" w:line="269" w:lineRule="auto"/>
        <w:tabs>
          <w:tab w:leader="none" w:pos="2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Tax-equivalent results include adjustments to interest income of $435 and $448 for the three months ended March 31, </w:t>
      </w:r>
      <w:r>
        <w:rPr>
          <w:rFonts w:ascii="Times New Roman" w:cs="Times New Roman" w:eastAsia="Times New Roman" w:hAnsi="Times New Roman"/>
          <w:sz w:val="16"/>
          <w:szCs w:val="16"/>
          <w:color w:val="auto"/>
        </w:rPr>
        <w:t>2026</w:t>
      </w:r>
      <w:r>
        <w:rPr>
          <w:rFonts w:ascii="Times New Roman" w:cs="Times New Roman" w:eastAsia="Times New Roman" w:hAnsi="Times New Roman"/>
          <w:sz w:val="14"/>
          <w:szCs w:val="14"/>
          <w:color w:val="auto"/>
        </w:rPr>
        <w:t xml:space="preserve"> and December 31, 2025, respectively, calculated based on combined federal and state tax rates of 23% and 24% for the same periods, respectively.</w:t>
      </w:r>
    </w:p>
    <w:p>
      <w:pPr>
        <w:spacing w:after="0" w:line="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Total interest and dividend income for the three months ended March 31, 2026 decreased $2.0 million, or 3.1%, when compared to the three months ended December 31, 2025. A decline of $1.9 million, or 3.1%, in loan interest income drove this change, primarily due to fewer days in the current quarter and the impact of decreases in the federal funds rate upon loan yields, partially offset by an increase of $348,000 in accretion income.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5" w:name="page36"/>
    <w:bookmarkEnd w:id="35"/>
    <w:p>
      <w:pPr>
        <w:jc w:val="both"/>
        <w:spacing w:after="0" w:line="272" w:lineRule="auto"/>
        <w:rPr>
          <w:sz w:val="20"/>
          <w:szCs w:val="20"/>
          <w:color w:val="auto"/>
        </w:rPr>
      </w:pPr>
      <w:r>
        <w:rPr>
          <w:rFonts w:ascii="Times New Roman" w:cs="Times New Roman" w:eastAsia="Times New Roman" w:hAnsi="Times New Roman"/>
          <w:sz w:val="16"/>
          <w:szCs w:val="16"/>
          <w:color w:val="auto"/>
        </w:rPr>
        <w:t>Total interest expense for the three months ended March 31, 2026 decreased $2.1 million, or 10.7%, when compared to the three months ended December 31, 2025. A decline of $2.1 million, or 10.9%, in deposit interest expense drove this change, the result of a decline in the average balance of certificate accounts, specifically brokered deposits, a decline in the average cost of funds across funding categories, and fewer days in the current quarter.</w:t>
      </w:r>
    </w:p>
    <w:p>
      <w:pPr>
        <w:spacing w:after="0" w:line="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Increase / (Decrease)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7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20" w:type="dxa"/>
            <w:vAlign w:val="bottom"/>
            <w:gridSpan w:val="3"/>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208"/>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Rate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98"/>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receivable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0" w:type="dxa"/>
            <w:vAlign w:val="bottom"/>
          </w:tcPr>
          <w:p>
            <w:pPr>
              <w:spacing w:after="0"/>
              <w:rPr>
                <w:sz w:val="1"/>
                <w:szCs w:val="1"/>
                <w:color w:val="auto"/>
              </w:rPr>
            </w:pPr>
          </w:p>
        </w:tc>
      </w:tr>
      <w:tr>
        <w:trPr>
          <w:trHeight w:val="194"/>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7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7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accounts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0" w:type="dxa"/>
            <w:vAlign w:val="bottom"/>
          </w:tcPr>
          <w:p>
            <w:pPr>
              <w:spacing w:after="0"/>
              <w:rPr>
                <w:sz w:val="1"/>
                <w:szCs w:val="1"/>
                <w:color w:val="auto"/>
              </w:rPr>
            </w:pP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in net interest income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Credit Losses. </w:t>
      </w:r>
      <w:r>
        <w:rPr>
          <w:rFonts w:ascii="Times New Roman" w:cs="Times New Roman" w:eastAsia="Times New Roman" w:hAnsi="Times New Roman"/>
          <w:sz w:val="16"/>
          <w:szCs w:val="16"/>
          <w:color w:val="auto"/>
        </w:rPr>
        <w:t>The provision for credit losses is the amount of expense that, based on our judgment, is required to maintain the ACL at an appropriate level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 the current expected credit losses model.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breakdown of the components of the provision for credit losses: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w w:val="99"/>
              </w:rPr>
              <w:t>945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Off-balance sheet credit exposure</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w w:val="97"/>
              </w:rPr>
              <w:t>(575)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(204)</w:t>
            </w:r>
          </w:p>
        </w:tc>
      </w:tr>
      <w:tr>
        <w:trPr>
          <w:trHeight w:val="207"/>
        </w:trPr>
        <w:tc>
          <w:tcPr>
            <w:tcW w:w="48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provision for credit losses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center"/>
              <w:ind w:left="1059"/>
              <w:spacing w:after="0"/>
              <w:rPr>
                <w:sz w:val="20"/>
                <w:szCs w:val="20"/>
                <w:color w:val="auto"/>
              </w:rPr>
            </w:pPr>
            <w:r>
              <w:rPr>
                <w:rFonts w:ascii="Times New Roman" w:cs="Times New Roman" w:eastAsia="Times New Roman" w:hAnsi="Times New Roman"/>
                <w:sz w:val="16"/>
                <w:szCs w:val="16"/>
                <w:color w:val="auto"/>
                <w:w w:val="99"/>
              </w:rPr>
              <w:t>370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3"/>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quarter ended March 31, 2026, the "loans" portion of the provision for credit losses was primarily the result of the following, offset by net charge-offs of $1.8 million during the quarter:</w:t>
      </w:r>
    </w:p>
    <w:p>
      <w:pPr>
        <w:spacing w:after="0" w:line="1" w:lineRule="exact"/>
        <w:rPr>
          <w:sz w:val="20"/>
          <w:szCs w:val="20"/>
          <w:color w:val="auto"/>
        </w:rPr>
      </w:pPr>
    </w:p>
    <w:p>
      <w:pPr>
        <w:ind w:left="400" w:hanging="230"/>
        <w:spacing w:after="0"/>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$0.5 million benefit driven by changes in the loan mix.</w:t>
      </w:r>
    </w:p>
    <w:p>
      <w:pPr>
        <w:spacing w:after="0" w:line="4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$0.2 million provision due to changes in the projected economic forecast, specifically the national unemployment rate, and changes in qualitative adjustments.</w:t>
      </w:r>
    </w:p>
    <w:p>
      <w:pPr>
        <w:spacing w:after="0" w:line="26"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$0.6 million decrease in specific reserves on individually evaluated loans.</w:t>
      </w:r>
    </w:p>
    <w:p>
      <w:pPr>
        <w:spacing w:after="0" w:line="6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For the quarter ended December 31, 2025, the "loans" portion of the provision for credit losses was primarily the result of the following, offset by net charge-offs of $3.1 million during the quarter:</w:t>
      </w:r>
    </w:p>
    <w:p>
      <w:pPr>
        <w:spacing w:after="0" w:line="1" w:lineRule="exact"/>
        <w:rPr>
          <w:sz w:val="20"/>
          <w:szCs w:val="20"/>
          <w:color w:val="auto"/>
        </w:rPr>
      </w:pPr>
    </w:p>
    <w:p>
      <w:pPr>
        <w:ind w:left="400" w:hanging="230"/>
        <w:spacing w:after="0"/>
        <w:tabs>
          <w:tab w:leader="none" w:pos="4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$0.9 million benefit driven by changes in the loan mix.</w:t>
      </w:r>
    </w:p>
    <w:p>
      <w:pPr>
        <w:spacing w:after="0" w:line="4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$0.1 million benefit due to changes in the projected economic forecast, specifically the national unemployment rate, and changes in qualitative adjustments.</w:t>
      </w:r>
    </w:p>
    <w:p>
      <w:pPr>
        <w:spacing w:after="0" w:line="23"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$0.6 million decrease in specific reserves on individually evaluated loans.</w:t>
      </w:r>
    </w:p>
    <w:p>
      <w:pPr>
        <w:spacing w:after="0" w:line="6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For the quarters ended March 31, 2026 and December 31, 2025, the amounts recorded for off-balance sheet credit exposure were the result of changes in the balance of loan commitments, loan mix, projected economic forecast and qualitative allocations as outlined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Noninterest Income. </w:t>
      </w:r>
      <w:r>
        <w:rPr>
          <w:rFonts w:ascii="Times New Roman" w:cs="Times New Roman" w:eastAsia="Times New Roman" w:hAnsi="Times New Roman"/>
          <w:sz w:val="16"/>
          <w:szCs w:val="16"/>
          <w:color w:val="auto"/>
        </w:rPr>
        <w:t>Noninterest income for the three months ended March 31, 2026 increased $635,000, or 6.8%, when compared to the quarter ended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2025. Changes in the components of noninterest income are discussed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 income and fees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BOLI income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income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sale of premises and equipment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480</w:t>
            </w:r>
          </w:p>
        </w:tc>
      </w:tr>
      <w:tr>
        <w:trPr>
          <w:trHeight w:val="213"/>
        </w:trPr>
        <w:tc>
          <w:tcPr>
            <w:tcW w:w="4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r>
      <w:tr>
        <w:trPr>
          <w:trHeight w:val="237"/>
        </w:trPr>
        <w:tc>
          <w:tcPr>
            <w:tcW w:w="4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420" w:hanging="250"/>
        <w:spacing w:after="0" w:line="272" w:lineRule="auto"/>
        <w:tabs>
          <w:tab w:leader="none" w:pos="409"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Loan income and fees: </w:t>
      </w:r>
      <w:r>
        <w:rPr>
          <w:rFonts w:ascii="Times New Roman" w:cs="Times New Roman" w:eastAsia="Times New Roman" w:hAnsi="Times New Roman"/>
          <w:sz w:val="16"/>
          <w:szCs w:val="16"/>
          <w:color w:val="auto"/>
        </w:rPr>
        <w:t>The decrease was primarily the result of $144,000 less in interest rate swap fees in addition to smaller decreases across several other loan fee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categories.</w:t>
      </w:r>
    </w:p>
    <w:p>
      <w:pPr>
        <w:spacing w:after="0" w:line="1" w:lineRule="exact"/>
        <w:rPr>
          <w:rFonts w:ascii="Times New Roman" w:cs="Times New Roman" w:eastAsia="Times New Roman" w:hAnsi="Times New Roman"/>
          <w:sz w:val="16"/>
          <w:szCs w:val="16"/>
          <w:i w:val="1"/>
          <w:iCs w:val="1"/>
          <w:color w:val="auto"/>
        </w:rPr>
      </w:pPr>
    </w:p>
    <w:p>
      <w:pPr>
        <w:jc w:val="both"/>
        <w:ind w:left="420" w:hanging="250"/>
        <w:spacing w:after="0" w:line="261" w:lineRule="auto"/>
        <w:tabs>
          <w:tab w:leader="none" w:pos="409"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Gain on sale of loans held for sale: </w:t>
      </w:r>
      <w:r>
        <w:rPr>
          <w:rFonts w:ascii="Times New Roman" w:cs="Times New Roman" w:eastAsia="Times New Roman" w:hAnsi="Times New Roman"/>
          <w:sz w:val="16"/>
          <w:szCs w:val="16"/>
          <w:color w:val="auto"/>
        </w:rPr>
        <w:t>The increase was primarily driven by an increase in the sales volume of HELOC loans originated for sale, partially offset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reduced sales volume of residential mortgage loans and SBA commercial loans. There were $103.0 million of HELOCs originated for sale which were sold during the current quarter with gains of $934,000 compared to $13.7 million sold with gains of $121,000 in the prior quarter. There were $23.3 million of residential mortgage loans sold for gains of $431,000 during the current quarter compared to $31.1 million sold with gains of $606,000 in the prior quarter. There were $16.4 million in sales of the guaranteed portion of SBA commercial loans with gains of $1.2 million for the current quarter compared to $18.9 million sold and gains of $1.5 million for the prior quarter. Our hedging of mandatory commitments on the residential mortgage loan pipeline resulted in a net gain of $68,000 for the current quarter compared to a net loss of $295,000 for the prior quarter.</w:t>
      </w:r>
    </w:p>
    <w:p>
      <w:pPr>
        <w:spacing w:after="0" w:line="3" w:lineRule="exact"/>
        <w:rPr>
          <w:rFonts w:ascii="Times New Roman" w:cs="Times New Roman" w:eastAsia="Times New Roman" w:hAnsi="Times New Roman"/>
          <w:sz w:val="16"/>
          <w:szCs w:val="16"/>
          <w:i w:val="1"/>
          <w:iCs w:val="1"/>
          <w:color w:val="auto"/>
        </w:rPr>
      </w:pPr>
    </w:p>
    <w:p>
      <w:pPr>
        <w:ind w:left="400" w:hanging="230"/>
        <w:spacing w:after="0"/>
        <w:tabs>
          <w:tab w:leader="none" w:pos="4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Gain on sale of premises and equipment: </w:t>
      </w:r>
      <w:r>
        <w:rPr>
          <w:rFonts w:ascii="Times New Roman" w:cs="Times New Roman" w:eastAsia="Times New Roman" w:hAnsi="Times New Roman"/>
          <w:sz w:val="16"/>
          <w:szCs w:val="16"/>
          <w:color w:val="auto"/>
        </w:rPr>
        <w:t>In both periods presented, gains were recognized on the sale of excess parcels of land.</w:t>
      </w:r>
    </w:p>
    <w:p>
      <w:pPr>
        <w:spacing w:after="0" w:line="71"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6"/>
          <w:szCs w:val="16"/>
          <w:b w:val="1"/>
          <w:bCs w:val="1"/>
          <w:i w:val="1"/>
          <w:iCs w:val="1"/>
          <w:color w:val="auto"/>
        </w:rPr>
        <w:t>Noninterest Expense.</w:t>
      </w:r>
      <w:r>
        <w:rPr>
          <w:sz w:val="20"/>
          <w:szCs w:val="20"/>
          <w:color w:val="auto"/>
        </w:rPr>
        <w:tab/>
      </w:r>
      <w:r>
        <w:rPr>
          <w:rFonts w:ascii="Times New Roman" w:cs="Times New Roman" w:eastAsia="Times New Roman" w:hAnsi="Times New Roman"/>
          <w:sz w:val="16"/>
          <w:szCs w:val="16"/>
          <w:color w:val="auto"/>
        </w:rPr>
        <w:t>Noninterest expense for the three months ended March 31, 2026 increased $1.3 million, or 4.0%, when compared to the three months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Changes in the components of noninterest expense are discussed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9"/>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 expense,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Computer services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depreciation expense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Telecom, postage and supplies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4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4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400" w:hanging="230"/>
        <w:spacing w:after="0"/>
        <w:tabs>
          <w:tab w:leader="none" w:pos="40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Salaries and employee benefits: </w:t>
      </w:r>
      <w:r>
        <w:rPr>
          <w:rFonts w:ascii="Times New Roman" w:cs="Times New Roman" w:eastAsia="Times New Roman" w:hAnsi="Times New Roman"/>
          <w:sz w:val="16"/>
          <w:szCs w:val="16"/>
          <w:color w:val="auto"/>
        </w:rPr>
        <w:t>The increase was primarily the result of a $449,000 increase in incentive compensation and $409,000 in additional FICA taxes.</w:t>
      </w:r>
    </w:p>
    <w:p>
      <w:pPr>
        <w:spacing w:after="0" w:line="8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amount of income tax expense is influenced by the amount of pre-tax income, tax-exempt income, changes in the statutory rate and the effect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changes in valuation allowances maintained against deferred tax benefits. The effective tax rates for the three months ended March 31, 2026 and December 31, 2025 were 20.1% and 18.7%, respectively, with the quarter-over-quarter increase driven by the prior quarter impact of the Company's investment in a tax credit equity fund.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Financial Condition at March 31, 2026 and December 31, 2025</w:t>
      </w:r>
    </w:p>
    <w:p>
      <w:pPr>
        <w:spacing w:after="0" w:line="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Total assets decreased by $159.3 million to $4.4 billion and total liabilities decreased by $151.0 million to $3.8 billion at March 31, 2026 as compared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2025. These changes can be traced to the use of proceeds from both loan sales and loan paydowns to offset a $70.5 million decline in deposits. The decrease in deposits was the result of a $116.1 million reduction in brokered deposits, partially offset by an increase of $45.7 million in all other deposit categories.</w:t>
      </w:r>
    </w:p>
    <w:p>
      <w:pPr>
        <w:spacing w:after="0" w:line="36"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and Cash Equivalents. </w:t>
      </w:r>
      <w:r>
        <w:rPr>
          <w:rFonts w:ascii="Times New Roman" w:cs="Times New Roman" w:eastAsia="Times New Roman" w:hAnsi="Times New Roman"/>
          <w:sz w:val="16"/>
          <w:szCs w:val="16"/>
          <w:color w:val="auto"/>
        </w:rPr>
        <w:t>Total cash and cash equivalents decreased $24.0 million, or 7.4%, to $300.7 million at March 31, 2026 from $324.7 million at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2025.</w:t>
      </w:r>
    </w:p>
    <w:p>
      <w:pPr>
        <w:spacing w:after="0" w:line="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Certificates of Deposit in Other Banks. </w:t>
      </w:r>
      <w:r>
        <w:rPr>
          <w:rFonts w:ascii="Times New Roman" w:cs="Times New Roman" w:eastAsia="Times New Roman" w:hAnsi="Times New Roman"/>
          <w:sz w:val="16"/>
          <w:szCs w:val="16"/>
          <w:color w:val="auto"/>
        </w:rPr>
        <w:t>Total certificates of deposit in other banks decreased $5.2 million, or 27.7%, to $13.6 million at March 31, 2026 compared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2025.</w:t>
      </w:r>
    </w:p>
    <w:p>
      <w:pPr>
        <w:spacing w:after="0" w:line="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Debt Securities Available for Sale. </w:t>
      </w:r>
      <w:r>
        <w:rPr>
          <w:rFonts w:ascii="Times New Roman" w:cs="Times New Roman" w:eastAsia="Times New Roman" w:hAnsi="Times New Roman"/>
          <w:sz w:val="16"/>
          <w:szCs w:val="16"/>
          <w:color w:val="auto"/>
        </w:rPr>
        <w:t>Debt securities available for sale increased $7.2 million, or 5.0%, to $149.7 million at March 31, 2026 from $142.5 million at December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31, 2025. Outside of changes in value, the changes between periods were the result of $13.0 million 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spacing w:after="0" w:line="280" w:lineRule="auto"/>
        <w:rPr>
          <w:sz w:val="20"/>
          <w:szCs w:val="20"/>
          <w:color w:val="auto"/>
        </w:rPr>
      </w:pPr>
      <w:r>
        <w:rPr>
          <w:rFonts w:ascii="Times New Roman" w:cs="Times New Roman" w:eastAsia="Times New Roman" w:hAnsi="Times New Roman"/>
          <w:sz w:val="16"/>
          <w:szCs w:val="16"/>
          <w:color w:val="auto"/>
        </w:rPr>
        <w:t>purchases, partially offset by $5.2 million in proceeds from the maturity, call and paydown of securities. All purchases were MBS and consistent with the composition of the existing securities held in the portfolio.</w:t>
      </w:r>
    </w:p>
    <w:p>
      <w:pPr>
        <w:spacing w:after="0" w:line="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Held for Sale. </w:t>
      </w:r>
      <w:r>
        <w:rPr>
          <w:rFonts w:ascii="Times New Roman" w:cs="Times New Roman" w:eastAsia="Times New Roman" w:hAnsi="Times New Roman"/>
          <w:sz w:val="16"/>
          <w:szCs w:val="16"/>
          <w:color w:val="auto"/>
        </w:rPr>
        <w:t>Loans held for sale decreased $97.2 million, or 47.3%, to $108.5 million at March 31, 2026 from $205.7 million at December 31, 2025. This was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driven by a decrease of $103.3 million, or 63.4%, in HELOCs held for sale due to loan sales during the current quarter, partially offset by a $5.8 million, or 16.3%, increase in SBA loans held for sale.</w:t>
      </w:r>
    </w:p>
    <w:p>
      <w:pPr>
        <w:spacing w:after="0" w:line="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Net of Deferred Loan Fees and Costs. </w:t>
      </w:r>
      <w:r>
        <w:rPr>
          <w:rFonts w:ascii="Times New Roman" w:cs="Times New Roman" w:eastAsia="Times New Roman" w:hAnsi="Times New Roman"/>
          <w:sz w:val="16"/>
          <w:szCs w:val="16"/>
          <w:color w:val="auto"/>
        </w:rPr>
        <w:t>Loans held for investment totaled $3.5 billion at March 31, 2026, a decrease of $31.6 million, 0.9%, compared to the balance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of December 31, 2025. The following table illustrates the changes within the portfolio: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Percent of Total</w:t>
            </w:r>
          </w:p>
        </w:tc>
        <w:tc>
          <w:tcPr>
            <w:tcW w:w="0" w:type="dxa"/>
            <w:vAlign w:val="bottom"/>
          </w:tcPr>
          <w:p>
            <w:pPr>
              <w:spacing w:after="0"/>
              <w:rPr>
                <w:sz w:val="1"/>
                <w:szCs w:val="1"/>
                <w:color w:val="auto"/>
              </w:rPr>
            </w:pPr>
          </w:p>
        </w:tc>
      </w:tr>
      <w:tr>
        <w:trPr>
          <w:trHeight w:val="14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2"/>
                <w:szCs w:val="12"/>
                <w:color w:val="auto"/>
              </w:rPr>
            </w:pPr>
          </w:p>
        </w:tc>
        <w:tc>
          <w:tcPr>
            <w:tcW w:w="11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277,028</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823,672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832,502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 loans</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1,782,491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166,396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loans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856,438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633,511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 loans</w:t>
            </w: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886,733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896,438</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(9,705)</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3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3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loans, net of deferred loan fees and costs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3,546,580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3,578,154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(31,574)</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8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893" w:gutter="0" w:footer="0" w:header="0"/>
          <w:type w:val="continuous"/>
        </w:sectPr>
      </w:pPr>
    </w:p>
    <w:bookmarkStart w:id="38" w:name="page39"/>
    <w:bookmarkEnd w:id="3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Asset Quality. </w:t>
      </w:r>
      <w:r>
        <w:rPr>
          <w:rFonts w:ascii="Times New Roman" w:cs="Times New Roman" w:eastAsia="Times New Roman" w:hAnsi="Times New Roman"/>
          <w:sz w:val="16"/>
          <w:szCs w:val="16"/>
          <w:color w:val="auto"/>
        </w:rPr>
        <w:t>The following table sets forth the composition of nonperforming assets, made up of nonaccrual loans and repossessed assets, across our asset categories.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8"/>
                <w:szCs w:val="18"/>
                <w:color w:val="auto"/>
              </w:rPr>
            </w:pP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19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Nonaccruing loans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22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8,583</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3,552</w:t>
            </w:r>
          </w:p>
        </w:tc>
        <w:tc>
          <w:tcPr>
            <w:tcW w:w="0" w:type="dxa"/>
            <w:vAlign w:val="bottom"/>
          </w:tcPr>
          <w:p>
            <w:pPr>
              <w:spacing w:after="0"/>
              <w:rPr>
                <w:sz w:val="1"/>
                <w:szCs w:val="1"/>
                <w:color w:val="auto"/>
              </w:rPr>
            </w:pPr>
          </w:p>
        </w:tc>
      </w:tr>
      <w:tr>
        <w:trPr>
          <w:trHeight w:val="213"/>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Multifamily</w:t>
            </w:r>
          </w:p>
        </w:tc>
        <w:tc>
          <w:tcPr>
            <w:tcW w:w="2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18,814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17,414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12,173</w:t>
            </w:r>
          </w:p>
        </w:tc>
        <w:tc>
          <w:tcPr>
            <w:tcW w:w="0" w:type="dxa"/>
            <w:vAlign w:val="bottom"/>
          </w:tcPr>
          <w:p>
            <w:pPr>
              <w:spacing w:after="0"/>
              <w:rPr>
                <w:sz w:val="1"/>
                <w:szCs w:val="1"/>
                <w:color w:val="auto"/>
              </w:rPr>
            </w:pPr>
          </w:p>
        </w:tc>
      </w:tr>
      <w:tr>
        <w:trPr>
          <w:trHeight w:val="214"/>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2,965</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Equipment finance</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6,096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5,065</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16,674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8,030</w:t>
            </w:r>
          </w:p>
        </w:tc>
        <w:tc>
          <w:tcPr>
            <w:tcW w:w="0" w:type="dxa"/>
            <w:vAlign w:val="bottom"/>
          </w:tcPr>
          <w:p>
            <w:pPr>
              <w:spacing w:after="0"/>
              <w:rPr>
                <w:sz w:val="1"/>
                <w:szCs w:val="1"/>
                <w:color w:val="auto"/>
              </w:rPr>
            </w:pPr>
          </w:p>
        </w:tc>
      </w:tr>
      <w:tr>
        <w:trPr>
          <w:trHeight w:val="214"/>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3"/>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One-to-four family</w:t>
            </w:r>
          </w:p>
        </w:tc>
        <w:tc>
          <w:tcPr>
            <w:tcW w:w="22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2,203</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HELOCs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7,140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4,033</w:t>
            </w:r>
          </w:p>
        </w:tc>
        <w:tc>
          <w:tcPr>
            <w:tcW w:w="0" w:type="dxa"/>
            <w:vAlign w:val="bottom"/>
          </w:tcPr>
          <w:p>
            <w:pPr>
              <w:spacing w:after="0"/>
              <w:rPr>
                <w:sz w:val="1"/>
                <w:szCs w:val="1"/>
                <w:color w:val="auto"/>
              </w:rPr>
            </w:pPr>
          </w:p>
        </w:tc>
      </w:tr>
      <w:tr>
        <w:trPr>
          <w:trHeight w:val="207"/>
        </w:trPr>
        <w:tc>
          <w:tcPr>
            <w:tcW w:w="5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220" w:type="dxa"/>
            <w:vAlign w:val="bottom"/>
          </w:tcPr>
          <w:p>
            <w:pPr>
              <w:spacing w:after="0"/>
              <w:rPr>
                <w:sz w:val="17"/>
                <w:szCs w:val="17"/>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6,368</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07"/>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nonaccruing loans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46,739</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43,776</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26,959</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repossessed assets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47,055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44,433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28,017</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assets as a percentage of total assets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0.61 %</w:t>
            </w:r>
          </w:p>
        </w:tc>
        <w:tc>
          <w:tcPr>
            <w:tcW w:w="0" w:type="dxa"/>
            <w:vAlign w:val="bottom"/>
          </w:tcPr>
          <w:p>
            <w:pPr>
              <w:spacing w:after="0"/>
              <w:rPr>
                <w:sz w:val="1"/>
                <w:szCs w:val="1"/>
                <w:color w:val="auto"/>
              </w:rPr>
            </w:pPr>
          </w:p>
        </w:tc>
      </w:tr>
      <w:tr>
        <w:trPr>
          <w:trHeight w:val="267"/>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SBA loans included in nonaccrual loans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22,720</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20,647</w:t>
            </w:r>
          </w:p>
        </w:tc>
        <w:tc>
          <w:tcPr>
            <w:tcW w:w="10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6,459</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Portion of SBA loans fully guaranteed by the SBA</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16,348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2,374</w:t>
            </w:r>
          </w:p>
        </w:tc>
        <w:tc>
          <w:tcPr>
            <w:tcW w:w="0" w:type="dxa"/>
            <w:vAlign w:val="bottom"/>
          </w:tcPr>
          <w:p>
            <w:pPr>
              <w:spacing w:after="0"/>
              <w:rPr>
                <w:sz w:val="1"/>
                <w:szCs w:val="1"/>
                <w:color w:val="auto"/>
              </w:rPr>
            </w:pPr>
          </w:p>
        </w:tc>
      </w:tr>
      <w:tr>
        <w:trPr>
          <w:trHeight w:val="267"/>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nonaccruing loans, excluding the balance fully guaranteed by the SBA</w:t>
            </w:r>
          </w:p>
        </w:tc>
        <w:tc>
          <w:tcPr>
            <w:tcW w:w="220" w:type="dxa"/>
            <w:vAlign w:val="bottom"/>
          </w:tcPr>
          <w:p>
            <w:pPr>
              <w:spacing w:after="0"/>
              <w:rPr>
                <w:sz w:val="23"/>
                <w:szCs w:val="23"/>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30,391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28,891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24,585</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repossessed assets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assets, excluding the balance fully guaranteed by the SBA</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30,707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29,548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25,643</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Total nonperforming assets, excluding the balance fully guaranteed by the SBA,</w:t>
            </w:r>
          </w:p>
        </w:tc>
        <w:tc>
          <w:tcPr>
            <w:tcW w:w="22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0.65 %</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0.56 %</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as a percentage of total assets</w:t>
            </w: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SBA loans made up 48.3%, 46.5% and 23.1% of total nonperforming assets at March 31, 2026, December 31, 2025 and March 31, 2025, respectively. The year-over-year increase was primarily the result of a management decision to accelerate the repurchase of the sold portion of nonperforming SBA loans (fully guaranteed portion) to simplify the workout process.</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Classified assets increased by $6.0 million, or 9.1%, to $72.2 million, or 1.65% of total assets, as of March 31, 2026 when compared to the balance of $66.2 million, or 1.46% of total assets, as of December 31, 2025. Similarly, classified assets increased by $31.5 million, or 77.4%, to $72.2 million, or 1.65% of total assets, as of March 31, 2026 when compared to the balance of $40.7 million, or 0.89% of total assets, as of March 31, 2025. SBA loans made up the largest portion of classified assets at $25.7 million and $27.3 million, respectively, as of March 31, 2026 and December 31, 2025, of which $18.1 million $19.8 million, respectively, was fully guaranteed. The remaining population of classified assets as of March 31, 2026 included $10.0 million of HELOCs, $9.3 million of 1-4 family residential real estate loans, $7.7 million of equipment finance loans (concentrated in the transportation sector) and $7.4 million of non-owner occupied CRE loans.</w:t>
      </w:r>
    </w:p>
    <w:p>
      <w:pPr>
        <w:spacing w:after="0" w:line="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on Loans. </w:t>
      </w:r>
      <w:r>
        <w:rPr>
          <w:rFonts w:ascii="Times New Roman" w:cs="Times New Roman" w:eastAsia="Times New Roman" w:hAnsi="Times New Roman"/>
          <w:sz w:val="16"/>
          <w:szCs w:val="16"/>
          <w:color w:val="auto"/>
        </w:rPr>
        <w:t>The ACL on loans was $40.6 million, or 1.14% of total loans, at March 31, 2026 compared to $41.5 million, or 1.16% of total loans,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at December 31, 2025. The drivers of this change are discussed in the "Comparison of Results of Operations for the Quarters Ended March 31, 2026 and December 31, 2025</w:t>
      </w:r>
    </w:p>
    <w:p>
      <w:pPr>
        <w:spacing w:after="0"/>
        <w:rPr>
          <w:sz w:val="20"/>
          <w:szCs w:val="20"/>
          <w:color w:val="auto"/>
        </w:rPr>
      </w:pPr>
      <w:r>
        <w:rPr>
          <w:rFonts w:ascii="Times New Roman" w:cs="Times New Roman" w:eastAsia="Times New Roman" w:hAnsi="Times New Roman"/>
          <w:sz w:val="16"/>
          <w:szCs w:val="16"/>
          <w:color w:val="auto"/>
        </w:rPr>
        <w:t>– Provision for Credit Losses" section above.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The following table summarizes the distribution of the ACL by loan category at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Allocated</w:t>
            </w:r>
          </w:p>
        </w:tc>
        <w:tc>
          <w:tcPr>
            <w:tcW w:w="12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rPr>
              <w:t>% of Loan</w:t>
            </w: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ACL to Loans</w:t>
            </w:r>
          </w:p>
        </w:tc>
        <w:tc>
          <w:tcPr>
            <w:tcW w:w="120" w:type="dxa"/>
            <w:vAlign w:val="bottom"/>
          </w:tcPr>
          <w:p>
            <w:pPr>
              <w:spacing w:after="0"/>
              <w:rPr>
                <w:sz w:val="13"/>
                <w:szCs w:val="13"/>
                <w:color w:val="auto"/>
              </w:rPr>
            </w:pPr>
          </w:p>
        </w:tc>
        <w:tc>
          <w:tcPr>
            <w:tcW w:w="880" w:type="dxa"/>
            <w:vAlign w:val="bottom"/>
          </w:tcPr>
          <w:p>
            <w:pPr>
              <w:jc w:val="right"/>
              <w:ind w:right="99"/>
              <w:spacing w:after="0" w:line="155" w:lineRule="exact"/>
              <w:rPr>
                <w:sz w:val="20"/>
                <w:szCs w:val="20"/>
                <w:color w:val="auto"/>
              </w:rPr>
            </w:pPr>
            <w:r>
              <w:rPr>
                <w:rFonts w:ascii="Times New Roman" w:cs="Times New Roman" w:eastAsia="Times New Roman" w:hAnsi="Times New Roman"/>
                <w:sz w:val="16"/>
                <w:szCs w:val="16"/>
                <w:b w:val="1"/>
                <w:bCs w:val="1"/>
                <w:color w:val="auto"/>
              </w:rPr>
              <w:t>Allocated</w:t>
            </w:r>
          </w:p>
        </w:tc>
        <w:tc>
          <w:tcPr>
            <w:tcW w:w="100" w:type="dxa"/>
            <w:vAlign w:val="bottom"/>
          </w:tcPr>
          <w:p>
            <w:pPr>
              <w:spacing w:after="0"/>
              <w:rPr>
                <w:sz w:val="13"/>
                <w:szCs w:val="13"/>
                <w:color w:val="auto"/>
              </w:rPr>
            </w:pPr>
          </w:p>
        </w:tc>
        <w:tc>
          <w:tcPr>
            <w:tcW w:w="130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rPr>
              <w:t>% of Loan</w:t>
            </w:r>
          </w:p>
        </w:tc>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ACL to Loans</w:t>
            </w:r>
          </w:p>
        </w:tc>
        <w:tc>
          <w:tcPr>
            <w:tcW w:w="0" w:type="dxa"/>
            <w:vAlign w:val="bottom"/>
          </w:tcPr>
          <w:p>
            <w:pPr>
              <w:spacing w:after="0"/>
              <w:rPr>
                <w:sz w:val="1"/>
                <w:szCs w:val="1"/>
                <w:color w:val="auto"/>
              </w:rPr>
            </w:pPr>
          </w:p>
        </w:tc>
      </w:tr>
      <w:tr>
        <w:trPr>
          <w:trHeight w:val="214"/>
        </w:trPr>
        <w:tc>
          <w:tcPr>
            <w:tcW w:w="4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0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8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0.13 %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0.11 %</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1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9,027</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8,908</w:t>
            </w:r>
          </w:p>
        </w:tc>
        <w:tc>
          <w:tcPr>
            <w:tcW w:w="12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19,781</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7"/>
                <w:szCs w:val="17"/>
                <w:color w:val="auto"/>
              </w:rPr>
            </w:pPr>
          </w:p>
        </w:tc>
        <w:tc>
          <w:tcPr>
            <w:tcW w:w="11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19,298</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4,915</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w:t>
            </w:r>
          </w:p>
        </w:tc>
        <w:tc>
          <w:tcPr>
            <w:tcW w:w="12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w:t>
            </w:r>
          </w:p>
        </w:tc>
        <w:tc>
          <w:tcPr>
            <w:tcW w:w="1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2"/>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12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8,452</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7"/>
                <w:szCs w:val="17"/>
                <w:color w:val="auto"/>
              </w:rPr>
            </w:pPr>
          </w:p>
        </w:tc>
        <w:tc>
          <w:tcPr>
            <w:tcW w:w="11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9"/>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40,607</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41,479</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4"/>
          </w:tcPr>
          <w:p>
            <w:pPr>
              <w:ind w:left="9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8"/>
                <w:szCs w:val="18"/>
                <w:color w:val="auto"/>
              </w:rPr>
            </w:pPr>
          </w:p>
        </w:tc>
        <w:tc>
          <w:tcPr>
            <w:tcW w:w="316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4"/>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Allocated Allowance</w:t>
            </w:r>
          </w:p>
        </w:tc>
        <w:tc>
          <w:tcPr>
            <w:tcW w:w="14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ACL to Loans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Allocated Allowance</w:t>
            </w:r>
          </w:p>
        </w:tc>
        <w:tc>
          <w:tcPr>
            <w:tcW w:w="14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ACL to Loans</w:t>
            </w:r>
          </w:p>
        </w:tc>
      </w:tr>
      <w:tr>
        <w:trPr>
          <w:trHeight w:val="19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ACL composition</w:t>
            </w:r>
          </w:p>
        </w:tc>
        <w:tc>
          <w:tcPr>
            <w:tcW w:w="1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4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Quantitative allocation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22,531</w:t>
            </w:r>
          </w:p>
        </w:tc>
        <w:tc>
          <w:tcPr>
            <w:tcW w:w="100" w:type="dxa"/>
            <w:vAlign w:val="bottom"/>
          </w:tcPr>
          <w:p>
            <w:pPr>
              <w:spacing w:after="0"/>
              <w:rPr>
                <w:sz w:val="18"/>
                <w:szCs w:val="18"/>
                <w:color w:val="auto"/>
              </w:rPr>
            </w:pPr>
          </w:p>
        </w:tc>
        <w:tc>
          <w:tcPr>
            <w:tcW w:w="14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0.64 %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22,832</w:t>
            </w:r>
          </w:p>
        </w:tc>
        <w:tc>
          <w:tcPr>
            <w:tcW w:w="100" w:type="dxa"/>
            <w:vAlign w:val="bottom"/>
          </w:tcPr>
          <w:p>
            <w:pPr>
              <w:spacing w:after="0"/>
              <w:rPr>
                <w:sz w:val="18"/>
                <w:szCs w:val="18"/>
                <w:color w:val="auto"/>
              </w:rPr>
            </w:pPr>
          </w:p>
        </w:tc>
        <w:tc>
          <w:tcPr>
            <w:tcW w:w="14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0.64 %</w:t>
            </w:r>
          </w:p>
        </w:tc>
      </w:tr>
      <w:tr>
        <w:trPr>
          <w:trHeight w:val="219"/>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Qualitative allocation</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0.50</w:t>
            </w:r>
          </w:p>
        </w:tc>
      </w:tr>
      <w:tr>
        <w:trPr>
          <w:trHeight w:val="213"/>
        </w:trPr>
        <w:tc>
          <w:tcPr>
            <w:tcW w:w="4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Individual allocation</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0.02</w:t>
            </w:r>
          </w:p>
        </w:tc>
      </w:tr>
      <w:tr>
        <w:trPr>
          <w:trHeight w:val="237"/>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ACL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40,607</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1.16 %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Net loan charge-offs totaled $1.8 million for the quarter ended March 31, 2026 compared to $3.1 million and $1.3 million for the three months ended December 31, 2025 and March 31, 2025, respectively. For all three periods, net charge-offs were concentrated within our equipment finance portfolio, primarily related to over-the-road truck loans, where we recognized net charge-offs of $1.5 million, $2.0 million and $1.0 million for the same periods, respectively. Annualized net charge-offs as a percentage of average loans were 0.19% for the three months ended March 31, 2026 as compared to 0.33% and 0.14% for the three months ended December 31, 2025 and March 31, 2025,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Deposits. </w:t>
      </w:r>
      <w:r>
        <w:rPr>
          <w:rFonts w:ascii="Times New Roman" w:cs="Times New Roman" w:eastAsia="Times New Roman" w:hAnsi="Times New Roman"/>
          <w:sz w:val="16"/>
          <w:szCs w:val="16"/>
          <w:color w:val="auto"/>
        </w:rPr>
        <w:t>The following table summarizes the composition of our deposit portfolio as of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Core deposits</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3"/>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accounts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730,666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22,918</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9"/>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NOW accounts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1,393,120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1,374,635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18,485</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171,754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core deposits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2,871,065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2,800,225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70,840</w:t>
            </w:r>
          </w:p>
        </w:tc>
        <w:tc>
          <w:tcPr>
            <w:tcW w:w="10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Certificates of deposit</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768,477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909,772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(141,295)</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3,639,542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3,709,997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(70,455)</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
        </w:trPr>
        <w:tc>
          <w:tcPr>
            <w:tcW w:w="5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8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decrease in deposits was driven by a reduction in brokered certificates of deposit of $116.1 million, partially offset by an increase of $45.7 million in core deposits and other certificates of deposit.</w:t>
      </w:r>
    </w:p>
    <w:p>
      <w:pPr>
        <w:spacing w:after="0" w:line="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Stockholders' Equity. </w:t>
      </w:r>
      <w:r>
        <w:rPr>
          <w:rFonts w:ascii="Times New Roman" w:cs="Times New Roman" w:eastAsia="Times New Roman" w:hAnsi="Times New Roman"/>
          <w:sz w:val="16"/>
          <w:szCs w:val="16"/>
          <w:color w:val="auto"/>
        </w:rPr>
        <w:t>Stockholders' equity decreased $8.3 million, or 1.4%, to $592.4 million at March 31, 2026 as compared to December 31, 2025. Activity within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stockholders' equity included $16.8 million in net income and $1.4 million in share-based compensation and stock option exercises, which was more than offset by $2.2 million in cash dividends declared and $23.1 million in stock repurchases. In addition, accumulated other comprehensive income declined by $622,000 due to an increase in the unrealized loss on available for sale securities due to higher market interest rates.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Management</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0" w:name="page41"/>
    <w:bookmarkEnd w:id="40"/>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these primary sources of funds, management has several secondary sources available to meet potential funding requirements. All qualifying one-to-four family loans, HELOCs, commercial real estate loans, multifamily loans and FHLB of Atlanta stock are pledged as collateral to secure outstanding FHLB advances while commercial construction loans, indirect auto loans, and equipment and municipal leases are pledged as collateral to secure outstanding FRB advances. At March 31, 2026, the Company had the ability to borrow $366.6 million through additional FHLB advances and $140.6 million through the unused portion of a line of credit with the FRB. At this same date, the Company maintained revolving lines of credit with four unaffiliated banks which totaled $135.0 million, all of which was unused.</w:t>
      </w:r>
    </w:p>
    <w:p>
      <w:pPr>
        <w:spacing w:after="0" w:line="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also classify our securities portfolio as available for sale, providing an additional source of liquidity. Management believes that our securities portfolio is of high quality, of short duration, and the securities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March 31, 2026, brokered deposits totaled $155.2 million, or 4.3% of total deposits.</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level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March 31, 2026, we (on an unconsolidated basis) had liquid assets of $6.6 million.</w:t>
      </w:r>
    </w:p>
    <w:p>
      <w:pPr>
        <w:spacing w:after="0" w:line="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the Bank level, we use our sources of funds primarily to meet our ongoing commitments, pay maturing deposits and fund withdrawals and to fund loan commitments. At March 31, 2026, the total approved loan commitments and unused lines of credit outstanding amounted to $323.1 million and $884.6 million, respectively. Certificates of deposit scheduled to mature in one year or less at March 31, 2026 totaled $745.4 million. It is management's policy to manage deposit rates that are competitive with other local financial institutions. Based on this strategy, we believe that a majority of maturing deposits will be retained.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Activities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liquidity risks. For further information, see "Note 11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in this Quarterly Report on Form 10-Q.</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Resources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HomeTrust Bancshares, Inc. is a bank holding company subject to regulation by the Federal Reserve. As a bank holding company, we are subject to capital adequacy requirements of the Federal Reserve under the Bank Holding Company Act of 1956, as amended and the regulations of the Federal Reserve. The Company's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additional discretionary actions by bank regulators that, if undertaken, could have a direct material effect on the Company's financial statements.</w:t>
      </w:r>
    </w:p>
    <w:p>
      <w:pPr>
        <w:spacing w:after="0" w:line="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Under capital adequacy guidelines and the regulatory framework for prompt corrective action, the Bank must meet specific capital guidelines that involve quantitative measures of the Bank’s assets, liabilities and certain off-balance sheet items as calculated under regulatory accounting practices. The Bank’s capital amounts and classification are also subject to qualitative judgments by the regulators about components, risk weightings and other factors.</w:t>
      </w:r>
    </w:p>
    <w:p>
      <w:pPr>
        <w:spacing w:after="0" w:line="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At March 31, 2026, HomeTrust Bancshares, Inc. and the Bank each exceeded all regulatory capital requirements. Consistent with the Company's goals to operate a sound and profitable organization, its policy is for the Bank to maintain a “well-capitalized” status under the regulatory capital categories of the Federal Reserve. The Bank was categorized as "well-capitalized" at March 31, 2026 under applicable regulatory requirements.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auto"/>
        </w:rPr>
        <w:t>HomeTrust Bancshares, Inc. and the Bank's actual and required minimum capital amounts and ratios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Regulatory Requirements</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4"/>
          </w:tcPr>
          <w:p>
            <w:pPr>
              <w:jc w:val="right"/>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Minimum for Capital</w:t>
            </w:r>
          </w:p>
        </w:tc>
        <w:tc>
          <w:tcPr>
            <w:tcW w:w="160" w:type="dxa"/>
            <w:vAlign w:val="bottom"/>
          </w:tcPr>
          <w:p>
            <w:pPr>
              <w:spacing w:after="0"/>
              <w:rPr>
                <w:sz w:val="13"/>
                <w:szCs w:val="13"/>
                <w:color w:val="auto"/>
              </w:rPr>
            </w:pPr>
          </w:p>
        </w:tc>
        <w:tc>
          <w:tcPr>
            <w:tcW w:w="2080" w:type="dxa"/>
            <w:vAlign w:val="bottom"/>
            <w:gridSpan w:val="3"/>
          </w:tcPr>
          <w:p>
            <w:pPr>
              <w:jc w:val="right"/>
              <w:ind w:right="499"/>
              <w:spacing w:after="0" w:line="158" w:lineRule="exact"/>
              <w:rPr>
                <w:sz w:val="20"/>
                <w:szCs w:val="20"/>
                <w:color w:val="auto"/>
              </w:rPr>
            </w:pPr>
            <w:r>
              <w:rPr>
                <w:rFonts w:ascii="Times New Roman" w:cs="Times New Roman" w:eastAsia="Times New Roman" w:hAnsi="Times New Roman"/>
                <w:sz w:val="16"/>
                <w:szCs w:val="16"/>
                <w:b w:val="1"/>
                <w:bCs w:val="1"/>
                <w:color w:val="auto"/>
              </w:rPr>
              <w:t>Minimum to Be</w:t>
            </w: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Adequacy Purposes</w:t>
            </w:r>
          </w:p>
        </w:tc>
        <w:tc>
          <w:tcPr>
            <w:tcW w:w="160" w:type="dxa"/>
            <w:vAlign w:val="bottom"/>
          </w:tcPr>
          <w:p>
            <w:pPr>
              <w:spacing w:after="0"/>
              <w:rPr>
                <w:sz w:val="18"/>
                <w:szCs w:val="18"/>
                <w:color w:val="auto"/>
              </w:rPr>
            </w:pPr>
          </w:p>
        </w:tc>
        <w:tc>
          <w:tcPr>
            <w:tcW w:w="208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Well Capitalized</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0" w:type="dxa"/>
            <w:vAlign w:val="bottom"/>
          </w:tcPr>
          <w:p>
            <w:pPr>
              <w:spacing w:after="0"/>
              <w:rPr>
                <w:sz w:val="1"/>
                <w:szCs w:val="1"/>
                <w:color w:val="auto"/>
              </w:rPr>
            </w:pPr>
          </w:p>
        </w:tc>
      </w:tr>
      <w:tr>
        <w:trPr>
          <w:trHeight w:val="198"/>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14.14 %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176,282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254,629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564,130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173,807</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217,259</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235,042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313,390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608,782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313,390</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391,737</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7"/>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560,919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13.83 %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182,491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263,598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175,853</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219,816</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243,321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324,429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617,238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324,429</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405,536</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60"/>
        </w:trPr>
        <w:tc>
          <w:tcPr>
            <w:tcW w:w="4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Bank</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551,612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14.09 %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176,216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254,535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551,612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173,776</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217,220</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551,612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234,955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313,273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596,264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313,273</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391,592</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7"/>
        </w:trPr>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13.71 %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182,427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263,506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175,795</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219,743</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243,236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324,315</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324,315</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405,394</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March 31, 2026, the Company's and Bank's risk-based capital exceeded the required capital contribution buffer.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paid by HomeTrust Bank are limited, without prior regulatory approval, to current year earnings and earnings less dividends paid during the preceding two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has not been any material change in the market risk disclosures contained in our 2025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Evaluation of Disclosure Controls and Procedures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evaluation of our disclosure controls and procedures (as defined in Rule 13a-15(e) of the Securities Exchange Act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1934 (the "Act")) as of March 31, 2026, was carried out under the supervision and with the participation of the Company's Chief Executive Officer, Chief Financial Officer and several other members of the Company's senior management. The Company's Chief Executive Officer and Chief Financial Officer concluded that the Company's disclosure controls and procedures in effect as of March 31, 2026,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spacing w:after="0" w:line="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2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i w:val="1"/>
          <w:iCs w:val="1"/>
          <w:u w:val="single" w:color="auto"/>
          <w:color w:val="auto"/>
        </w:rPr>
        <w:t>Changes in Internal Controls</w:t>
      </w:r>
      <w:r>
        <w:rPr>
          <w:rFonts w:ascii="Times New Roman" w:cs="Times New Roman" w:eastAsia="Times New Roman" w:hAnsi="Times New Roman"/>
          <w:sz w:val="16"/>
          <w:szCs w:val="16"/>
          <w:color w:val="auto"/>
        </w:rPr>
        <w:t>: There have been no changes in the Company’s internal control over financial reporting during the quarter ended March 31, 2026 that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materially affected, or are reasonably likely to materially affect, the Company’s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43"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6"/>
          <w:szCs w:val="16"/>
          <w:color w:val="auto"/>
        </w:rPr>
        <w:t xml:space="preserve">The "Litigation" section of "Note 11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to the Consolidated Financial Statements included in Part I, Item 1 is incorporated herein by reference.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the Risk Factors previously disclosed in Item 1A of the 2025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48" w:lineRule="exact"/>
        <w:rPr>
          <w:sz w:val="20"/>
          <w:szCs w:val="20"/>
          <w:color w:val="auto"/>
        </w:rPr>
      </w:pPr>
    </w:p>
    <w:p>
      <w:pPr>
        <w:ind w:left="220" w:hanging="212"/>
        <w:spacing w:after="0"/>
        <w:tabs>
          <w:tab w:leader="none" w:pos="2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4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45"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provides information about repurchases of common stock by the Company during the quarter ended March 31, 2026:</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 of Shares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 of</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 of Shares</w:t>
            </w:r>
          </w:p>
        </w:tc>
        <w:tc>
          <w:tcPr>
            <w:tcW w:w="1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2020" w:type="dxa"/>
            <w:vAlign w:val="bottom"/>
            <w:gridSpan w:val="2"/>
            <w:vMerge w:val="continue"/>
          </w:tcPr>
          <w:p>
            <w:pPr>
              <w:spacing w:after="0"/>
              <w:rPr>
                <w:sz w:val="14"/>
                <w:szCs w:val="14"/>
                <w:color w:val="auto"/>
              </w:rPr>
            </w:pPr>
          </w:p>
        </w:tc>
        <w:tc>
          <w:tcPr>
            <w:tcW w:w="1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3460" w:type="dxa"/>
            <w:vAlign w:val="bottom"/>
            <w:vMerge w:val="restart"/>
          </w:tcPr>
          <w:p>
            <w:pPr>
              <w:jc w:val="right"/>
              <w:ind w:right="2837"/>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20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Yet Be Purchased Under</w:t>
            </w: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8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January 1 - January 31, 2026</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107,626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107,626</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671,117</w:t>
            </w:r>
          </w:p>
        </w:tc>
        <w:tc>
          <w:tcPr>
            <w:tcW w:w="0" w:type="dxa"/>
            <w:vAlign w:val="bottom"/>
          </w:tcPr>
          <w:p>
            <w:pPr>
              <w:spacing w:after="0"/>
              <w:rPr>
                <w:sz w:val="1"/>
                <w:szCs w:val="1"/>
                <w:color w:val="auto"/>
              </w:rPr>
            </w:pPr>
          </w:p>
        </w:tc>
      </w:tr>
      <w:tr>
        <w:trPr>
          <w:trHeight w:val="21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February 1 - February 28, 2026</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205,702</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465,415</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March 1 - March 31, 2026</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8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219,912</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245,503</w:t>
            </w:r>
          </w:p>
        </w:tc>
        <w:tc>
          <w:tcPr>
            <w:tcW w:w="0" w:type="dxa"/>
            <w:vAlign w:val="bottom"/>
          </w:tcPr>
          <w:p>
            <w:pPr>
              <w:spacing w:after="0"/>
              <w:rPr>
                <w:sz w:val="1"/>
                <w:szCs w:val="1"/>
                <w:color w:val="auto"/>
              </w:rPr>
            </w:pPr>
          </w:p>
        </w:tc>
      </w:tr>
      <w:tr>
        <w:trPr>
          <w:trHeight w:val="207"/>
        </w:trPr>
        <w:tc>
          <w:tcPr>
            <w:tcW w:w="3460" w:type="dxa"/>
            <w:vAlign w:val="bottom"/>
          </w:tcPr>
          <w:p>
            <w:pPr>
              <w:jc w:val="right"/>
              <w:ind w:right="283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533,240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8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533,240</w:t>
            </w:r>
          </w:p>
        </w:tc>
        <w:tc>
          <w:tcPr>
            <w:tcW w:w="10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245,503</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Company's Board of Directors has, from time to time, authorized the repurchase of its common stock. The most recent time this was done, on December 16, 2025, 870,000 shares of common stock were authorized for repurchase representing approximately 5% of the Company's outstanding shares at the time of the announcement. As of March 31, 2026, 624,497 of these shares had been purchased at an average price of $43.10 per share, 533,240 of which were repurchased during the three months ended March 31, 2026. The shares may be purchased in the open market or in privately negotiated transactions, from time to time depending upon market conditions and other factors.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Nothing to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u w:val="single" w:color="auto"/>
          <w:color w:val="auto"/>
        </w:rPr>
        <w:t>Trading Plans</w:t>
      </w:r>
      <w:r>
        <w:rPr>
          <w:rFonts w:ascii="Times New Roman" w:cs="Times New Roman" w:eastAsia="Times New Roman" w:hAnsi="Times New Roman"/>
          <w:sz w:val="16"/>
          <w:szCs w:val="16"/>
          <w:color w:val="auto"/>
        </w:rPr>
        <w:t>: During the quarter ended March 31, 2026, no director or officer (as defined in Rule 16a-1(f) under the Exchange Act) of the Company adopted or terminated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"Rule 10b5-1 trading arrangement" or "non-Rule 10b5-1 trading arrangement," as each term is defined in Item 408(a) of Regulation S-K.</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12"/>
        </w:trPr>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Regulation</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gridSpan w:val="27"/>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S-K Exhibit #</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gridSpan w:val="2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200" w:type="dxa"/>
            <w:vAlign w:val="bottom"/>
            <w:tcBorders>
              <w:top w:val="single" w:sz="8" w:color="auto"/>
            </w:tcBorders>
            <w:gridSpan w:val="4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Charter of HomeTrust Bancshares, Inc.</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Amended and Restated Bylaws of HomeTrust Bancshares, Inc.</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bottom w:val="single" w:sz="8" w:color="0000FF"/>
            </w:tcBorders>
            <w:gridSpan w:val="39"/>
          </w:tcPr>
          <w:p>
            <w:pPr>
              <w:spacing w:after="0"/>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HomeTrust Bancshares, Inc. Senior Leadership Incentive Plan (formerly known as Operating Committee Incentive Program)</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Amended and Restated Employment Agreement between HomeTrust Bancshares, Inc. and C. Hunter Westbrook</w:t>
              </w:r>
            </w:hyperlink>
          </w:p>
        </w:tc>
        <w:tc>
          <w:tcPr>
            <w:tcW w:w="9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10.2A</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Amendment No. 1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55">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7"/>
          </w:tcPr>
          <w:p>
            <w:pPr>
              <w:spacing w:after="0"/>
              <w:rPr>
                <w:sz w:val="12"/>
                <w:szCs w:val="12"/>
                <w:color w:val="auto"/>
              </w:rPr>
            </w:pPr>
          </w:p>
        </w:tc>
        <w:tc>
          <w:tcPr>
            <w:tcW w:w="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10.2B</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Amendment No. 2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56">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7"/>
          </w:tcPr>
          <w:p>
            <w:pPr>
              <w:spacing w:after="0"/>
              <w:rPr>
                <w:sz w:val="12"/>
                <w:szCs w:val="12"/>
                <w:color w:val="auto"/>
              </w:rPr>
            </w:pPr>
          </w:p>
        </w:tc>
        <w:tc>
          <w:tcPr>
            <w:tcW w:w="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10.2C</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Amendment No. 3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57">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7"/>
          </w:tcPr>
          <w:p>
            <w:pPr>
              <w:spacing w:after="0"/>
              <w:rPr>
                <w:sz w:val="12"/>
                <w:szCs w:val="12"/>
                <w:color w:val="auto"/>
              </w:rPr>
            </w:pPr>
          </w:p>
        </w:tc>
        <w:tc>
          <w:tcPr>
            <w:tcW w:w="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10.2D</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Amendment No. 4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58">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7"/>
          </w:tcPr>
          <w:p>
            <w:pPr>
              <w:spacing w:after="0"/>
              <w:rPr>
                <w:sz w:val="12"/>
                <w:szCs w:val="12"/>
                <w:color w:val="auto"/>
              </w:rPr>
            </w:pPr>
          </w:p>
        </w:tc>
        <w:tc>
          <w:tcPr>
            <w:tcW w:w="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Amended and Restated Employment Agreement between HomeTrust Bancshares, Inc. and Tony J. VunCannon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10.3A</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Amendment No. 1 to Amended and Restated Employment Agreement between HomeTrust Bancshares, Inc. and Tony</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8"/>
              </w:rPr>
            </w:pPr>
            <w:hyperlink r:id="rId59">
              <w:r>
                <w:rPr>
                  <w:rFonts w:ascii="Times New Roman" w:cs="Times New Roman" w:eastAsia="Times New Roman" w:hAnsi="Times New Roman"/>
                  <w:sz w:val="16"/>
                  <w:szCs w:val="16"/>
                  <w:color w:val="0000FF"/>
                  <w:w w:val="98"/>
                </w:rPr>
                <w:t>VunCannon</w:t>
              </w:r>
            </w:hyperlink>
          </w:p>
        </w:tc>
        <w:tc>
          <w:tcPr>
            <w:tcW w:w="6880" w:type="dxa"/>
            <w:vAlign w:val="bottom"/>
            <w:tcBorders>
              <w:top w:val="single" w:sz="8" w:color="0000FF"/>
            </w:tcBorders>
            <w:gridSpan w:val="34"/>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HomeTrust Bank Executive Supplemental Retirement Income Master Agreement (“SERP”)</w:t>
              </w:r>
            </w:hyperlink>
          </w:p>
        </w:tc>
        <w:tc>
          <w:tcPr>
            <w:tcW w:w="2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Amendment No. 1 to SERP</w:t>
              </w:r>
            </w:hyperlink>
          </w:p>
        </w:tc>
        <w:tc>
          <w:tcPr>
            <w:tcW w:w="64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Amendment No. 2 to SERP</w:t>
              </w:r>
            </w:hyperlink>
          </w:p>
        </w:tc>
        <w:tc>
          <w:tcPr>
            <w:tcW w:w="64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10.6A</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SERP Joinder Agreement for F. Edward Broadwell, Jr.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10.6B</w:t>
            </w:r>
          </w:p>
        </w:tc>
        <w:tc>
          <w:tcPr>
            <w:tcW w:w="2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SERP Joinder Agreement for Dana L. Stonestreet</w:t>
              </w:r>
            </w:hyperlink>
          </w:p>
        </w:tc>
        <w:tc>
          <w:tcPr>
            <w:tcW w:w="320" w:type="dxa"/>
            <w:vAlign w:val="bottom"/>
            <w:tcBorders>
              <w:top w:val="single" w:sz="8" w:color="0000FF"/>
            </w:tcBorders>
            <w:gridSpan w:val="3"/>
          </w:tcPr>
          <w:p>
            <w:pPr>
              <w:spacing w:after="0"/>
              <w:rPr>
                <w:sz w:val="17"/>
                <w:szCs w:val="17"/>
                <w:color w:val="auto"/>
              </w:rPr>
            </w:pPr>
          </w:p>
        </w:tc>
        <w:tc>
          <w:tcPr>
            <w:tcW w:w="46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10.6C</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SERP Joinder Agreement for Tony J. VunCannon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10.6D</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SERP Joinder Agreement for Howard L. Sellinger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10.6E</w:t>
            </w:r>
          </w:p>
        </w:tc>
        <w:tc>
          <w:tcPr>
            <w:tcW w:w="20" w:type="dxa"/>
            <w:vAlign w:val="bottom"/>
          </w:tcPr>
          <w:p>
            <w:pPr>
              <w:spacing w:after="0"/>
              <w:rPr>
                <w:sz w:val="17"/>
                <w:szCs w:val="17"/>
                <w:color w:val="auto"/>
              </w:rPr>
            </w:pPr>
          </w:p>
        </w:tc>
        <w:tc>
          <w:tcPr>
            <w:tcW w:w="3260" w:type="dxa"/>
            <w:vAlign w:val="bottom"/>
            <w:tcBorders>
              <w:top w:val="single" w:sz="8" w:color="0000FF"/>
            </w:tcBorders>
            <w:gridSpan w:val="1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SERP Joinder Agreement for Stan Allen</w:t>
              </w:r>
            </w:hyperlink>
          </w:p>
        </w:tc>
        <w:tc>
          <w:tcPr>
            <w:tcW w:w="49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10.6F</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SERP Joinder Agreement for Sidney A. Biesecker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10.6G</w:t>
            </w:r>
          </w:p>
        </w:tc>
        <w:tc>
          <w:tcPr>
            <w:tcW w:w="2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SERP Joinder Agreement for Peggy C. Melville</w:t>
              </w:r>
            </w:hyperlink>
          </w:p>
        </w:tc>
        <w:tc>
          <w:tcPr>
            <w:tcW w:w="140" w:type="dxa"/>
            <w:vAlign w:val="bottom"/>
            <w:tcBorders>
              <w:top w:val="single" w:sz="8" w:color="0000FF"/>
            </w:tcBorders>
            <w:gridSpan w:val="2"/>
          </w:tcPr>
          <w:p>
            <w:pPr>
              <w:spacing w:after="0"/>
              <w:rPr>
                <w:sz w:val="17"/>
                <w:szCs w:val="17"/>
                <w:color w:val="auto"/>
              </w:rPr>
            </w:pPr>
          </w:p>
        </w:tc>
        <w:tc>
          <w:tcPr>
            <w:tcW w:w="49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10.6H</w:t>
            </w:r>
          </w:p>
        </w:tc>
        <w:tc>
          <w:tcPr>
            <w:tcW w:w="20" w:type="dxa"/>
            <w:vAlign w:val="bottom"/>
          </w:tcPr>
          <w:p>
            <w:pPr>
              <w:spacing w:after="0"/>
              <w:rPr>
                <w:sz w:val="17"/>
                <w:szCs w:val="17"/>
                <w:color w:val="auto"/>
              </w:rPr>
            </w:pPr>
          </w:p>
        </w:tc>
        <w:tc>
          <w:tcPr>
            <w:tcW w:w="30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SERP Joinder Agreement for William T. Flynt</w:t>
              </w:r>
            </w:hyperlink>
          </w:p>
        </w:tc>
        <w:tc>
          <w:tcPr>
            <w:tcW w:w="518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10.6I</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Amended and Restated Supplemental Income Agreement between HomeTrust Bank, as successor to Industrial Federal</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80" w:type="dxa"/>
            <w:vAlign w:val="bottom"/>
            <w:tcBorders>
              <w:top w:val="single" w:sz="8" w:color="0000FF"/>
            </w:tcBorders>
            <w:gridSpan w:val="37"/>
          </w:tcPr>
          <w:p>
            <w:pPr>
              <w:spacing w:after="0" w:line="142"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Savings Bank, and Sidney Biesecker</w:t>
              </w:r>
            </w:hyperlink>
          </w:p>
        </w:tc>
        <w:tc>
          <w:tcPr>
            <w:tcW w:w="5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HomeTrust Bank Director Emeritus Plan (“Director Emeritus Plan”)</w:t>
              </w:r>
            </w:hyperlink>
          </w:p>
        </w:tc>
        <w:tc>
          <w:tcPr>
            <w:tcW w:w="37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10.7A</w:t>
            </w:r>
          </w:p>
        </w:tc>
        <w:tc>
          <w:tcPr>
            <w:tcW w:w="20" w:type="dxa"/>
            <w:vAlign w:val="bottom"/>
          </w:tcPr>
          <w:p>
            <w:pPr>
              <w:spacing w:after="0"/>
              <w:rPr>
                <w:sz w:val="17"/>
                <w:szCs w:val="17"/>
                <w:color w:val="auto"/>
              </w:rPr>
            </w:pPr>
          </w:p>
        </w:tc>
        <w:tc>
          <w:tcPr>
            <w:tcW w:w="412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Director Emeritus Plan Joinder Agreement for William T. Flynt</w:t>
              </w:r>
            </w:hyperlink>
          </w:p>
        </w:tc>
        <w:tc>
          <w:tcPr>
            <w:tcW w:w="40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10.7B</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Director Emeritus Plan Joinder Agreement for J. Steven Goforth</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10.7C</w:t>
            </w:r>
          </w:p>
        </w:tc>
        <w:tc>
          <w:tcPr>
            <w:tcW w:w="20" w:type="dxa"/>
            <w:vAlign w:val="bottom"/>
          </w:tcPr>
          <w:p>
            <w:pPr>
              <w:spacing w:after="0"/>
              <w:rPr>
                <w:sz w:val="17"/>
                <w:szCs w:val="17"/>
                <w:color w:val="auto"/>
              </w:rPr>
            </w:pPr>
          </w:p>
        </w:tc>
        <w:tc>
          <w:tcPr>
            <w:tcW w:w="4180" w:type="dxa"/>
            <w:vAlign w:val="bottom"/>
            <w:tcBorders>
              <w:top w:val="single" w:sz="8" w:color="0000FF"/>
            </w:tcBorders>
            <w:gridSpan w:val="17"/>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Director Emeritus Plan Joinder Agreement for Craig C. Koontz</w:t>
              </w:r>
            </w:hyperlink>
          </w:p>
        </w:tc>
        <w:tc>
          <w:tcPr>
            <w:tcW w:w="40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10.7D</w:t>
            </w:r>
          </w:p>
        </w:tc>
        <w:tc>
          <w:tcPr>
            <w:tcW w:w="20" w:type="dxa"/>
            <w:vAlign w:val="bottom"/>
          </w:tcPr>
          <w:p>
            <w:pPr>
              <w:spacing w:after="0"/>
              <w:rPr>
                <w:sz w:val="17"/>
                <w:szCs w:val="17"/>
                <w:color w:val="auto"/>
              </w:rPr>
            </w:pPr>
          </w:p>
        </w:tc>
        <w:tc>
          <w:tcPr>
            <w:tcW w:w="42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Director Emeritus Plan Joinder Agreement for Larry S. McDevitt</w:t>
              </w:r>
            </w:hyperlink>
          </w:p>
        </w:tc>
        <w:tc>
          <w:tcPr>
            <w:tcW w:w="39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10.7E</w:t>
            </w:r>
          </w:p>
        </w:tc>
        <w:tc>
          <w:tcPr>
            <w:tcW w:w="20" w:type="dxa"/>
            <w:vAlign w:val="bottom"/>
          </w:tcPr>
          <w:p>
            <w:pPr>
              <w:spacing w:after="0"/>
              <w:rPr>
                <w:sz w:val="17"/>
                <w:szCs w:val="17"/>
                <w:color w:val="auto"/>
              </w:rPr>
            </w:pPr>
          </w:p>
        </w:tc>
        <w:tc>
          <w:tcPr>
            <w:tcW w:w="43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Director Emeritus Plan Joinder Agreement for F.K. McFarland, III</w:t>
              </w:r>
            </w:hyperlink>
          </w:p>
        </w:tc>
        <w:tc>
          <w:tcPr>
            <w:tcW w:w="3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10.7F</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Director Emeritus Plan Joinder Agreement for Peggy C. Melville</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10.7G</w:t>
            </w:r>
          </w:p>
        </w:tc>
        <w:tc>
          <w:tcPr>
            <w:tcW w:w="20" w:type="dxa"/>
            <w:vAlign w:val="bottom"/>
          </w:tcPr>
          <w:p>
            <w:pPr>
              <w:spacing w:after="0"/>
              <w:rPr>
                <w:sz w:val="17"/>
                <w:szCs w:val="17"/>
                <w:color w:val="auto"/>
              </w:rPr>
            </w:pPr>
          </w:p>
        </w:tc>
        <w:tc>
          <w:tcPr>
            <w:tcW w:w="45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Director Emeritus Plan Joinder Agreement for Robert E. Shepherd, Sr.</w:t>
              </w:r>
            </w:hyperlink>
          </w:p>
        </w:tc>
        <w:tc>
          <w:tcPr>
            <w:tcW w:w="3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HomeTrust Bank Defined Contribution Executive Medical Care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0" w:type="dxa"/>
            <w:vAlign w:val="bottom"/>
            <w:gridSpan w:val="9"/>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10.8A</w:t>
            </w:r>
          </w:p>
        </w:tc>
        <w:tc>
          <w:tcPr>
            <w:tcW w:w="20" w:type="dxa"/>
            <w:vAlign w:val="bottom"/>
          </w:tcPr>
          <w:p>
            <w:pPr>
              <w:spacing w:after="0"/>
              <w:rPr>
                <w:sz w:val="17"/>
                <w:szCs w:val="17"/>
                <w:color w:val="auto"/>
              </w:rPr>
            </w:pPr>
          </w:p>
        </w:tc>
        <w:tc>
          <w:tcPr>
            <w:tcW w:w="590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Amendment No. 1 to HomeTrust Bank Defined Contribution Executive Medical Care Plan</w:t>
              </w:r>
            </w:hyperlink>
          </w:p>
        </w:tc>
        <w:tc>
          <w:tcPr>
            <w:tcW w:w="2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10.8B</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Form of Joinder Agreement Under the HomeTrust Bank Defined Contribution Executive Medical Care Plan</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10.8C</w:t>
            </w:r>
          </w:p>
        </w:tc>
        <w:tc>
          <w:tcPr>
            <w:tcW w:w="20" w:type="dxa"/>
            <w:vAlign w:val="bottom"/>
          </w:tcPr>
          <w:p>
            <w:pPr>
              <w:spacing w:after="0"/>
              <w:rPr>
                <w:sz w:val="17"/>
                <w:szCs w:val="17"/>
                <w:color w:val="auto"/>
              </w:rPr>
            </w:pPr>
          </w:p>
        </w:tc>
        <w:tc>
          <w:tcPr>
            <w:tcW w:w="5900" w:type="dxa"/>
            <w:vAlign w:val="bottom"/>
            <w:tcBorders>
              <w:top w:val="single" w:sz="8" w:color="0000FF"/>
              <w:bottom w:val="single" w:sz="8" w:color="0000FF"/>
            </w:tcBorders>
            <w:gridSpan w:val="29"/>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Amendment No. 2 to HomeTrust Bank Defined Contribution Executive Medical Care Plan</w:t>
              </w:r>
            </w:hyperlink>
          </w:p>
        </w:tc>
        <w:tc>
          <w:tcPr>
            <w:tcW w:w="1100" w:type="dxa"/>
            <w:vAlign w:val="bottom"/>
            <w:tcBorders>
              <w:top w:val="single" w:sz="8" w:color="0000FF"/>
            </w:tcBorders>
            <w:gridSpan w:val="4"/>
          </w:tcPr>
          <w:p>
            <w:pPr>
              <w:spacing w:after="0"/>
              <w:rPr>
                <w:sz w:val="17"/>
                <w:szCs w:val="17"/>
                <w:color w:val="auto"/>
              </w:rPr>
            </w:pPr>
          </w:p>
        </w:tc>
        <w:tc>
          <w:tcPr>
            <w:tcW w:w="1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10.8D</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3 to HomeTrust Bank Defined Contribution Executive Medical Care Plan</w:t>
              </w:r>
            </w:hyperlink>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top w:val="single" w:sz="8" w:color="0000FF"/>
            </w:tcBorders>
            <w:gridSpan w:val="28"/>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HomeTrust Bank 2005 Deferred Compensation Plan</w:t>
              </w:r>
            </w:hyperlink>
          </w:p>
        </w:tc>
        <w:tc>
          <w:tcPr>
            <w:tcW w:w="2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10.9A</w:t>
            </w: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Amendment No. 1 to HomeTrust Bank 2005 Deferred Compensation Plan</w:t>
              </w:r>
            </w:hyperlink>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HomeTrust Bank Pre-2005 Deferred Compensation Plan</w:t>
              </w:r>
            </w:hyperlink>
          </w:p>
        </w:tc>
        <w:tc>
          <w:tcPr>
            <w:tcW w:w="1120" w:type="dxa"/>
            <w:vAlign w:val="bottom"/>
            <w:tcBorders>
              <w:top w:val="single" w:sz="8" w:color="0000FF"/>
            </w:tcBorders>
            <w:gridSpan w:val="11"/>
          </w:tcPr>
          <w:p>
            <w:pPr>
              <w:spacing w:after="0"/>
              <w:rPr>
                <w:sz w:val="17"/>
                <w:szCs w:val="17"/>
                <w:color w:val="auto"/>
              </w:rPr>
            </w:pPr>
          </w:p>
        </w:tc>
        <w:tc>
          <w:tcPr>
            <w:tcW w:w="34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10.10A</w:t>
            </w:r>
          </w:p>
        </w:tc>
        <w:tc>
          <w:tcPr>
            <w:tcW w:w="20" w:type="dxa"/>
            <w:vAlign w:val="bottom"/>
          </w:tcPr>
          <w:p>
            <w:pPr>
              <w:spacing w:after="0"/>
              <w:rPr>
                <w:sz w:val="17"/>
                <w:szCs w:val="17"/>
                <w:color w:val="auto"/>
              </w:rPr>
            </w:pPr>
          </w:p>
        </w:tc>
        <w:tc>
          <w:tcPr>
            <w:tcW w:w="508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Amendment No. 1 to HomeTrust Bank Pre-2005 Deferred Compensation Plan</w:t>
              </w:r>
            </w:hyperlink>
          </w:p>
        </w:tc>
        <w:tc>
          <w:tcPr>
            <w:tcW w:w="31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0"/>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HomeTrust Bank 2025 Deferred Compensation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1"/>
            <w:shd w:val="clear" w:color="auto" w:fill="0000FF"/>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HomeTrust Bancshares, Inc. 2013 Omnibus Incentive Plan (“2013 Omnibus Incentive Plan”)</w:t>
              </w:r>
            </w:hyperlink>
          </w:p>
        </w:tc>
        <w:tc>
          <w:tcPr>
            <w:tcW w:w="2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10.12A</w:t>
            </w:r>
          </w:p>
        </w:tc>
        <w:tc>
          <w:tcPr>
            <w:tcW w:w="20" w:type="dxa"/>
            <w:vAlign w:val="bottom"/>
          </w:tcPr>
          <w:p>
            <w:pPr>
              <w:spacing w:after="0"/>
              <w:rPr>
                <w:sz w:val="17"/>
                <w:szCs w:val="17"/>
                <w:color w:val="auto"/>
              </w:rPr>
            </w:pPr>
          </w:p>
        </w:tc>
        <w:tc>
          <w:tcPr>
            <w:tcW w:w="56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Form of Incentive Stock Option Award Agreement under 2013 Omnibus Incentive Plan</w:t>
              </w:r>
            </w:hyperlink>
          </w:p>
        </w:tc>
        <w:tc>
          <w:tcPr>
            <w:tcW w:w="2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10.12B</w:t>
            </w:r>
          </w:p>
        </w:tc>
        <w:tc>
          <w:tcPr>
            <w:tcW w:w="20" w:type="dxa"/>
            <w:vAlign w:val="bottom"/>
          </w:tcPr>
          <w:p>
            <w:pPr>
              <w:spacing w:after="0"/>
              <w:rPr>
                <w:sz w:val="17"/>
                <w:szCs w:val="17"/>
                <w:color w:val="auto"/>
              </w:rPr>
            </w:pPr>
          </w:p>
        </w:tc>
        <w:tc>
          <w:tcPr>
            <w:tcW w:w="602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Form of Non-Qualified Stock Option Award Agreement under 2013 Omnibus Incentive Plan</w:t>
              </w:r>
            </w:hyperlink>
          </w:p>
        </w:tc>
        <w:tc>
          <w:tcPr>
            <w:tcW w:w="21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10.12C</w:t>
            </w:r>
          </w:p>
        </w:tc>
        <w:tc>
          <w:tcPr>
            <w:tcW w:w="20" w:type="dxa"/>
            <w:vAlign w:val="bottom"/>
          </w:tcPr>
          <w:p>
            <w:pPr>
              <w:spacing w:after="0"/>
              <w:rPr>
                <w:sz w:val="17"/>
                <w:szCs w:val="17"/>
                <w:color w:val="auto"/>
              </w:rPr>
            </w:pPr>
          </w:p>
        </w:tc>
        <w:tc>
          <w:tcPr>
            <w:tcW w:w="584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Form of Stock Appreciation Right Award Agreement under 2013 Omnibus Incentive Plan</w:t>
              </w:r>
            </w:hyperlink>
          </w:p>
        </w:tc>
        <w:tc>
          <w:tcPr>
            <w:tcW w:w="2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5"/>
          <w:szCs w:val="15"/>
          <w:b w:val="1"/>
          <w:bCs w:val="1"/>
          <w:color w:val="auto"/>
        </w:rPr>
        <w:t>Reference to Prior Filing or Exhibit #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-1270</wp:posOffset>
            </wp:positionV>
            <wp:extent cx="11055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(n)</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(g)</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(b)</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(h)</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(o)</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(g)</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(l)</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(x)</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ectPr>
          <w:pgSz w:w="11900" w:h="16838" w:orient="portrait"/>
          <w:cols w:equalWidth="0" w:num="2">
            <w:col w:w="9400" w:space="340"/>
            <w:col w:w="1260"/>
          </w:cols>
          <w:pgMar w:left="320" w:top="893" w:right="5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Regulation</w:t>
            </w:r>
          </w:p>
        </w:tc>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to Prior</w:t>
            </w:r>
          </w:p>
        </w:tc>
        <w:tc>
          <w:tcPr>
            <w:tcW w:w="0" w:type="dxa"/>
            <w:vAlign w:val="bottom"/>
          </w:tcPr>
          <w:p>
            <w:pPr>
              <w:spacing w:after="0"/>
              <w:rPr>
                <w:sz w:val="1"/>
                <w:szCs w:val="1"/>
                <w:color w:val="auto"/>
              </w:rPr>
            </w:pPr>
          </w:p>
        </w:tc>
      </w:tr>
      <w:tr>
        <w:trPr>
          <w:trHeight w:val="162"/>
        </w:trPr>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200" w:type="dxa"/>
            <w:vAlign w:val="bottom"/>
            <w:gridSpan w:val="19"/>
            <w:vMerge w:val="restart"/>
          </w:tcPr>
          <w:p>
            <w:pPr>
              <w:ind w:left="374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100" w:type="dxa"/>
            <w:vAlign w:val="bottom"/>
            <w:vMerge w:val="restart"/>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Filing or Exhibit #</w:t>
            </w:r>
          </w:p>
        </w:tc>
        <w:tc>
          <w:tcPr>
            <w:tcW w:w="0" w:type="dxa"/>
            <w:vAlign w:val="bottom"/>
          </w:tcPr>
          <w:p>
            <w:pPr>
              <w:spacing w:after="0"/>
              <w:rPr>
                <w:sz w:val="1"/>
                <w:szCs w:val="1"/>
                <w:color w:val="auto"/>
              </w:rPr>
            </w:pPr>
          </w:p>
        </w:tc>
      </w:tr>
      <w:tr>
        <w:trPr>
          <w:trHeight w:val="214"/>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S-K Exhibit #</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gridSpan w:val="19"/>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Attached Hereto</w:t>
            </w:r>
          </w:p>
        </w:tc>
        <w:tc>
          <w:tcPr>
            <w:tcW w:w="0" w:type="dxa"/>
            <w:vAlign w:val="bottom"/>
          </w:tcPr>
          <w:p>
            <w:pPr>
              <w:spacing w:after="0"/>
              <w:rPr>
                <w:sz w:val="1"/>
                <w:szCs w:val="1"/>
                <w:color w:val="auto"/>
              </w:rPr>
            </w:pPr>
          </w:p>
        </w:tc>
      </w:tr>
      <w:tr>
        <w:trPr>
          <w:trHeight w:val="21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10.12D</w:t>
            </w:r>
          </w:p>
        </w:tc>
        <w:tc>
          <w:tcPr>
            <w:tcW w:w="20" w:type="dxa"/>
            <w:vAlign w:val="bottom"/>
          </w:tcPr>
          <w:p>
            <w:pPr>
              <w:spacing w:after="0"/>
              <w:rPr>
                <w:sz w:val="18"/>
                <w:szCs w:val="18"/>
                <w:color w:val="auto"/>
              </w:rPr>
            </w:pPr>
          </w:p>
        </w:tc>
        <w:tc>
          <w:tcPr>
            <w:tcW w:w="8300" w:type="dxa"/>
            <w:vAlign w:val="bottom"/>
            <w:gridSpan w:val="20"/>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Form of Restricted Stock Award Agreement under 2013 Omnibus Incentive Plan</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(k)</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10.12E</w:t>
            </w:r>
          </w:p>
        </w:tc>
        <w:tc>
          <w:tcPr>
            <w:tcW w:w="20" w:type="dxa"/>
            <w:vAlign w:val="bottom"/>
          </w:tcPr>
          <w:p>
            <w:pPr>
              <w:spacing w:after="0"/>
              <w:rPr>
                <w:sz w:val="17"/>
                <w:szCs w:val="17"/>
                <w:color w:val="auto"/>
              </w:rPr>
            </w:pPr>
          </w:p>
        </w:tc>
        <w:tc>
          <w:tcPr>
            <w:tcW w:w="8300" w:type="dxa"/>
            <w:vAlign w:val="bottom"/>
            <w:gridSpan w:val="20"/>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Form of Restricted Stock Unit Award Agreement under 2013 Omnibus Incentive Plan</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(k)</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HomeTrust Bancshares, Inc. 2022 Omnibus Incentive Plan (“2022 Omnibus Incentive Plan”)</w:t>
              </w:r>
            </w:hyperlink>
          </w:p>
        </w:tc>
        <w:tc>
          <w:tcPr>
            <w:tcW w:w="2260" w:type="dxa"/>
            <w:vAlign w:val="bottom"/>
            <w:gridSpan w:val="14"/>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(q)</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10.13A</w:t>
            </w:r>
          </w:p>
        </w:tc>
        <w:tc>
          <w:tcPr>
            <w:tcW w:w="20" w:type="dxa"/>
            <w:vAlign w:val="bottom"/>
          </w:tcPr>
          <w:p>
            <w:pPr>
              <w:spacing w:after="0"/>
              <w:rPr>
                <w:sz w:val="17"/>
                <w:szCs w:val="17"/>
                <w:color w:val="auto"/>
              </w:rPr>
            </w:pPr>
          </w:p>
        </w:tc>
        <w:tc>
          <w:tcPr>
            <w:tcW w:w="708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Non-Qualified Stock Option Award Agreement under the Registrant’s 2022 Omnibus Incentive Plan</w:t>
              </w:r>
            </w:hyperlink>
          </w:p>
        </w:tc>
        <w:tc>
          <w:tcPr>
            <w:tcW w:w="1220" w:type="dxa"/>
            <w:vAlign w:val="bottom"/>
            <w:gridSpan w:val="9"/>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(u)</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10.13B</w:t>
            </w:r>
          </w:p>
        </w:tc>
        <w:tc>
          <w:tcPr>
            <w:tcW w:w="20" w:type="dxa"/>
            <w:vAlign w:val="bottom"/>
          </w:tcPr>
          <w:p>
            <w:pPr>
              <w:spacing w:after="0"/>
              <w:rPr>
                <w:sz w:val="17"/>
                <w:szCs w:val="17"/>
                <w:color w:val="auto"/>
              </w:rPr>
            </w:pPr>
          </w:p>
        </w:tc>
        <w:tc>
          <w:tcPr>
            <w:tcW w:w="8300" w:type="dxa"/>
            <w:vAlign w:val="bottom"/>
            <w:gridSpan w:val="20"/>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Restricted Stock Award Agreement for Employees under the Registrant’s 2022 Omnibus Incentive Plan</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(u)</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10.13C</w:t>
            </w:r>
          </w:p>
        </w:tc>
        <w:tc>
          <w:tcPr>
            <w:tcW w:w="20" w:type="dxa"/>
            <w:vAlign w:val="bottom"/>
          </w:tcPr>
          <w:p>
            <w:pPr>
              <w:spacing w:after="0"/>
              <w:rPr>
                <w:sz w:val="17"/>
                <w:szCs w:val="17"/>
                <w:color w:val="auto"/>
              </w:rPr>
            </w:pPr>
          </w:p>
        </w:tc>
        <w:tc>
          <w:tcPr>
            <w:tcW w:w="7280" w:type="dxa"/>
            <w:vAlign w:val="bottom"/>
            <w:tcBorders>
              <w:top w:val="single" w:sz="8" w:color="0000FF"/>
            </w:tcBorders>
            <w:gridSpan w:val="13"/>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Restricted Stock Award Agreement for Directors under the Registrant’s 2022 Omnibus Incentive Plan</w:t>
              </w:r>
            </w:hyperlink>
          </w:p>
        </w:tc>
        <w:tc>
          <w:tcPr>
            <w:tcW w:w="1020" w:type="dxa"/>
            <w:vAlign w:val="bottom"/>
            <w:gridSpan w:val="7"/>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(u)</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Amended and Restated Change in Control Severance Agreement between HomeTrust Bancshares, Inc. and John Sprink</w:t>
              </w:r>
            </w:hyperlink>
          </w:p>
        </w:tc>
        <w:tc>
          <w:tcPr>
            <w:tcW w:w="540" w:type="dxa"/>
            <w:vAlign w:val="bottom"/>
            <w:gridSpan w:val="4"/>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Change in Control Severance Agreement between HomeTrust Bancshares, Inc. and Kristin Powell</w:t>
              </w:r>
            </w:hyperlink>
          </w:p>
        </w:tc>
        <w:tc>
          <w:tcPr>
            <w:tcW w:w="1920" w:type="dxa"/>
            <w:vAlign w:val="bottom"/>
            <w:gridSpan w:val="11"/>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10.15A</w:t>
            </w:r>
          </w:p>
        </w:tc>
        <w:tc>
          <w:tcPr>
            <w:tcW w:w="20" w:type="dxa"/>
            <w:vAlign w:val="bottom"/>
          </w:tcPr>
          <w:p>
            <w:pPr>
              <w:spacing w:after="0"/>
              <w:rPr>
                <w:sz w:val="17"/>
                <w:szCs w:val="17"/>
                <w:color w:val="auto"/>
              </w:rPr>
            </w:pPr>
          </w:p>
        </w:tc>
        <w:tc>
          <w:tcPr>
            <w:tcW w:w="8300" w:type="dxa"/>
            <w:vAlign w:val="bottom"/>
            <w:gridSpan w:val="20"/>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Amendment No. 1 to Change in Control Severance Agreement between HomeTrust Bancshares, Inc. and Kristin Powell</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80" w:type="dxa"/>
            <w:vAlign w:val="bottom"/>
            <w:tcBorders>
              <w:top w:val="single" w:sz="8" w:color="0000FF"/>
            </w:tcBorders>
            <w:gridSpan w:val="17"/>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Change in Control Severance Agreement between HomeTrust Bancshares, Inc. and Megan Pelletier</w:t>
              </w:r>
            </w:hyperlink>
          </w:p>
        </w:tc>
        <w:tc>
          <w:tcPr>
            <w:tcW w:w="520" w:type="dxa"/>
            <w:vAlign w:val="bottom"/>
            <w:gridSpan w:val="3"/>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60" w:type="dxa"/>
            <w:vAlign w:val="bottom"/>
            <w:tcBorders>
              <w:top w:val="single" w:sz="8" w:color="0000FF"/>
            </w:tcBorders>
            <w:gridSpan w:val="10"/>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Change in Control Severance Agreement between HomeTrust Bancshares, Inc. and Lora Jex</w:t>
              </w:r>
            </w:hyperlink>
          </w:p>
        </w:tc>
        <w:tc>
          <w:tcPr>
            <w:tcW w:w="1840" w:type="dxa"/>
            <w:vAlign w:val="bottom"/>
            <w:gridSpan w:val="10"/>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Change in Control Severance Agreement between HomeTrust Bancshares, Inc. and Chuck Sivley</w:t>
              </w:r>
            </w:hyperlink>
          </w:p>
        </w:tc>
        <w:tc>
          <w:tcPr>
            <w:tcW w:w="1980" w:type="dxa"/>
            <w:vAlign w:val="bottom"/>
            <w:gridSpan w:val="13"/>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(v)</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6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Change in Control Severance Agreement between HomeTrust Bancshares, Inc. and Kevin Nunley</w:t>
              </w:r>
            </w:hyperlink>
          </w:p>
        </w:tc>
        <w:tc>
          <w:tcPr>
            <w:tcW w:w="1940" w:type="dxa"/>
            <w:vAlign w:val="bottom"/>
            <w:gridSpan w:val="12"/>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Securities Exchange Act Rules 13a-14(a) and 15d-14(a) as adopted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3900" w:type="dxa"/>
            <w:vAlign w:val="bottom"/>
            <w:tcBorders>
              <w:top w:val="single" w:sz="8" w:color="0000FF"/>
            </w:tcBorders>
            <w:gridSpan w:val="14"/>
          </w:tcPr>
          <w:p>
            <w:pPr>
              <w:spacing w:after="0"/>
              <w:rPr>
                <w:sz w:val="12"/>
                <w:szCs w:val="12"/>
                <w:color w:val="auto"/>
              </w:rPr>
            </w:pPr>
          </w:p>
        </w:tc>
        <w:tc>
          <w:tcPr>
            <w:tcW w:w="42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Securities Exchange Act Rules 13a-14(a) and 15d-14(a) as adopted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3860" w:type="dxa"/>
            <w:vAlign w:val="bottom"/>
            <w:tcBorders>
              <w:top w:val="single" w:sz="8" w:color="0000FF"/>
            </w:tcBorders>
            <w:gridSpan w:val="13"/>
          </w:tcPr>
          <w:p>
            <w:pPr>
              <w:spacing w:after="0"/>
              <w:rPr>
                <w:sz w:val="12"/>
                <w:szCs w:val="12"/>
                <w:color w:val="auto"/>
              </w:rPr>
            </w:pPr>
          </w:p>
        </w:tc>
        <w:tc>
          <w:tcPr>
            <w:tcW w:w="46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Certificate of Chief Executive Officer and Chief Financial Officer pursuant to Section 906 of the Sarbanes-Oxley Act of 2002</w:t>
            </w:r>
          </w:p>
        </w:tc>
        <w:tc>
          <w:tcPr>
            <w:tcW w:w="140" w:type="dxa"/>
            <w:vAlign w:val="bottom"/>
            <w:gridSpan w:val="2"/>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Policy Relating to Recovery of Erroneously Awarded Compensation</w:t>
              </w:r>
            </w:hyperlink>
          </w:p>
        </w:tc>
        <w:tc>
          <w:tcPr>
            <w:tcW w:w="3860" w:type="dxa"/>
            <w:vAlign w:val="bottom"/>
            <w:gridSpan w:val="18"/>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0" w:type="dxa"/>
            <w:vAlign w:val="bottom"/>
          </w:tcPr>
          <w:p>
            <w:pPr>
              <w:spacing w:after="0"/>
              <w:rPr>
                <w:sz w:val="1"/>
                <w:szCs w:val="1"/>
                <w:color w:val="auto"/>
              </w:rPr>
            </w:pPr>
          </w:p>
        </w:tc>
      </w:tr>
      <w:tr>
        <w:trPr>
          <w:trHeight w:val="183"/>
        </w:trPr>
        <w:tc>
          <w:tcPr>
            <w:tcW w:w="10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auto"/>
              </w:rPr>
              <w:t>The following materials from HomeTrust Bancshares’ Annual Report on Form 10-K for the year ended December 31, 2025,</w:t>
            </w:r>
          </w:p>
        </w:tc>
        <w:tc>
          <w:tcPr>
            <w:tcW w:w="17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00" w:type="dxa"/>
            <w:vAlign w:val="bottom"/>
            <w:gridSpan w:val="20"/>
          </w:tcPr>
          <w:p>
            <w:pPr>
              <w:spacing w:after="0" w:line="162" w:lineRule="exact"/>
              <w:rPr>
                <w:sz w:val="20"/>
                <w:szCs w:val="20"/>
                <w:color w:val="auto"/>
              </w:rPr>
            </w:pPr>
            <w:r>
              <w:rPr>
                <w:rFonts w:ascii="Times New Roman" w:cs="Times New Roman" w:eastAsia="Times New Roman" w:hAnsi="Times New Roman"/>
                <w:sz w:val="16"/>
                <w:szCs w:val="16"/>
                <w:color w:val="auto"/>
              </w:rPr>
              <w:t>formatted in Extensible Business Reporting Language (XBRL): (a) Consolidated Balance Sheets; (b) Consolidated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00" w:type="dxa"/>
            <w:vAlign w:val="bottom"/>
            <w:gridSpan w:val="20"/>
          </w:tcPr>
          <w:p>
            <w:pPr>
              <w:spacing w:after="0" w:line="162" w:lineRule="exact"/>
              <w:rPr>
                <w:sz w:val="20"/>
                <w:szCs w:val="20"/>
                <w:color w:val="auto"/>
              </w:rPr>
            </w:pPr>
            <w:r>
              <w:rPr>
                <w:rFonts w:ascii="Times New Roman" w:cs="Times New Roman" w:eastAsia="Times New Roman" w:hAnsi="Times New Roman"/>
                <w:sz w:val="16"/>
                <w:szCs w:val="16"/>
                <w:color w:val="auto"/>
              </w:rPr>
              <w:t>Statements of Income; (c) Consolidated Statements of Comprehensive Income; (d) Consolidated Statements of Changes in</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Stockholders' Equity; (e) Consolidated Statements of Cash Flows; and (f) Notes to Consolidated Financial Statements.</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2022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25, 2018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2024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S-1 filed on December 29, 2011 (File No. 333-178817).</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May 24,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Transition Report on Form 10-KT for the-six month transition period ended December 31, 2023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11, 2018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October 28, 2020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Amendment No. 1 to HomeTrust Bancshares's Registration Statement on Form S-1 filed on March 9, 2012 (File No. 333-178817).</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December 5, 2012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S-8 filed on February 13, 2013 (File No. 333-186666).</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February 15,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March 31,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December 31, 2025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July 28, 2021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2023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October 3,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2023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August 28, 2023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S-8 filed on February 6, 2023 (File No. 333-186666).</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June 30, 2024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February 11, 2025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April 1, 2025 (File No. 001-35593).</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8200" w:type="dxa"/>
            <w:vAlign w:val="bottom"/>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r>
      <w:tr>
        <w:trPr>
          <w:trHeight w:val="31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Date: May 6, 2026</w:t>
            </w:r>
          </w:p>
        </w:tc>
        <w:tc>
          <w:tcPr>
            <w:tcW w:w="260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 Hunter Westbrook</w:t>
            </w:r>
          </w:p>
        </w:tc>
      </w:tr>
      <w:tr>
        <w:trPr>
          <w:trHeight w:val="207"/>
        </w:trPr>
        <w:tc>
          <w:tcPr>
            <w:tcW w:w="3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 Hunter Westbrook</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(Duly Authorized Officer)</w:t>
            </w:r>
          </w:p>
        </w:tc>
      </w:tr>
      <w:tr>
        <w:trPr>
          <w:trHeight w:val="31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Date: May 6, 2026</w:t>
            </w:r>
          </w:p>
        </w:tc>
        <w:tc>
          <w:tcPr>
            <w:tcW w:w="260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Tony J. VunCannon</w:t>
            </w:r>
          </w:p>
        </w:tc>
      </w:tr>
      <w:tr>
        <w:trPr>
          <w:trHeight w:val="207"/>
        </w:trPr>
        <w:tc>
          <w:tcPr>
            <w:tcW w:w="3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Tony J. VunCannon</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89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 Hunter Westbrook, certify that:</w:t>
      </w:r>
    </w:p>
    <w:p>
      <w:pPr>
        <w:spacing w:after="0" w:line="167"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59" w:lineRule="exact"/>
        <w:rPr>
          <w:sz w:val="20"/>
          <w:szCs w:val="20"/>
          <w:color w:val="auto"/>
        </w:rPr>
      </w:pPr>
    </w:p>
    <w:p>
      <w:pPr>
        <w:ind w:left="20"/>
        <w:spacing w:after="0"/>
        <w:tabs>
          <w:tab w:leader="none" w:pos="4780" w:val="left"/>
          <w:tab w:leader="none" w:pos="5780" w:val="left"/>
        </w:tabs>
        <w:rPr>
          <w:sz w:val="20"/>
          <w:szCs w:val="20"/>
          <w:color w:val="auto"/>
        </w:rPr>
      </w:pPr>
      <w:r>
        <w:rPr>
          <w:rFonts w:ascii="Times New Roman" w:cs="Times New Roman" w:eastAsia="Times New Roman" w:hAnsi="Times New Roman"/>
          <w:sz w:val="16"/>
          <w:szCs w:val="16"/>
          <w:color w:val="auto"/>
        </w:rPr>
        <w:t>May 6,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20320</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40"/>
          </w:cols>
          <w:pgMar w:left="320" w:top="89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Tony J. VunCannon, certify that:</w:t>
      </w:r>
    </w:p>
    <w:p>
      <w:pPr>
        <w:spacing w:after="0" w:line="167"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59" w:lineRule="exact"/>
        <w:rPr>
          <w:sz w:val="20"/>
          <w:szCs w:val="20"/>
          <w:color w:val="auto"/>
        </w:rPr>
      </w:pPr>
    </w:p>
    <w:p>
      <w:pPr>
        <w:ind w:left="20"/>
        <w:spacing w:after="0"/>
        <w:tabs>
          <w:tab w:leader="none" w:pos="4780" w:val="left"/>
          <w:tab w:leader="none" w:pos="5780" w:val="left"/>
        </w:tabs>
        <w:rPr>
          <w:sz w:val="20"/>
          <w:szCs w:val="20"/>
          <w:color w:val="auto"/>
        </w:rPr>
      </w:pPr>
      <w:r>
        <w:rPr>
          <w:rFonts w:ascii="Times New Roman" w:cs="Times New Roman" w:eastAsia="Times New Roman" w:hAnsi="Times New Roman"/>
          <w:sz w:val="16"/>
          <w:szCs w:val="16"/>
          <w:color w:val="auto"/>
        </w:rPr>
        <w:t>May 6,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20320</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p>
      <w:pPr>
        <w:sectPr>
          <w:pgSz w:w="11900" w:h="16838" w:orient="portrait"/>
          <w:cols w:equalWidth="0" w:num="1">
            <w:col w:w="11240"/>
          </w:cols>
          <w:pgMar w:left="320" w:top="89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1350 CERTIFICATION</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Each of the undersigned hereby certifies in his capacity as an officer of HomeTrust Bancshares, Inc. (the "Company") that the Quarterly Report of the Company on Form 10-Q for the period ended March 31, 2026,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p>
      <w:pPr>
        <w:spacing w:after="0" w:line="166" w:lineRule="exact"/>
        <w:rPr>
          <w:sz w:val="20"/>
          <w:szCs w:val="20"/>
          <w:color w:val="auto"/>
        </w:rPr>
      </w:pPr>
    </w:p>
    <w:p>
      <w:pPr>
        <w:ind w:left="20"/>
        <w:spacing w:after="0"/>
        <w:tabs>
          <w:tab w:leader="none" w:pos="4780" w:val="left"/>
          <w:tab w:leader="none" w:pos="5620" w:val="left"/>
        </w:tabs>
        <w:rPr>
          <w:sz w:val="20"/>
          <w:szCs w:val="20"/>
          <w:color w:val="auto"/>
        </w:rPr>
      </w:pPr>
      <w:r>
        <w:rPr>
          <w:rFonts w:ascii="Times New Roman" w:cs="Times New Roman" w:eastAsia="Times New Roman" w:hAnsi="Times New Roman"/>
          <w:sz w:val="16"/>
          <w:szCs w:val="16"/>
          <w:color w:val="auto"/>
        </w:rPr>
        <w:t>May 6,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4780" w:val="left"/>
          <w:tab w:leader="none" w:pos="5620" w:val="left"/>
        </w:tabs>
        <w:rPr>
          <w:sz w:val="20"/>
          <w:szCs w:val="20"/>
          <w:color w:val="auto"/>
        </w:rPr>
      </w:pPr>
      <w:r>
        <w:rPr>
          <w:rFonts w:ascii="Times New Roman" w:cs="Times New Roman" w:eastAsia="Times New Roman" w:hAnsi="Times New Roman"/>
          <w:sz w:val="16"/>
          <w:szCs w:val="16"/>
          <w:color w:val="auto"/>
        </w:rPr>
        <w:t>May 6,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7"/>
    </w:lvl>
  </w:abstractNum>
  <w:abstractNum w:abstractNumId="12">
    <w:nsid w:val="333AB105"/>
    <w:multiLevelType w:val="hybridMultilevel"/>
    <w:lvl w:ilvl="0">
      <w:lvlJc w:val="left"/>
      <w:lvlText w:val="%1."/>
      <w:numFmt w:val="decimal"/>
      <w:start w:val="8"/>
    </w:lvl>
  </w:abstractNum>
  <w:abstractNum w:abstractNumId="13">
    <w:nsid w:val="721DA317"/>
    <w:multiLevelType w:val="hybridMultilevel"/>
    <w:lvl w:ilvl="0">
      <w:lvlJc w:val="left"/>
      <w:lvlText w:val="%1."/>
      <w:numFmt w:val="decimal"/>
      <w:start w:val="9"/>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0"/>
    </w:lvl>
  </w:abstractNum>
  <w:abstractNum w:abstractNumId="16">
    <w:nsid w:val="6763845E"/>
    <w:multiLevelType w:val="hybridMultilevel"/>
    <w:lvl w:ilvl="0">
      <w:lvlJc w:val="left"/>
      <w:lvlText w:val="%1."/>
      <w:numFmt w:val="decimal"/>
      <w:start w:val="1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2"/>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51" Type="http://schemas.openxmlformats.org/officeDocument/2006/relationships/hyperlink" Target="https://www.sec.gov/Archives/edgar/data/1538263/000119312511355607/0001193125-11-355607-index.htm" TargetMode="External"/><Relationship Id="rId52" Type="http://schemas.openxmlformats.org/officeDocument/2006/relationships/hyperlink" Target="https://www.sec.gov/ix?doc=/Archives/edgar/data/1538263/000153826325000015/htbi-20250210.htm" TargetMode="External"/><Relationship Id="rId53" Type="http://schemas.openxmlformats.org/officeDocument/2006/relationships/hyperlink" Target="https://www.sec.gov/ix?doc=/Archives/edgar/data/0001538263/000153826326000030/htbi-20251231.htm" TargetMode="External"/><Relationship Id="rId54" Type="http://schemas.openxmlformats.org/officeDocument/2006/relationships/hyperlink" Target="https://www.sec.gov/Archives/edgar/data/1538263/000153826318000044/htbi-20180911x8k.htm" TargetMode="External"/><Relationship Id="rId55" Type="http://schemas.openxmlformats.org/officeDocument/2006/relationships/hyperlink" Target="https://www.sec.gov/Archives/edgar/data/1538263/000153826318000049/htbi-20180925x8k.htm" TargetMode="External"/><Relationship Id="rId56" Type="http://schemas.openxmlformats.org/officeDocument/2006/relationships/hyperlink" Target="https://www.sec.gov/ix?doc=/Archives/edgar/data/0001538263/000153826320000039/htbi-20201027.htm" TargetMode="External"/><Relationship Id="rId57" Type="http://schemas.openxmlformats.org/officeDocument/2006/relationships/hyperlink" Target="https://www.sec.gov/ix?doc=/Archives/edgar/data/0001538263/000153826321000053/htbi-20210726.htm" TargetMode="External"/><Relationship Id="rId58" Type="http://schemas.openxmlformats.org/officeDocument/2006/relationships/hyperlink" Target="https://www.sec.gov/ix?doc=/Archives/edgar/data/0001538263/000153826322000024/htbi-20220523.htm" TargetMode="External"/><Relationship Id="rId59" Type="http://schemas.openxmlformats.org/officeDocument/2006/relationships/hyperlink" Target="https://www.sec.gov/ix?doc=/Archives/edgar/data/0001538263/000153826322000047/htbi-20220630.htm" TargetMode="External"/><Relationship Id="rId60" Type="http://schemas.openxmlformats.org/officeDocument/2006/relationships/hyperlink" Target="https://www.sec.gov/ix?doc=/Archives/edgar/data/0001538263/000153826322000021/htbi-20220331.htm" TargetMode="External"/><Relationship Id="rId61" Type="http://schemas.openxmlformats.org/officeDocument/2006/relationships/hyperlink" Target="https://www.sec.gov/ix?doc=/Archives/edgar/data/0001538263/000153826322000009/htbi-20220211.htm" TargetMode="External"/><Relationship Id="rId62" Type="http://schemas.openxmlformats.org/officeDocument/2006/relationships/hyperlink" Target="https://www.sec.gov/Archives/edgar/data/1538263/000119312512107294/0001193125-12-107294-index.htm" TargetMode="External"/><Relationship Id="rId63" Type="http://schemas.openxmlformats.org/officeDocument/2006/relationships/hyperlink" Target="https://www.sec.gov/Archives/edgar/data/1538263/000153826322000058/0001538263-22-000058-index.htm" TargetMode="External"/><Relationship Id="rId64" Type="http://schemas.openxmlformats.org/officeDocument/2006/relationships/hyperlink" Target="https://www.sec.gov/ix?doc=/Archives/edgar/data/0001538263/000153826323000038/htbi-20230828.htm" TargetMode="External"/><Relationship Id="rId65" Type="http://schemas.openxmlformats.org/officeDocument/2006/relationships/hyperlink" Target="https://www.sec.gov/ix?doc=/Archives/edgar/data/0001538263/000153826325000042/htbi-20250327.htm" TargetMode="External"/><Relationship Id="rId66" Type="http://schemas.openxmlformats.org/officeDocument/2006/relationships/hyperlink" Target="https://www.sec.gov/Archives/edgar/data/1538263/000092708912000332/htbi-def14a2012.htm" TargetMode="External"/><Relationship Id="rId67" Type="http://schemas.openxmlformats.org/officeDocument/2006/relationships/hyperlink" Target="https://www.sec.gov/Archives/edgar/data/1538263/000092708913000038/0000927089-13-000038-index.htm" TargetMode="External"/><Relationship Id="rId70" Type="http://schemas.openxmlformats.org/officeDocument/2006/relationships/hyperlink" Target="https://www.sec.gov/Archives/edgar/data/1538263/000110465922104918/tm2226697d1_def14a.htm" TargetMode="External"/><Relationship Id="rId71" Type="http://schemas.openxmlformats.org/officeDocument/2006/relationships/hyperlink" Target="https://www.sec.gov/Archives/edgar/data/1538263/000110465923011174/tm235386d1_s8.htm" TargetMode="External"/><Relationship Id="rId72" Type="http://schemas.openxmlformats.org/officeDocument/2006/relationships/hyperlink" Target="https://www.sec.gov/ix?doc=/Archives/edgar/data/1538263/000153826323000047/htbi-20230630.htm" TargetMode="External"/><Relationship Id="rId73" Type="http://schemas.openxmlformats.org/officeDocument/2006/relationships/hyperlink" Target="https://www.sec.gov/ix?doc=/Archives/edgar/data/0001538263/000153826323000056/htbi-20230930.htm" TargetMode="External"/><Relationship Id="rId74" Type="http://schemas.openxmlformats.org/officeDocument/2006/relationships/hyperlink" Target="https://www.sec.gov/ix?doc=/Archives/edgar/data/1538263/000153826324000087/htbi-20240630.htm" TargetMode="External"/><Relationship Id="rId75" Type="http://schemas.openxmlformats.org/officeDocument/2006/relationships/hyperlink" Target="https://www.sec.gov/ix?doc=/Archives/edgar/data/0001538263/000153826324000105/htbi-20240930.htm" TargetMode="External"/><Relationship Id="rId76" Type="http://schemas.openxmlformats.org/officeDocument/2006/relationships/hyperlink" Target="https://www.sec.gov/ix?doc=/Archives/edgar/data/0001538263/000153826324000029/htbi-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2026-05-06T15:21:13Z</dcterms:created>
  <dcterms:modified xsi:type="dcterms:W3CDTF">2026-05-06T15:21:13Z</dcterms:modified>
</cp:coreProperties>
</file>