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 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10-Q</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QUARTERLY REPORT UNDER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8"/>
        </w:rPr>
        <w:t xml:space="preserve">For the quarterly period ended </w:t>
      </w:r>
      <w:r>
        <w:rPr>
          <w:rFonts w:ascii="Times New Roman;sans-serif" w:hAnsi="Times New Roman;sans-serif"/>
          <w:b/>
          <w:color w:val="000000"/>
          <w:sz w:val="18"/>
          <w:u w:val="single"/>
        </w:rPr>
        <w:t>June 30, 2024</w:t>
      </w:r>
      <w:r>
        <w:rPr>
          <w:color w:val="000000"/>
        </w:rPr>
        <w:t xml:space="preserv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TRANSITION REPORT UNDER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 to ________</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8"/>
        </w:rPr>
        <w:t>Commission file number:     </w:t>
      </w:r>
      <w:r>
        <w:rPr>
          <w:rFonts w:ascii="Times New Roman;sans-serif" w:hAnsi="Times New Roman;sans-serif"/>
          <w:b/>
          <w:color w:val="000000"/>
          <w:sz w:val="18"/>
        </w:rPr>
        <w:t>001-35593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HOMETRUST BANCSHARES,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61" w:type="dxa"/>
        <w:jc w:val="left"/>
        <w:tblInd w:w="0" w:type="dxa"/>
        <w:tblLayout w:type="fixed"/>
        <w:tblCellMar>
          <w:top w:w="28" w:type="dxa"/>
          <w:left w:w="28" w:type="dxa"/>
          <w:bottom w:w="28" w:type="dxa"/>
          <w:right w:w="28" w:type="dxa"/>
        </w:tblCellMar>
      </w:tblPr>
      <w:tblGrid>
        <w:gridCol w:w="1564"/>
        <w:gridCol w:w="1374"/>
        <w:gridCol w:w="1382"/>
        <w:gridCol w:w="109"/>
        <w:gridCol w:w="109"/>
        <w:gridCol w:w="109"/>
        <w:gridCol w:w="794"/>
        <w:gridCol w:w="794"/>
        <w:gridCol w:w="1126"/>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45-5055422</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of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10 Woodfin Street, Asheville, North Carolina 28801</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(828) 259-3939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8" w:type="dxa"/>
        <w:jc w:val="left"/>
        <w:tblInd w:w="0" w:type="dxa"/>
        <w:tblLayout w:type="fixed"/>
        <w:tblCellMar>
          <w:top w:w="28" w:type="dxa"/>
          <w:left w:w="28" w:type="dxa"/>
          <w:bottom w:w="28" w:type="dxa"/>
          <w:right w:w="28" w:type="dxa"/>
        </w:tblCellMar>
      </w:tblPr>
      <w:tblGrid>
        <w:gridCol w:w="1173"/>
        <w:gridCol w:w="1034"/>
        <w:gridCol w:w="1048"/>
        <w:gridCol w:w="484"/>
        <w:gridCol w:w="484"/>
        <w:gridCol w:w="486"/>
        <w:gridCol w:w="956"/>
        <w:gridCol w:w="956"/>
        <w:gridCol w:w="1357"/>
      </w:tblGrid>
      <w:tr>
        <w:trPr/>
        <w:tc>
          <w:tcPr>
            <w:tcW w:w="117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 par value $.01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HTBI</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and 15(d) of the Exchange Act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24"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109"/>
        <w:gridCol w:w="109"/>
        <w:gridCol w:w="109"/>
        <w:gridCol w:w="109"/>
        <w:gridCol w:w="109"/>
        <w:gridCol w:w="109"/>
        <w:gridCol w:w="665"/>
        <w:gridCol w:w="665"/>
        <w:gridCol w:w="949"/>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 ☐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62"/>
        <w:gridCol w:w="3129"/>
        <w:gridCol w:w="3140"/>
        <w:gridCol w:w="109"/>
        <w:gridCol w:w="109"/>
        <w:gridCol w:w="156"/>
      </w:tblGrid>
      <w:tr>
        <w:trPr/>
        <w:tc>
          <w:tcPr>
            <w:tcW w:w="3562"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260" w:after="283"/>
        <w:jc w:val="left"/>
        <w:rPr/>
      </w:pPr>
      <w:r>
        <w:rPr>
          <w:rFonts w:ascii="Times New Roman;sans-serif" w:hAnsi="Times New Roman;sans-serif"/>
          <w:b w:val="false"/>
          <w:color w:val="000000"/>
          <w:sz w:val="18"/>
        </w:rPr>
        <w:t>There were 17,498,439</w:t>
      </w:r>
      <w:r>
        <w:rPr>
          <w:color w:val="BF2115"/>
        </w:rPr>
        <w:t xml:space="preserve"> </w:t>
      </w:r>
      <w:r>
        <w:rPr>
          <w:rFonts w:ascii="Times New Roman;sans-serif" w:hAnsi="Times New Roman;sans-serif"/>
          <w:b w:val="false"/>
          <w:color w:val="000000"/>
          <w:sz w:val="18"/>
        </w:rPr>
        <w:t>shares of common stock, par value of $0.01 per share, issued and outstanding as of August 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HOMETRUST BANCSHARES,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10-Q</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52"/>
        <w:gridCol w:w="308"/>
        <w:gridCol w:w="308"/>
        <w:gridCol w:w="308"/>
        <w:gridCol w:w="308"/>
        <w:gridCol w:w="308"/>
        <w:gridCol w:w="2591"/>
        <w:gridCol w:w="2551"/>
        <w:gridCol w:w="2656"/>
        <w:gridCol w:w="149"/>
        <w:gridCol w:w="149"/>
        <w:gridCol w:w="217"/>
      </w:tblGrid>
      <w:tr>
        <w:trPr/>
        <w:tc>
          <w:tcPr>
            <w:tcW w:w="3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69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3">
              <w:r>
                <w:rPr>
                  <w:rStyle w:val="InternetLink"/>
                  <w:rFonts w:ascii="Times New Roman;sans-serif" w:hAnsi="Times New Roman;sans-serif"/>
                  <w:b/>
                  <w:color w:val="0000FF"/>
                  <w:sz w:val="18"/>
                  <w:u w:val="single"/>
                </w:rPr>
                <w:t>PART I FINANCIAL INFORMATION</w:t>
              </w:r>
            </w:hyperlink>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6">
              <w:r>
                <w:rPr>
                  <w:rStyle w:val="InternetLink"/>
                  <w:rFonts w:ascii="Times New Roman;sans-serif" w:hAnsi="Times New Roman;sans-serif"/>
                  <w:b w:val="false"/>
                  <w:color w:val="0000FF"/>
                  <w:sz w:val="18"/>
                  <w:u w:val="single"/>
                </w:rPr>
                <w:t>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bd44d31d5c2949a1b707e2ed5cf0d395_19">
              <w:r>
                <w:rPr>
                  <w:rStyle w:val="InternetLink"/>
                  <w:rFonts w:ascii="Times New Roman;sans-serif" w:hAnsi="Times New Roman;sans-serif"/>
                  <w:b w:val="false"/>
                  <w:color w:val="000080"/>
                  <w:sz w:val="18"/>
                  <w:u w:val="single"/>
                </w:rPr>
                <w:t xml:space="preserve">Consolidated Balance Sheets at </w:t>
              </w:r>
            </w:hyperlink>
            <w:hyperlink w:anchor="ibd44d31d5c2949a1b707e2ed5cf0d395_19">
              <w:r>
                <w:rPr>
                  <w:rStyle w:val="InternetLink"/>
                  <w:rFonts w:ascii="Times New Roman;sans-serif" w:hAnsi="Times New Roman;sans-serif"/>
                  <w:b w:val="false"/>
                  <w:color w:val="000080"/>
                  <w:sz w:val="18"/>
                  <w:u w:val="single"/>
                </w:rPr>
                <w:t>Jun</w:t>
              </w:r>
            </w:hyperlink>
            <w:hyperlink w:anchor="ibd44d31d5c2949a1b707e2ed5cf0d395_19">
              <w:r>
                <w:rPr>
                  <w:rStyle w:val="InternetLink"/>
                  <w:rFonts w:ascii="Times New Roman;sans-serif" w:hAnsi="Times New Roman;sans-serif"/>
                  <w:b w:val="false"/>
                  <w:color w:val="000080"/>
                  <w:sz w:val="18"/>
                  <w:u w:val="single"/>
                </w:rPr>
                <w:t>e 30</w:t>
              </w:r>
            </w:hyperlink>
            <w:hyperlink w:anchor="ibd44d31d5c2949a1b707e2ed5cf0d395_19">
              <w:r>
                <w:rPr>
                  <w:rStyle w:val="InternetLink"/>
                  <w:rFonts w:ascii="Times New Roman;sans-serif" w:hAnsi="Times New Roman;sans-serif"/>
                  <w:b w:val="false"/>
                  <w:color w:val="000080"/>
                  <w:sz w:val="18"/>
                  <w:u w:val="single"/>
                </w:rPr>
                <w:t>, 2024 (Unaudited) and December 31,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9">
              <w:r>
                <w:rPr>
                  <w:rStyle w:val="InternetLink"/>
                  <w:rFonts w:ascii="Times New Roman;sans-serif" w:hAnsi="Times New Roman;sans-serif"/>
                  <w:b w:val="false"/>
                  <w:color w:val="0000FF"/>
                  <w:sz w:val="18"/>
                  <w:u w:val="single"/>
                </w:rPr>
                <w:t>3</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bd44d31d5c2949a1b707e2ed5cf0d395_25">
              <w:r>
                <w:rPr>
                  <w:rStyle w:val="InternetLink"/>
                  <w:rFonts w:ascii="Times New Roman;sans-serif" w:hAnsi="Times New Roman;sans-serif"/>
                  <w:b w:val="false"/>
                  <w:color w:val="000080"/>
                  <w:sz w:val="18"/>
                  <w:u w:val="single"/>
                </w:rPr>
                <w:t>Consolidated Statements of Income (Unaudited) for the Three</w:t>
              </w:r>
            </w:hyperlink>
            <w:hyperlink w:anchor="ibd44d31d5c2949a1b707e2ed5cf0d395_25">
              <w:r>
                <w:rPr>
                  <w:rStyle w:val="InternetLink"/>
                  <w:rFonts w:ascii="Times New Roman;sans-serif" w:hAnsi="Times New Roman;sans-serif"/>
                  <w:b w:val="false"/>
                  <w:color w:val="000080"/>
                  <w:sz w:val="18"/>
                  <w:u w:val="single"/>
                </w:rPr>
                <w:t xml:space="preserve"> and Six</w:t>
              </w:r>
            </w:hyperlink>
            <w:hyperlink w:anchor="ibd44d31d5c2949a1b707e2ed5cf0d395_25">
              <w:r>
                <w:rPr>
                  <w:rStyle w:val="InternetLink"/>
                  <w:rFonts w:ascii="Times New Roman;sans-serif" w:hAnsi="Times New Roman;sans-serif"/>
                  <w:b w:val="false"/>
                  <w:color w:val="000080"/>
                  <w:sz w:val="18"/>
                  <w:u w:val="single"/>
                </w:rPr>
                <w:t xml:space="preserve"> Months Ended </w:t>
              </w:r>
            </w:hyperlink>
            <w:hyperlink w:anchor="ibd44d31d5c2949a1b707e2ed5cf0d395_25">
              <w:r>
                <w:rPr>
                  <w:rStyle w:val="InternetLink"/>
                  <w:rFonts w:ascii="Times New Roman;sans-serif" w:hAnsi="Times New Roman;sans-serif"/>
                  <w:b w:val="false"/>
                  <w:color w:val="000080"/>
                  <w:sz w:val="18"/>
                  <w:u w:val="single"/>
                </w:rPr>
                <w:t>June 30</w:t>
              </w:r>
            </w:hyperlink>
            <w:hyperlink w:anchor="ibd44d31d5c2949a1b707e2ed5cf0d395_25">
              <w:r>
                <w:rPr>
                  <w:rStyle w:val="InternetLink"/>
                  <w:rFonts w:ascii="Times New Roman;sans-serif" w:hAnsi="Times New Roman;sans-serif"/>
                  <w:b w:val="false"/>
                  <w:color w:val="000080"/>
                  <w:sz w:val="18"/>
                  <w:u w:val="single"/>
                </w:rPr>
                <w:t>,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25">
              <w:r>
                <w:rPr>
                  <w:rStyle w:val="InternetLink"/>
                  <w:rFonts w:ascii="Times New Roman;sans-serif" w:hAnsi="Times New Roman;sans-serif"/>
                  <w:b w:val="false"/>
                  <w:color w:val="0000FF"/>
                  <w:sz w:val="18"/>
                  <w:u w:val="single"/>
                </w:rPr>
                <w:t>4</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bd44d31d5c2949a1b707e2ed5cf0d395_28">
              <w:r>
                <w:rPr>
                  <w:rStyle w:val="InternetLink"/>
                  <w:rFonts w:ascii="Times New Roman;sans-serif" w:hAnsi="Times New Roman;sans-serif"/>
                  <w:b w:val="false"/>
                  <w:color w:val="000080"/>
                  <w:sz w:val="18"/>
                  <w:u w:val="single"/>
                </w:rPr>
                <w:t xml:space="preserve">Consolidated Statements of Comprehensive Income (Unaudited) for the </w:t>
              </w:r>
            </w:hyperlink>
            <w:hyperlink w:anchor="ibd44d31d5c2949a1b707e2ed5cf0d395_25">
              <w:r>
                <w:rPr>
                  <w:rStyle w:val="InternetLink"/>
                  <w:rFonts w:ascii="Times New Roman;sans-serif" w:hAnsi="Times New Roman;sans-serif"/>
                  <w:b w:val="false"/>
                  <w:color w:val="000080"/>
                  <w:sz w:val="18"/>
                  <w:u w:val="single"/>
                </w:rPr>
                <w:t>Three</w:t>
              </w:r>
            </w:hyperlink>
            <w:hyperlink w:anchor="ibd44d31d5c2949a1b707e2ed5cf0d395_25">
              <w:r>
                <w:rPr>
                  <w:rStyle w:val="InternetLink"/>
                  <w:rFonts w:ascii="Times New Roman;sans-serif" w:hAnsi="Times New Roman;sans-serif"/>
                  <w:b w:val="false"/>
                  <w:color w:val="000080"/>
                  <w:sz w:val="18"/>
                  <w:u w:val="single"/>
                </w:rPr>
                <w:t xml:space="preserve"> and Six</w:t>
              </w:r>
            </w:hyperlink>
            <w:hyperlink w:anchor="ibd44d31d5c2949a1b707e2ed5cf0d395_25">
              <w:r>
                <w:rPr>
                  <w:rStyle w:val="InternetLink"/>
                  <w:rFonts w:ascii="Times New Roman;sans-serif" w:hAnsi="Times New Roman;sans-serif"/>
                  <w:b w:val="false"/>
                  <w:color w:val="000080"/>
                  <w:sz w:val="18"/>
                  <w:u w:val="single"/>
                </w:rPr>
                <w:t xml:space="preserve"> Months Ended </w:t>
              </w:r>
            </w:hyperlink>
            <w:hyperlink w:anchor="ibd44d31d5c2949a1b707e2ed5cf0d395_25">
              <w:r>
                <w:rPr>
                  <w:rStyle w:val="InternetLink"/>
                  <w:rFonts w:ascii="Times New Roman;sans-serif" w:hAnsi="Times New Roman;sans-serif"/>
                  <w:b w:val="false"/>
                  <w:color w:val="000080"/>
                  <w:sz w:val="18"/>
                  <w:u w:val="single"/>
                </w:rPr>
                <w:t>June 30</w:t>
              </w:r>
            </w:hyperlink>
            <w:hyperlink w:anchor="ibd44d31d5c2949a1b707e2ed5cf0d395_25">
              <w:r>
                <w:rPr>
                  <w:rStyle w:val="InternetLink"/>
                  <w:rFonts w:ascii="Times New Roman;sans-serif" w:hAnsi="Times New Roman;sans-serif"/>
                  <w:b w:val="false"/>
                  <w:color w:val="000080"/>
                  <w:sz w:val="18"/>
                  <w:u w:val="single"/>
                </w:rPr>
                <w:t>,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28">
              <w:r>
                <w:rPr>
                  <w:rStyle w:val="InternetLink"/>
                  <w:rFonts w:ascii="Times New Roman;sans-serif" w:hAnsi="Times New Roman;sans-serif"/>
                  <w:b w:val="false"/>
                  <w:color w:val="0000FF"/>
                  <w:sz w:val="18"/>
                  <w:u w:val="single"/>
                </w:rPr>
                <w:t>5</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bd44d31d5c2949a1b707e2ed5cf0d395_31">
              <w:r>
                <w:rPr>
                  <w:rStyle w:val="InternetLink"/>
                  <w:rFonts w:ascii="Times New Roman;sans-serif" w:hAnsi="Times New Roman;sans-serif"/>
                  <w:b w:val="false"/>
                  <w:color w:val="000080"/>
                  <w:sz w:val="18"/>
                  <w:u w:val="single"/>
                </w:rPr>
                <w:t xml:space="preserve">Consolidated Statements of Changes in Stockholders' Equity (Unaudited) for the </w:t>
              </w:r>
            </w:hyperlink>
            <w:hyperlink w:anchor="ibd44d31d5c2949a1b707e2ed5cf0d395_25">
              <w:r>
                <w:rPr>
                  <w:rStyle w:val="InternetLink"/>
                  <w:rFonts w:ascii="Times New Roman;sans-serif" w:hAnsi="Times New Roman;sans-serif"/>
                  <w:b w:val="false"/>
                  <w:color w:val="000080"/>
                  <w:sz w:val="18"/>
                  <w:u w:val="single"/>
                </w:rPr>
                <w:t xml:space="preserve">Three </w:t>
              </w:r>
            </w:hyperlink>
            <w:hyperlink w:anchor="ibd44d31d5c2949a1b707e2ed5cf0d395_25">
              <w:r>
                <w:rPr>
                  <w:rStyle w:val="InternetLink"/>
                  <w:rFonts w:ascii="Times New Roman;sans-serif" w:hAnsi="Times New Roman;sans-serif"/>
                  <w:b w:val="false"/>
                  <w:color w:val="000080"/>
                  <w:sz w:val="18"/>
                  <w:u w:val="single"/>
                </w:rPr>
                <w:t xml:space="preserve">and Six </w:t>
              </w:r>
            </w:hyperlink>
            <w:hyperlink w:anchor="ibd44d31d5c2949a1b707e2ed5cf0d395_25">
              <w:r>
                <w:rPr>
                  <w:rStyle w:val="InternetLink"/>
                  <w:rFonts w:ascii="Times New Roman;sans-serif" w:hAnsi="Times New Roman;sans-serif"/>
                  <w:b w:val="false"/>
                  <w:color w:val="000080"/>
                  <w:sz w:val="18"/>
                  <w:u w:val="single"/>
                </w:rPr>
                <w:t xml:space="preserve">Months Ended </w:t>
              </w:r>
            </w:hyperlink>
            <w:hyperlink w:anchor="ibd44d31d5c2949a1b707e2ed5cf0d395_25">
              <w:r>
                <w:rPr>
                  <w:rStyle w:val="InternetLink"/>
                  <w:rFonts w:ascii="Times New Roman;sans-serif" w:hAnsi="Times New Roman;sans-serif"/>
                  <w:b w:val="false"/>
                  <w:color w:val="000080"/>
                  <w:sz w:val="18"/>
                  <w:u w:val="single"/>
                </w:rPr>
                <w:t>June 30</w:t>
              </w:r>
            </w:hyperlink>
            <w:hyperlink w:anchor="ibd44d31d5c2949a1b707e2ed5cf0d395_25">
              <w:r>
                <w:rPr>
                  <w:rStyle w:val="InternetLink"/>
                  <w:rFonts w:ascii="Times New Roman;sans-serif" w:hAnsi="Times New Roman;sans-serif"/>
                  <w:b w:val="false"/>
                  <w:color w:val="000080"/>
                  <w:sz w:val="18"/>
                  <w:u w:val="single"/>
                </w:rPr>
                <w:t>,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31">
              <w:r>
                <w:rPr>
                  <w:rStyle w:val="InternetLink"/>
                  <w:rFonts w:ascii="Times New Roman;sans-serif" w:hAnsi="Times New Roman;sans-serif"/>
                  <w:b w:val="false"/>
                  <w:color w:val="0000FF"/>
                  <w:sz w:val="18"/>
                  <w:u w:val="single"/>
                </w:rPr>
                <w:t>6</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bd44d31d5c2949a1b707e2ed5cf0d395_40">
              <w:r>
                <w:rPr>
                  <w:rStyle w:val="InternetLink"/>
                  <w:rFonts w:ascii="Times New Roman;sans-serif" w:hAnsi="Times New Roman;sans-serif"/>
                  <w:b w:val="false"/>
                  <w:color w:val="000080"/>
                  <w:sz w:val="18"/>
                  <w:u w:val="single"/>
                </w:rPr>
                <w:t xml:space="preserve">Consolidated Statements of Cash Flows (Unaudited) for the </w:t>
              </w:r>
            </w:hyperlink>
            <w:hyperlink w:anchor="ibd44d31d5c2949a1b707e2ed5cf0d395_40">
              <w:r>
                <w:rPr>
                  <w:rStyle w:val="InternetLink"/>
                  <w:rFonts w:ascii="Times New Roman;sans-serif" w:hAnsi="Times New Roman;sans-serif"/>
                  <w:b w:val="false"/>
                  <w:color w:val="000080"/>
                  <w:sz w:val="18"/>
                  <w:u w:val="single"/>
                </w:rPr>
                <w:t>Six</w:t>
              </w:r>
            </w:hyperlink>
            <w:hyperlink w:anchor="ibd44d31d5c2949a1b707e2ed5cf0d395_40">
              <w:r>
                <w:rPr>
                  <w:rStyle w:val="InternetLink"/>
                  <w:rFonts w:ascii="Times New Roman;sans-serif" w:hAnsi="Times New Roman;sans-serif"/>
                  <w:b w:val="false"/>
                  <w:color w:val="000080"/>
                  <w:sz w:val="18"/>
                  <w:u w:val="single"/>
                </w:rPr>
                <w:t xml:space="preserve"> Months Ended </w:t>
              </w:r>
            </w:hyperlink>
            <w:hyperlink w:anchor="ibd44d31d5c2949a1b707e2ed5cf0d395_40">
              <w:r>
                <w:rPr>
                  <w:rStyle w:val="InternetLink"/>
                  <w:rFonts w:ascii="Times New Roman;sans-serif" w:hAnsi="Times New Roman;sans-serif"/>
                  <w:b w:val="false"/>
                  <w:color w:val="000080"/>
                  <w:sz w:val="18"/>
                  <w:u w:val="single"/>
                </w:rPr>
                <w:t>June 30</w:t>
              </w:r>
            </w:hyperlink>
            <w:hyperlink w:anchor="ibd44d31d5c2949a1b707e2ed5cf0d395_40">
              <w:r>
                <w:rPr>
                  <w:rStyle w:val="InternetLink"/>
                  <w:rFonts w:ascii="Times New Roman;sans-serif" w:hAnsi="Times New Roman;sans-serif"/>
                  <w:b w:val="false"/>
                  <w:color w:val="000080"/>
                  <w:sz w:val="18"/>
                  <w:u w:val="single"/>
                </w:rPr>
                <w:t>,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40">
              <w:r>
                <w:rPr>
                  <w:rStyle w:val="InternetLink"/>
                  <w:rFonts w:ascii="Times New Roman;sans-serif" w:hAnsi="Times New Roman;sans-serif"/>
                  <w:b w:val="false"/>
                  <w:color w:val="0000FF"/>
                  <w:sz w:val="18"/>
                  <w:u w:val="single"/>
                </w:rPr>
                <w:t>8</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bd44d31d5c2949a1b707e2ed5cf0d395_43">
              <w:r>
                <w:rPr>
                  <w:rStyle w:val="InternetLink"/>
                  <w:rFonts w:ascii="Times New Roman;sans-serif" w:hAnsi="Times New Roman;sans-serif"/>
                  <w:b w:val="false"/>
                  <w:color w:val="0000FF"/>
                  <w:sz w:val="18"/>
                  <w:u w:val="single"/>
                </w:rPr>
                <w:t>Notes to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43">
              <w:r>
                <w:rPr>
                  <w:rStyle w:val="InternetLink"/>
                  <w:rFonts w:ascii="Times New Roman;sans-serif" w:hAnsi="Times New Roman;sans-serif"/>
                  <w:b w:val="false"/>
                  <w:color w:val="0000FF"/>
                  <w:sz w:val="18"/>
                  <w:u w:val="single"/>
                </w:rPr>
                <w:t>10</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18">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18">
              <w:r>
                <w:rPr>
                  <w:rStyle w:val="InternetLink"/>
                  <w:rFonts w:ascii="Times New Roman;sans-serif" w:hAnsi="Times New Roman;sans-serif"/>
                  <w:b w:val="false"/>
                  <w:color w:val="0000FF"/>
                  <w:sz w:val="18"/>
                  <w:u w:val="single"/>
                </w:rPr>
                <w:t>33</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66">
              <w:r>
                <w:rPr>
                  <w:rStyle w:val="InternetLink"/>
                  <w:rFonts w:ascii="Times New Roman;sans-serif" w:hAnsi="Times New Roman;sans-serif"/>
                  <w:b w:val="false"/>
                  <w:color w:val="0000FF"/>
                  <w:sz w:val="18"/>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66">
              <w:r>
                <w:rPr>
                  <w:rStyle w:val="InternetLink"/>
                  <w:rFonts w:ascii="Times New Roman;sans-serif" w:hAnsi="Times New Roman;sans-serif"/>
                  <w:b w:val="false"/>
                  <w:color w:val="0000FF"/>
                  <w:sz w:val="18"/>
                  <w:u w:val="single"/>
                </w:rPr>
                <w:t>44</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69">
              <w:r>
                <w:rPr>
                  <w:rStyle w:val="InternetLink"/>
                  <w:rFonts w:ascii="Times New Roman;sans-serif" w:hAnsi="Times New Roman;sans-serif"/>
                  <w:b w:val="false"/>
                  <w:color w:val="0000FF"/>
                  <w:sz w:val="18"/>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69">
              <w:r>
                <w:rPr>
                  <w:rStyle w:val="InternetLink"/>
                  <w:rFonts w:ascii="Times New Roman;sans-serif" w:hAnsi="Times New Roman;sans-serif"/>
                  <w:b w:val="false"/>
                  <w:color w:val="0000FF"/>
                  <w:sz w:val="18"/>
                  <w:u w:val="single"/>
                </w:rPr>
                <w:t>44</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9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72">
              <w:r>
                <w:rPr>
                  <w:rStyle w:val="InternetLink"/>
                  <w:rFonts w:ascii="Times New Roman;sans-serif" w:hAnsi="Times New Roman;sans-serif"/>
                  <w:b/>
                  <w:color w:val="0000FF"/>
                  <w:sz w:val="18"/>
                  <w:u w:val="single"/>
                </w:rPr>
                <w:t>PART II OTHER INFORMATION</w:t>
              </w:r>
            </w:hyperlink>
            <w:r>
              <w:rPr>
                <w:color w:val="000000"/>
              </w:rPr>
              <w:t>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75">
              <w:r>
                <w:rPr>
                  <w:rStyle w:val="InternetLink"/>
                  <w:rFonts w:ascii="Times New Roman;sans-serif" w:hAnsi="Times New Roman;sans-serif"/>
                  <w:b w:val="false"/>
                  <w:color w:val="0000FF"/>
                  <w:sz w:val="18"/>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75">
              <w:r>
                <w:rPr>
                  <w:rStyle w:val="InternetLink"/>
                  <w:rFonts w:ascii="Times New Roman;sans-serif" w:hAnsi="Times New Roman;sans-serif"/>
                  <w:b w:val="false"/>
                  <w:color w:val="0000FF"/>
                  <w:sz w:val="18"/>
                  <w:u w:val="single"/>
                </w:rPr>
                <w:t>45</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78">
              <w:r>
                <w:rPr>
                  <w:rStyle w:val="InternetLink"/>
                  <w:rFonts w:ascii="Times New Roman;sans-serif" w:hAnsi="Times New Roman;sans-serif"/>
                  <w:b w:val="false"/>
                  <w:color w:val="0000FF"/>
                  <w:sz w:val="18"/>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78">
              <w:r>
                <w:rPr>
                  <w:rStyle w:val="InternetLink"/>
                  <w:rFonts w:ascii="Times New Roman;sans-serif" w:hAnsi="Times New Roman;sans-serif"/>
                  <w:b w:val="false"/>
                  <w:color w:val="0000FF"/>
                  <w:sz w:val="18"/>
                  <w:u w:val="single"/>
                </w:rPr>
                <w:t>45</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81">
              <w:r>
                <w:rPr>
                  <w:rStyle w:val="InternetLink"/>
                  <w:rFonts w:ascii="Times New Roman;sans-serif" w:hAnsi="Times New Roman;sans-serif"/>
                  <w:b w:val="false"/>
                  <w:color w:val="0000FF"/>
                  <w:sz w:val="18"/>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81">
              <w:r>
                <w:rPr>
                  <w:rStyle w:val="InternetLink"/>
                  <w:rFonts w:ascii="Times New Roman;sans-serif" w:hAnsi="Times New Roman;sans-serif"/>
                  <w:b w:val="false"/>
                  <w:color w:val="0000FF"/>
                  <w:sz w:val="18"/>
                  <w:u w:val="single"/>
                </w:rPr>
                <w:t>45</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84">
              <w:r>
                <w:rPr>
                  <w:rStyle w:val="InternetLink"/>
                  <w:rFonts w:ascii="Times New Roman;sans-serif" w:hAnsi="Times New Roman;sans-serif"/>
                  <w:b w:val="false"/>
                  <w:color w:val="0000FF"/>
                  <w:sz w:val="18"/>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84">
              <w:r>
                <w:rPr>
                  <w:rStyle w:val="InternetLink"/>
                  <w:rFonts w:ascii="Times New Roman;sans-serif" w:hAnsi="Times New Roman;sans-serif"/>
                  <w:b w:val="false"/>
                  <w:color w:val="0000FF"/>
                  <w:sz w:val="18"/>
                  <w:u w:val="single"/>
                </w:rPr>
                <w:t>45</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87">
              <w:r>
                <w:rPr>
                  <w:rStyle w:val="InternetLink"/>
                  <w:rFonts w:ascii="Times New Roman;sans-serif" w:hAnsi="Times New Roman;sans-serif"/>
                  <w:b w:val="false"/>
                  <w:color w:val="0000FF"/>
                  <w:sz w:val="18"/>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87">
              <w:r>
                <w:rPr>
                  <w:rStyle w:val="InternetLink"/>
                  <w:rFonts w:ascii="Times New Roman;sans-serif" w:hAnsi="Times New Roman;sans-serif"/>
                  <w:b w:val="false"/>
                  <w:color w:val="0000FF"/>
                  <w:sz w:val="18"/>
                  <w:u w:val="single"/>
                </w:rPr>
                <w:t>45</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90">
              <w:r>
                <w:rPr>
                  <w:rStyle w:val="InternetLink"/>
                  <w:rFonts w:ascii="Times New Roman;sans-serif" w:hAnsi="Times New Roman;sans-serif"/>
                  <w:b w:val="false"/>
                  <w:color w:val="0000FF"/>
                  <w:sz w:val="18"/>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90">
              <w:r>
                <w:rPr>
                  <w:rStyle w:val="InternetLink"/>
                  <w:rFonts w:ascii="Times New Roman;sans-serif" w:hAnsi="Times New Roman;sans-serif"/>
                  <w:b w:val="false"/>
                  <w:color w:val="0000FF"/>
                  <w:sz w:val="18"/>
                  <w:u w:val="single"/>
                </w:rPr>
                <w:t>45</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872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93">
              <w:r>
                <w:rPr>
                  <w:rStyle w:val="InternetLink"/>
                  <w:rFonts w:ascii="Times New Roman;sans-serif" w:hAnsi="Times New Roman;sans-serif"/>
                  <w:b w:val="false"/>
                  <w:color w:val="0000FF"/>
                  <w:sz w:val="18"/>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93">
              <w:r>
                <w:rPr>
                  <w:rStyle w:val="InternetLink"/>
                  <w:rFonts w:ascii="Times New Roman;sans-serif" w:hAnsi="Times New Roman;sans-serif"/>
                  <w:b w:val="false"/>
                  <w:color w:val="0000FF"/>
                  <w:sz w:val="18"/>
                  <w:u w:val="single"/>
                </w:rPr>
                <w:t>45</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9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d44d31d5c2949a1b707e2ed5cf0d395_199">
              <w:r>
                <w:rPr>
                  <w:rStyle w:val="InternetLink"/>
                  <w:rFonts w:ascii="Times New Roman;sans-serif" w:hAnsi="Times New Roman;sans-serif"/>
                  <w:b w:val="false"/>
                  <w:color w:val="0000FF"/>
                  <w:sz w:val="18"/>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d31d5c2949a1b707e2ed5cf0d395_199">
              <w:r>
                <w:rPr>
                  <w:rStyle w:val="InternetLink"/>
                  <w:rFonts w:ascii="Times New Roman;sans-serif" w:hAnsi="Times New Roman;sans-serif"/>
                  <w:b w:val="false"/>
                  <w:color w:val="0000FF"/>
                  <w:sz w:val="18"/>
                  <w:u w:val="single"/>
                </w:rPr>
                <w:t>48</w:t>
              </w:r>
            </w:hyperlink>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779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313"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Glossary of Defined Terms</w:t>
      </w:r>
    </w:p>
    <w:p>
      <w:pPr>
        <w:pStyle w:val="TextBody"/>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terms may be used throughout this Form 10-Q, including the Notes to Consolidated Financial Statements in Item 1 and Management's Discussion and Analysis of Financial Condition and Results of Operations in Item 2 of this Form 10-Q.</w:t>
      </w:r>
    </w:p>
    <w:tbl>
      <w:tblPr>
        <w:tblW w:w="8337" w:type="dxa"/>
        <w:jc w:val="center"/>
        <w:tblInd w:w="0" w:type="dxa"/>
        <w:tblLayout w:type="fixed"/>
        <w:tblCellMar>
          <w:top w:w="28" w:type="dxa"/>
          <w:left w:w="28" w:type="dxa"/>
          <w:bottom w:w="28" w:type="dxa"/>
          <w:right w:w="28" w:type="dxa"/>
        </w:tblCellMar>
      </w:tblPr>
      <w:tblGrid>
        <w:gridCol w:w="734"/>
        <w:gridCol w:w="643"/>
        <w:gridCol w:w="663"/>
        <w:gridCol w:w="109"/>
        <w:gridCol w:w="109"/>
        <w:gridCol w:w="109"/>
        <w:gridCol w:w="1747"/>
        <w:gridCol w:w="1747"/>
        <w:gridCol w:w="2476"/>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Definition</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Allowance for Credit Losses </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Codification</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Update</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Owned Life Insurance</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Certificate of Deposit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Collateral Dependent Asset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Current Expected Credit Losses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Common Equity Tier 1</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COVID-19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Coronavirus Disease 2019</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Discounted Cash Flows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Dodd-Frank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Dodd-Frank Wall Street Reform and Consumer Protection Act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Credit Losses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Ownership Plan</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Accounting Standards Board</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FDIC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Deposit Insurance Corporation</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Board of Governors of the Federal Reserve System</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or FHLB of Atlanta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Home Loan Bank</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Reserve Bank of Richmond</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Government-Sponsored Enterprises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 Line of Credit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Interest Rate Lock Commitments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Mortgage-Backed Security</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NCCOB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North Carolina Office of the Commissioner of Banks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Real Estate Owned</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PCD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Financial Assets with Credit Deterioration</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Quantum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Quantum Capital Corp. and its wholly owned subsidiary, Quantum National Bank</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on Assets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on Equity</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Small Business Administration</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 Business Investment Companies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and Exchange Commission</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Overnight Financing Rate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To-be-announced</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Generally Accepted Accounting Principles in the United States</w:t>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18"/>
        </w:rPr>
      </w:pPr>
      <w:r>
        <w:rPr>
          <w:rFonts w:ascii="Times New Roman;sans-serif" w:hAnsi="Times New Roman;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Balance Sheets</w:t>
      </w:r>
    </w:p>
    <w:p>
      <w:pPr>
        <w:pStyle w:val="TextBody"/>
        <w:bidi w:val="0"/>
        <w:spacing w:lineRule="auto" w:line="288" w:before="0" w:after="180"/>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2623"/>
        <w:gridCol w:w="2307"/>
        <w:gridCol w:w="2329"/>
        <w:gridCol w:w="196"/>
        <w:gridCol w:w="871"/>
        <w:gridCol w:w="109"/>
        <w:gridCol w:w="109"/>
        <w:gridCol w:w="109"/>
        <w:gridCol w:w="109"/>
        <w:gridCol w:w="231"/>
        <w:gridCol w:w="1027"/>
        <w:gridCol w:w="185"/>
      </w:tblGrid>
      <w:tr>
        <w:trPr/>
        <w:tc>
          <w:tcPr>
            <w:tcW w:w="262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18,307 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347,140 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 in other banks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34,722 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at fair value (amortized cost of $137,212 and $128,964 at June 30, 2024 and December 31,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126,950 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and FRB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18,393 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SBIC investments, at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the lower of cost or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198,433 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net of deferred loan fees and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3,640,022 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 –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3,591,381 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Premises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11,796 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88,257 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34,111 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deposit intangibles,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9,059 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4,672,633 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3,661,373 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4,172,740 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 See Note 12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10,000,000 shares authorized, none issued or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60,000,000 shares authorized, 17,437,326 shares issued and outstanding at June 30, 2024; 17,387,069 at December 31, 2023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172,366 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333,401 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ESOP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499,893 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4,672,633 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Income</w:t>
      </w:r>
    </w:p>
    <w:p>
      <w:pPr>
        <w:pStyle w:val="TextBody"/>
        <w:bidi w:val="0"/>
        <w:spacing w:lineRule="auto" w:line="288" w:before="0" w:after="180"/>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9346" w:type="dxa"/>
        <w:jc w:val="left"/>
        <w:tblInd w:w="0" w:type="dxa"/>
        <w:tblLayout w:type="fixed"/>
        <w:tblCellMar>
          <w:top w:w="28" w:type="dxa"/>
          <w:left w:w="28" w:type="dxa"/>
          <w:bottom w:w="28" w:type="dxa"/>
          <w:right w:w="28" w:type="dxa"/>
        </w:tblCellMar>
      </w:tblPr>
      <w:tblGrid>
        <w:gridCol w:w="1443"/>
        <w:gridCol w:w="1268"/>
        <w:gridCol w:w="1279"/>
        <w:gridCol w:w="223"/>
        <w:gridCol w:w="738"/>
        <w:gridCol w:w="119"/>
        <w:gridCol w:w="119"/>
        <w:gridCol w:w="119"/>
        <w:gridCol w:w="119"/>
        <w:gridCol w:w="223"/>
        <w:gridCol w:w="738"/>
        <w:gridCol w:w="119"/>
        <w:gridCol w:w="109"/>
        <w:gridCol w:w="109"/>
        <w:gridCol w:w="109"/>
        <w:gridCol w:w="202"/>
        <w:gridCol w:w="759"/>
        <w:gridCol w:w="109"/>
        <w:gridCol w:w="109"/>
        <w:gridCol w:w="109"/>
        <w:gridCol w:w="109"/>
        <w:gridCol w:w="202"/>
        <w:gridCol w:w="759"/>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Interest and dividend income</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investments and interest-bearing deposits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and dividend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Interest expense</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income after provision for credit losses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charges and fees on deposit accounts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 income and fees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held for sale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sale of premises and equipment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services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Telephone, postage and supplies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advertising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 insurance premiums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deposit intangible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Merger-related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 data</w:t>
            </w:r>
          </w:p>
        </w:tc>
        <w:tc>
          <w:tcPr>
            <w:tcW w:w="10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shares outstanding</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16,883,028 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16,774,661 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16,400,370 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16,904,098 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16,781,923 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16,427,587 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Comprehensive Income</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bl>
      <w:tblPr>
        <w:tblW w:w="9498" w:type="dxa"/>
        <w:jc w:val="left"/>
        <w:tblInd w:w="0" w:type="dxa"/>
        <w:tblLayout w:type="fixed"/>
        <w:tblCellMar>
          <w:top w:w="28" w:type="dxa"/>
          <w:left w:w="28" w:type="dxa"/>
          <w:bottom w:w="28" w:type="dxa"/>
          <w:right w:w="28" w:type="dxa"/>
        </w:tblCellMar>
      </w:tblPr>
      <w:tblGrid>
        <w:gridCol w:w="1607"/>
        <w:gridCol w:w="1413"/>
        <w:gridCol w:w="1434"/>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loss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holding losses on debt securities available for sale</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arising during the period</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Changes in Stockholders' Equity</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bl>
      <w:tblPr>
        <w:tblW w:w="10536" w:type="dxa"/>
        <w:jc w:val="left"/>
        <w:tblInd w:w="0" w:type="dxa"/>
        <w:tblLayout w:type="fixed"/>
        <w:tblCellMar>
          <w:top w:w="28" w:type="dxa"/>
          <w:left w:w="28" w:type="dxa"/>
          <w:bottom w:w="28" w:type="dxa"/>
          <w:right w:w="28" w:type="dxa"/>
        </w:tblCellMar>
      </w:tblPr>
      <w:tblGrid>
        <w:gridCol w:w="726"/>
        <w:gridCol w:w="229"/>
        <w:gridCol w:w="231"/>
        <w:gridCol w:w="480"/>
        <w:gridCol w:w="481"/>
        <w:gridCol w:w="211"/>
        <w:gridCol w:w="109"/>
        <w:gridCol w:w="109"/>
        <w:gridCol w:w="109"/>
        <w:gridCol w:w="202"/>
        <w:gridCol w:w="435"/>
        <w:gridCol w:w="114"/>
        <w:gridCol w:w="109"/>
        <w:gridCol w:w="109"/>
        <w:gridCol w:w="109"/>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92"/>
        <w:gridCol w:w="851"/>
        <w:gridCol w:w="163"/>
        <w:gridCol w:w="109"/>
        <w:gridCol w:w="109"/>
        <w:gridCol w:w="109"/>
        <w:gridCol w:w="216"/>
        <w:gridCol w:w="813"/>
        <w:gridCol w:w="172"/>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17,444,787 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513,173 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on common stock, $0.11/common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17,437,326 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523,628 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17,370,063 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458,242 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on common stock, $0.10/common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17,366,673 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471,186 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Changes in Stockholders' Equity</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bl>
      <w:tblPr>
        <w:tblW w:w="10536" w:type="dxa"/>
        <w:jc w:val="left"/>
        <w:tblInd w:w="0" w:type="dxa"/>
        <w:tblLayout w:type="fixed"/>
        <w:tblCellMar>
          <w:top w:w="28" w:type="dxa"/>
          <w:left w:w="28" w:type="dxa"/>
          <w:bottom w:w="28" w:type="dxa"/>
          <w:right w:w="28" w:type="dxa"/>
        </w:tblCellMar>
      </w:tblPr>
      <w:tblGrid>
        <w:gridCol w:w="621"/>
        <w:gridCol w:w="282"/>
        <w:gridCol w:w="283"/>
        <w:gridCol w:w="480"/>
        <w:gridCol w:w="481"/>
        <w:gridCol w:w="211"/>
        <w:gridCol w:w="109"/>
        <w:gridCol w:w="109"/>
        <w:gridCol w:w="109"/>
        <w:gridCol w:w="202"/>
        <w:gridCol w:w="435"/>
        <w:gridCol w:w="114"/>
        <w:gridCol w:w="109"/>
        <w:gridCol w:w="109"/>
        <w:gridCol w:w="109"/>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92"/>
        <w:gridCol w:w="851"/>
        <w:gridCol w:w="163"/>
        <w:gridCol w:w="109"/>
        <w:gridCol w:w="109"/>
        <w:gridCol w:w="109"/>
        <w:gridCol w:w="216"/>
        <w:gridCol w:w="813"/>
        <w:gridCol w:w="172"/>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17,387,069 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499,893 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on common stock, $0.22/ 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17,437,326 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523,628 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15,673,595 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410,155 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on common stock, $0.20/common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for Quantum acquisition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1,374,646 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17,366,673 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471,186 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Cash Flows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bl>
      <w:tblPr>
        <w:tblW w:w="8965" w:type="dxa"/>
        <w:jc w:val="center"/>
        <w:tblInd w:w="0" w:type="dxa"/>
        <w:tblLayout w:type="fixed"/>
        <w:tblCellMar>
          <w:top w:w="28" w:type="dxa"/>
          <w:left w:w="28" w:type="dxa"/>
          <w:bottom w:w="28" w:type="dxa"/>
          <w:right w:w="28" w:type="dxa"/>
        </w:tblCellMar>
      </w:tblPr>
      <w:tblGrid>
        <w:gridCol w:w="2422"/>
        <w:gridCol w:w="2129"/>
        <w:gridCol w:w="2138"/>
        <w:gridCol w:w="196"/>
        <w:gridCol w:w="647"/>
        <w:gridCol w:w="109"/>
        <w:gridCol w:w="109"/>
        <w:gridCol w:w="109"/>
        <w:gridCol w:w="109"/>
        <w:gridCol w:w="196"/>
        <w:gridCol w:w="647"/>
        <w:gridCol w:w="154"/>
      </w:tblGrid>
      <w:tr>
        <w:trPr/>
        <w:tc>
          <w:tcPr>
            <w:tcW w:w="2422"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used in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premises and equipment and equipment for operating leases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 (benefit)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accretion of purchase accounting adjustments on loans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 and accretion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SBIC investments income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premises and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or writedown of REO</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incurred at the end of operating leases - lessor</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 income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held for sale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Origination of loans held for sale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(194,796)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loans held for sale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deferred loan origination (costs) fees, net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accrued interest receivable and other assets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 compensation expense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debt securities available for sale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calls and paydowns of debt securities available for sale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CDs in other banks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CDs in other banks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purchases of FHLB and FRB stock</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capital contributions in SBIC investments, at cost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loans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BOLI</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Collection of receivable representing proceeds from redemption of BOLI policies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Death benefit proceeds from BOLI policies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equipment for operating leases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equipment for operating leases - lessor</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premises and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premises and equipment and assets held for sale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REO</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received in merger</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84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(81,161)</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Cash Flows (continued)</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bl>
      <w:tblPr>
        <w:tblW w:w="6549" w:type="dxa"/>
        <w:jc w:val="left"/>
        <w:tblInd w:w="0" w:type="dxa"/>
        <w:tblLayout w:type="fixed"/>
        <w:tblCellMar>
          <w:top w:w="28" w:type="dxa"/>
          <w:left w:w="28" w:type="dxa"/>
          <w:bottom w:w="28" w:type="dxa"/>
          <w:right w:w="28" w:type="dxa"/>
        </w:tblCellMar>
      </w:tblPr>
      <w:tblGrid>
        <w:gridCol w:w="1484"/>
        <w:gridCol w:w="1303"/>
        <w:gridCol w:w="1308"/>
        <w:gridCol w:w="196"/>
        <w:gridCol w:w="736"/>
        <w:gridCol w:w="109"/>
        <w:gridCol w:w="109"/>
        <w:gridCol w:w="109"/>
        <w:gridCol w:w="109"/>
        <w:gridCol w:w="196"/>
        <w:gridCol w:w="73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revolving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short-term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09" w:type="dxa"/>
        <w:jc w:val="left"/>
        <w:tblInd w:w="0" w:type="dxa"/>
        <w:tblLayout w:type="fixed"/>
        <w:tblCellMar>
          <w:top w:w="28" w:type="dxa"/>
          <w:left w:w="28" w:type="dxa"/>
          <w:bottom w:w="28" w:type="dxa"/>
          <w:right w:w="28" w:type="dxa"/>
        </w:tblCellMar>
      </w:tblPr>
      <w:tblGrid>
        <w:gridCol w:w="2083"/>
        <w:gridCol w:w="1827"/>
        <w:gridCol w:w="1835"/>
        <w:gridCol w:w="196"/>
        <w:gridCol w:w="646"/>
        <w:gridCol w:w="109"/>
        <w:gridCol w:w="109"/>
        <w:gridCol w:w="109"/>
        <w:gridCol w:w="109"/>
        <w:gridCol w:w="196"/>
        <w:gridCol w:w="736"/>
        <w:gridCol w:w="154"/>
      </w:tblGrid>
      <w:tr>
        <w:trPr/>
        <w:tc>
          <w:tcPr>
            <w:tcW w:w="2083"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transactions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in value of debt securities available for sale, net of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of loans held for sale to loans held for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 and lease liabilities for operating lease accounting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assets acquired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665,090 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liabilities assumed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1.    </w:t>
      </w:r>
      <w:r>
        <w:rPr>
          <w:rFonts w:ascii="Times New Roman;sans-serif" w:hAnsi="Times New Roman;sans-serif"/>
          <w:b/>
          <w:color w:val="000000"/>
          <w:sz w:val="18"/>
          <w:u w:val="single"/>
        </w:rPr>
        <w:t>Summary of Significant Accounting Policies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South Carolina (Greenville and Charleston), East Tennessee (Kingsport/Johnson City, Knoxville and Morristown), Southwest Virginia (the Roanoke Valley) and Georgia (Greater Atlanta). The Bank operates under a single set of corporate policies and procedures and is recognized as a single banking segment for financial reporting purposes.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pStyle w:val="TextBody"/>
        <w:bidi w:val="0"/>
        <w:spacing w:lineRule="auto" w:line="288" w:before="0" w:after="80"/>
        <w:jc w:val="both"/>
        <w:rPr/>
      </w:pPr>
      <w:r>
        <w:rPr>
          <w:rFonts w:ascii="Times New Roman;sans-serif" w:hAnsi="Times New Roman;sans-serif"/>
          <w:b w:val="false"/>
          <w:color w:val="000000"/>
          <w:sz w:val="18"/>
        </w:rPr>
        <w:t xml:space="preserve">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Transition Report on Form 10-KT for the six-month transition period ended </w:t>
      </w:r>
      <w:r>
        <w:rPr>
          <w:rFonts w:ascii="Times New Roman;sans-serif" w:hAnsi="Times New Roman;sans-serif"/>
          <w:b w:val="false"/>
          <w:color w:val="000000"/>
          <w:sz w:val="18"/>
          <w:shd w:fill="FFFFFF" w:val="clear"/>
        </w:rPr>
        <w:t>December 31, 2023</w:t>
      </w:r>
      <w:r>
        <w:rPr>
          <w:color w:val="000000"/>
        </w:rPr>
        <w:t xml:space="preserve"> </w:t>
      </w:r>
      <w:r>
        <w:rPr>
          <w:rFonts w:ascii="Times New Roman;sans-serif" w:hAnsi="Times New Roman;sans-serif"/>
          <w:b w:val="false"/>
          <w:color w:val="000000"/>
          <w:sz w:val="18"/>
        </w:rPr>
        <w:t>("2023 Form 10-KT") filed with the SEC on March 12, 2024. The results of operations for the six months ended June 30, 2024 are not necessarily indicative of results that may be expected for the year ending December 31, 2024, the period which will be covered on a Report on Form 10-K.</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the policy, is critical to an understanding of the Company's financial statements. This policy and the related judgments, estimates and assumptions are described in greater detail in the notes to the Consolidated Financial Statements and Management's Discussion and Analysis of Financial Condition and Results of Operations (Critical Accounting Policies and Estimates) in the 2023 Form 10-KT.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these estimates and the Company's financial condition and operating results in future periods.</w:t>
      </w: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Prior Period Disclosure Correction</w:t>
      </w:r>
    </w:p>
    <w:p>
      <w:pPr>
        <w:pStyle w:val="TextBody"/>
        <w:bidi w:val="0"/>
        <w:spacing w:lineRule="auto" w:line="288" w:before="0" w:after="160"/>
        <w:jc w:val="both"/>
        <w:rPr/>
      </w:pPr>
      <w:r>
        <w:rPr>
          <w:rFonts w:ascii="Times New Roman;sans-serif" w:hAnsi="Times New Roman;sans-serif"/>
          <w:b w:val="false"/>
          <w:color w:val="231F20"/>
          <w:sz w:val="18"/>
        </w:rPr>
        <w:t xml:space="preserve">Within </w:t>
      </w:r>
      <w:r>
        <w:rPr>
          <w:rFonts w:ascii="Times New Roman;sans-serif" w:hAnsi="Times New Roman;sans-serif"/>
          <w:b w:val="false"/>
          <w:color w:val="000000"/>
          <w:sz w:val="18"/>
        </w:rPr>
        <w:t xml:space="preserve">"Note 6 – Loans and Allowance for Credit Losses on Loans", the tables disclosing our credit risk profile by origination year as of December 31, 2023, beginning on page 18 of this document, reflect the correction of an immaterial error in the prior period disclosure. The correction of the disclosure error redistributed $264,101 in loans from the "Revolving" columns to the "Term Loans By Origination Fiscal Year" columns. The error's only impact was to the identified disclosure and therefore had </w:t>
      </w:r>
      <w:r>
        <w:rPr>
          <w:rFonts w:ascii="Times New Roman;sans-serif" w:hAnsi="Times New Roman;sans-serif"/>
          <w:b w:val="false"/>
          <w:color w:val="231F20"/>
          <w:sz w:val="18"/>
        </w:rPr>
        <w:t>no effect on net income or stockholders' equity as previously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2.    </w:t>
      </w:r>
      <w:r>
        <w:rPr>
          <w:rFonts w:ascii="Times New Roman;sans-serif" w:hAnsi="Times New Roman;sans-serif"/>
          <w:b/>
          <w:color w:val="000000"/>
          <w:sz w:val="18"/>
          <w:u w:val="single"/>
        </w:rPr>
        <w:t>Recent Accounting Pronouncements</w:t>
      </w:r>
    </w:p>
    <w:p>
      <w:pPr>
        <w:pStyle w:val="TextBody"/>
        <w:bidi w:val="0"/>
        <w:spacing w:lineRule="auto" w:line="288" w:before="0" w:after="40"/>
        <w:jc w:val="both"/>
        <w:rPr>
          <w:rFonts w:ascii="Times New Roman;sans-serif" w:hAnsi="Times New Roman;sans-serif"/>
          <w:b/>
          <w:i/>
          <w:color w:val="000000"/>
          <w:sz w:val="18"/>
        </w:rPr>
      </w:pPr>
      <w:r>
        <w:rPr>
          <w:rFonts w:ascii="Times New Roman;sans-serif" w:hAnsi="Times New Roman;sans-serif"/>
          <w:b/>
          <w:i/>
          <w:color w:val="000000"/>
          <w:sz w:val="18"/>
        </w:rPr>
        <w:t>Newly Issued but Not Yet Effective Accounting Standards</w:t>
      </w:r>
    </w:p>
    <w:p>
      <w:pPr>
        <w:pStyle w:val="TextBody"/>
        <w:bidi w:val="0"/>
        <w:spacing w:lineRule="auto" w:line="288" w:before="0" w:after="80"/>
        <w:jc w:val="both"/>
        <w:rPr/>
      </w:pPr>
      <w:r>
        <w:rPr>
          <w:rFonts w:ascii="Times New Roman;sans-serif" w:hAnsi="Times New Roman;sans-serif"/>
          <w:b w:val="false"/>
          <w:i/>
          <w:color w:val="000000"/>
          <w:sz w:val="18"/>
        </w:rPr>
        <w:t xml:space="preserve">ASU 2023-07, "Segment Reporting (Topic 280): Improvements to Reportable Segment Disclosures." </w:t>
      </w:r>
      <w:r>
        <w:rPr>
          <w:rFonts w:ascii="Times New Roman;sans-serif" w:hAnsi="Times New Roman;sans-serif"/>
          <w:b w:val="false"/>
          <w:color w:val="000000"/>
          <w:sz w:val="18"/>
        </w:rPr>
        <w:t>In November 2023, the FASB issued ASU 2023-07 which will require public entities to disclose information about their reportable segments' significant expenses on an interim and annual basis. Public entities will be required to disclose other segment items for each reportable segment and provide a description of its composition. Significant expense categories are derived from expenses that are regularly reported to an entity's chief operating decision-makers and included in segment-reported measures of profit or loss. The ASU will also require a public entity to disclose the title and position of the chief operating decision-maker and explain how the chief operating decision-maker uses the reported measures of profit or loss to assess segment performance. Lastly, ASU 2023-07 also requires interim disclosures of certain segment-related disclosures that previously were required only on an annual basis and clarifies that entities with a single reportable segment are subject to both new and existing segment reporting requirements under Topic 280.</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ASU 2023-07 is effective for fiscal years beginning after December 15, 2023 and interim periods within fiscal years beginning after December 15, 2024. The ASU requires entities to adopt the changes to the segment reporting guidance on a retrospective basis and early adoption is permitted. The Company will update its segment-related disclosures upon adoption of the ASU.</w:t>
      </w:r>
    </w:p>
    <w:p>
      <w:pPr>
        <w:pStyle w:val="TextBody"/>
        <w:bidi w:val="0"/>
        <w:spacing w:lineRule="auto" w:line="288" w:before="0" w:after="160"/>
        <w:jc w:val="both"/>
        <w:rPr/>
      </w:pPr>
      <w:r>
        <w:rPr>
          <w:rFonts w:ascii="Times New Roman;sans-serif" w:hAnsi="Times New Roman;sans-serif"/>
          <w:b w:val="false"/>
          <w:i/>
          <w:color w:val="000000"/>
          <w:sz w:val="18"/>
        </w:rPr>
        <w:t xml:space="preserve">ASU 2023-09, "Income Taxes (Topic 740): Improvements to Income Tax Disclosures." </w:t>
      </w:r>
      <w:r>
        <w:rPr>
          <w:rFonts w:ascii="Times New Roman;sans-serif" w:hAnsi="Times New Roman;sans-serif"/>
          <w:b w:val="false"/>
          <w:color w:val="000000"/>
          <w:sz w:val="18"/>
        </w:rPr>
        <w:t>In December 2023, the FASB issued ASU 2023-09 which requires entities to disclose more detailed information in the reconciliation of their statutory tax rate to their effective tax rate. The ASU also requires entities to disclose more detailed information about income taxes paid, including by jurisdiction. This ASU is effective for public business entities for annual reporting periods beginning after December 15, 2024 and interim periods beginning after December 15, 2025. The Company will update its income tax disclosures upon adoption of the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ind w:left="0" w:right="0" w:hanging="180"/>
        <w:jc w:val="left"/>
        <w:rPr/>
      </w:pPr>
      <w:r>
        <w:rPr>
          <w:rFonts w:ascii="Times New Roman;sans-serif" w:hAnsi="Times New Roman;sans-serif"/>
          <w:b/>
          <w:color w:val="000000"/>
          <w:sz w:val="18"/>
        </w:rPr>
        <w:t>3.    </w:t>
      </w:r>
      <w:r>
        <w:rPr>
          <w:rFonts w:ascii="Times New Roman;sans-serif" w:hAnsi="Times New Roman;sans-serif"/>
          <w:b/>
          <w:color w:val="000000"/>
          <w:sz w:val="18"/>
          <w:u w:val="single"/>
        </w:rPr>
        <w:t>Merger with Quantum</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On February 12, 2023, the Company merged with Quantum which operated two locations in the Atlanta metro area. The aggregate amount of consideration to be paid per the purchase agreement of approximately $70,771, inclusive of consideration of common stock, other cash consideration, and cash in lieu of fractional shares, included $15,869 of cash consideration paid by Quantum to its stockholders in advance of the closing date as is further described below. These distributions reduced Quantum's stockholders' equity by an equal amount prior to the transaction closing date.</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a summary of the assets acquired, liabilities assumed, associated preliminary fair value adjustments and provisional period adjustments by the Company as of the merger date. As provided for under US GAAP, management had up to 12 months following the date of merger to finalize the fair value adjustments. Management completed its evaluation in the first quarter of calendar year 2024, and the values in the table below are considered final.</w:t>
      </w:r>
    </w:p>
    <w:tbl>
      <w:tblPr>
        <w:tblW w:w="10205" w:type="dxa"/>
        <w:jc w:val="left"/>
        <w:tblInd w:w="0" w:type="dxa"/>
        <w:tblLayout w:type="fixed"/>
        <w:tblCellMar>
          <w:top w:w="28" w:type="dxa"/>
          <w:left w:w="28" w:type="dxa"/>
          <w:bottom w:w="28" w:type="dxa"/>
          <w:right w:w="28" w:type="dxa"/>
        </w:tblCellMar>
      </w:tblPr>
      <w:tblGrid>
        <w:gridCol w:w="1249"/>
        <w:gridCol w:w="914"/>
        <w:gridCol w:w="922"/>
        <w:gridCol w:w="196"/>
        <w:gridCol w:w="736"/>
        <w:gridCol w:w="109"/>
        <w:gridCol w:w="109"/>
        <w:gridCol w:w="109"/>
        <w:gridCol w:w="109"/>
        <w:gridCol w:w="317"/>
        <w:gridCol w:w="1049"/>
        <w:gridCol w:w="179"/>
        <w:gridCol w:w="109"/>
        <w:gridCol w:w="109"/>
        <w:gridCol w:w="109"/>
        <w:gridCol w:w="485"/>
        <w:gridCol w:w="1083"/>
        <w:gridCol w:w="273"/>
        <w:gridCol w:w="109"/>
        <w:gridCol w:w="109"/>
        <w:gridCol w:w="109"/>
        <w:gridCol w:w="308"/>
        <w:gridCol w:w="1158"/>
        <w:gridCol w:w="246"/>
      </w:tblGrid>
      <w:tr>
        <w:trPr/>
        <w:tc>
          <w:tcPr>
            <w:tcW w:w="124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Quantum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Provisional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Recorded by HomeTrust</w:t>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 acquired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10,608 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and FRB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8"/>
              </w:rPr>
              <w:t>Loans</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561,933 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Premises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9,083 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deposit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12,210 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656,617 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assumed</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570,602 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9,933 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assumed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 paid</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consideration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Quantum</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574,157 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ratio</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HomeTrust common stock issued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1,374,647 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Price per share of HomeTrust common stock on February 10,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HomeTrust common stock consideration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37,734 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8"/>
              </w:rPr>
              <w:t>Cash consideration</w:t>
            </w:r>
            <w:r>
              <w:rPr>
                <w:rFonts w:ascii="Times New Roman;sans-serif" w:hAnsi="Times New Roman;sans-serif"/>
                <w:b w:val="false"/>
                <w:color w:val="000000"/>
                <w:sz w:val="12"/>
              </w:rPr>
              <w:t>(2)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Goodwill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8,473 </w:t>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(1)Adjustments to Quantum's total loans include the elimination of Quantum's existing allowance for loan losses of $5,972, the recognition of an ACL at close on PCD loans of $369, and adjustments to reflect the estimated credit fair value mark on the non-PCD loan portfolio of $2,932 and the estimated interest rate fair value adjustment on the loan portfolio as a whole (non-PCD and PCD) of $7,878.</w:t>
      </w:r>
    </w:p>
    <w:p>
      <w:pPr>
        <w:pStyle w:val="TextBody"/>
        <w:bidi w:val="0"/>
        <w:spacing w:lineRule="auto" w:line="288" w:before="0" w:after="12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(2)As indicated in the Current Report on Form 8-K/A filed with the SEC on March 30, 2023, the amount of cash consideration paid at closing differs from the $57.54 per share, or $33,037, reported in the Current Report on Form 8-K filed on February 13, 2023, which announced the closing of the merger. Consistent with the merger agreement, between the execution of the merger agreement and the transaction closing date, Quantum's principal stockholders had the option to withdraw some or all of the amount of cash consideration to eventually be paid at closing in advance of the closing date. The amount of cash consideration paid at closing was reduced by the amount withdrawn during this time period.</w:t>
      </w:r>
    </w:p>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Goodwill of $8,473 arising from the merger consisted largely of synergies and the cost saves resulting from the combining of operations of the companies, and is not expected to be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ind w:left="0" w:right="0" w:hanging="180"/>
        <w:jc w:val="left"/>
        <w:rPr/>
      </w:pPr>
      <w:r>
        <w:rPr>
          <w:rFonts w:ascii="Times New Roman;sans-serif" w:hAnsi="Times New Roman;sans-serif"/>
          <w:b/>
          <w:color w:val="000000"/>
          <w:sz w:val="18"/>
        </w:rPr>
        <w:t>4.    </w:t>
      </w:r>
      <w:r>
        <w:rPr>
          <w:rFonts w:ascii="Times New Roman;sans-serif" w:hAnsi="Times New Roman;sans-serif"/>
          <w:b/>
          <w:color w:val="000000"/>
          <w:sz w:val="18"/>
          <w:u w:val="single"/>
        </w:rPr>
        <w:t>Debt Securities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consist of the following at the dates indicated:</w:t>
      </w:r>
    </w:p>
    <w:tbl>
      <w:tblPr>
        <w:tblW w:w="6294" w:type="dxa"/>
        <w:jc w:val="left"/>
        <w:tblInd w:w="0" w:type="dxa"/>
        <w:tblLayout w:type="fixed"/>
        <w:tblCellMar>
          <w:top w:w="28" w:type="dxa"/>
          <w:left w:w="28" w:type="dxa"/>
          <w:bottom w:w="28" w:type="dxa"/>
          <w:right w:w="28" w:type="dxa"/>
        </w:tblCellMar>
      </w:tblPr>
      <w:tblGrid>
        <w:gridCol w:w="477"/>
        <w:gridCol w:w="420"/>
        <w:gridCol w:w="422"/>
        <w:gridCol w:w="196"/>
        <w:gridCol w:w="736"/>
        <w:gridCol w:w="109"/>
        <w:gridCol w:w="109"/>
        <w:gridCol w:w="109"/>
        <w:gridCol w:w="109"/>
        <w:gridCol w:w="251"/>
        <w:gridCol w:w="539"/>
        <w:gridCol w:w="141"/>
        <w:gridCol w:w="109"/>
        <w:gridCol w:w="109"/>
        <w:gridCol w:w="109"/>
        <w:gridCol w:w="196"/>
        <w:gridCol w:w="631"/>
        <w:gridCol w:w="109"/>
        <w:gridCol w:w="109"/>
        <w:gridCol w:w="109"/>
        <w:gridCol w:w="109"/>
        <w:gridCol w:w="196"/>
        <w:gridCol w:w="73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w:t>
              <w:br/>
              <w:t>Value</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94" w:type="dxa"/>
        <w:jc w:val="left"/>
        <w:tblInd w:w="0" w:type="dxa"/>
        <w:tblLayout w:type="fixed"/>
        <w:tblCellMar>
          <w:top w:w="28" w:type="dxa"/>
          <w:left w:w="28" w:type="dxa"/>
          <w:bottom w:w="28" w:type="dxa"/>
          <w:right w:w="28" w:type="dxa"/>
        </w:tblCellMar>
      </w:tblPr>
      <w:tblGrid>
        <w:gridCol w:w="477"/>
        <w:gridCol w:w="420"/>
        <w:gridCol w:w="422"/>
        <w:gridCol w:w="196"/>
        <w:gridCol w:w="736"/>
        <w:gridCol w:w="109"/>
        <w:gridCol w:w="109"/>
        <w:gridCol w:w="109"/>
        <w:gridCol w:w="109"/>
        <w:gridCol w:w="211"/>
        <w:gridCol w:w="601"/>
        <w:gridCol w:w="119"/>
        <w:gridCol w:w="109"/>
        <w:gridCol w:w="109"/>
        <w:gridCol w:w="109"/>
        <w:gridCol w:w="196"/>
        <w:gridCol w:w="631"/>
        <w:gridCol w:w="109"/>
        <w:gridCol w:w="109"/>
        <w:gridCol w:w="109"/>
        <w:gridCol w:w="109"/>
        <w:gridCol w:w="196"/>
        <w:gridCol w:w="73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w:t>
              <w:br/>
              <w:t>Value</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by contractual maturity at June 30, 2024 and December 31, 2023 are shown below. MBS are not included in the maturity categories because the borrowers in the underlying pools may prepay without penalty; therefore, it is unlikely that the securities will pay at their stated maturity schedule.</w:t>
      </w:r>
    </w:p>
    <w:tbl>
      <w:tblPr>
        <w:tblW w:w="5244" w:type="dxa"/>
        <w:jc w:val="left"/>
        <w:tblInd w:w="0" w:type="dxa"/>
        <w:tblLayout w:type="fixed"/>
        <w:tblCellMar>
          <w:top w:w="28" w:type="dxa"/>
          <w:left w:w="28" w:type="dxa"/>
          <w:bottom w:w="28" w:type="dxa"/>
          <w:right w:w="28" w:type="dxa"/>
        </w:tblCellMar>
      </w:tblPr>
      <w:tblGrid>
        <w:gridCol w:w="1011"/>
        <w:gridCol w:w="884"/>
        <w:gridCol w:w="895"/>
        <w:gridCol w:w="196"/>
        <w:gridCol w:w="736"/>
        <w:gridCol w:w="109"/>
        <w:gridCol w:w="109"/>
        <w:gridCol w:w="109"/>
        <w:gridCol w:w="109"/>
        <w:gridCol w:w="196"/>
        <w:gridCol w:w="73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within one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80" w:type="dxa"/>
        <w:jc w:val="left"/>
        <w:tblInd w:w="0" w:type="dxa"/>
        <w:tblLayout w:type="fixed"/>
        <w:tblCellMar>
          <w:top w:w="28" w:type="dxa"/>
          <w:left w:w="28" w:type="dxa"/>
          <w:bottom w:w="28" w:type="dxa"/>
          <w:right w:w="28" w:type="dxa"/>
        </w:tblCellMar>
      </w:tblPr>
      <w:tblGrid>
        <w:gridCol w:w="1011"/>
        <w:gridCol w:w="884"/>
        <w:gridCol w:w="895"/>
        <w:gridCol w:w="196"/>
        <w:gridCol w:w="736"/>
        <w:gridCol w:w="109"/>
        <w:gridCol w:w="109"/>
        <w:gridCol w:w="109"/>
        <w:gridCol w:w="109"/>
        <w:gridCol w:w="196"/>
        <w:gridCol w:w="736"/>
        <w:gridCol w:w="109"/>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481" w:type="dxa"/>
            <w:gridSpan w:val="4"/>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within one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had no sales of debt securities available for sale and no gross realized gains or losses were recognized during the six months ended June 30, 2024 and 2023.</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with amortized costs totaling $25,712 and $43,846 and market values of $25,224 and $42,329 at June 30, 2024 and December 31, 2023, respectively, were pledged as collateral to secure various public deposits and other borrowings.</w:t>
      </w:r>
    </w:p>
    <w:p>
      <w:pPr>
        <w:pStyle w:val="TextBody"/>
        <w:bidi w:val="0"/>
        <w:spacing w:before="0" w:after="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gross unrealized losses and the fair value for debt securities available for sale aggregated by the length of time that individual securities have been in a continuous unrealized loss position as of June 30, 2024 and December 31, 2023 were as follows:</w:t>
      </w:r>
    </w:p>
    <w:tbl>
      <w:tblPr>
        <w:tblW w:w="8745" w:type="dxa"/>
        <w:jc w:val="left"/>
        <w:tblInd w:w="0" w:type="dxa"/>
        <w:tblLayout w:type="fixed"/>
        <w:tblCellMar>
          <w:top w:w="28" w:type="dxa"/>
          <w:left w:w="28" w:type="dxa"/>
          <w:bottom w:w="28" w:type="dxa"/>
          <w:right w:w="28" w:type="dxa"/>
        </w:tblCellMar>
      </w:tblPr>
      <w:tblGrid>
        <w:gridCol w:w="477"/>
        <w:gridCol w:w="420"/>
        <w:gridCol w:w="422"/>
        <w:gridCol w:w="196"/>
        <w:gridCol w:w="646"/>
        <w:gridCol w:w="109"/>
        <w:gridCol w:w="109"/>
        <w:gridCol w:w="109"/>
        <w:gridCol w:w="109"/>
        <w:gridCol w:w="246"/>
        <w:gridCol w:w="547"/>
        <w:gridCol w:w="138"/>
        <w:gridCol w:w="109"/>
        <w:gridCol w:w="109"/>
        <w:gridCol w:w="109"/>
        <w:gridCol w:w="196"/>
        <w:gridCol w:w="646"/>
        <w:gridCol w:w="109"/>
        <w:gridCol w:w="109"/>
        <w:gridCol w:w="109"/>
        <w:gridCol w:w="109"/>
        <w:gridCol w:w="196"/>
        <w:gridCol w:w="631"/>
        <w:gridCol w:w="109"/>
        <w:gridCol w:w="109"/>
        <w:gridCol w:w="109"/>
        <w:gridCol w:w="109"/>
        <w:gridCol w:w="196"/>
        <w:gridCol w:w="736"/>
        <w:gridCol w:w="109"/>
        <w:gridCol w:w="109"/>
        <w:gridCol w:w="109"/>
        <w:gridCol w:w="109"/>
        <w:gridCol w:w="196"/>
        <w:gridCol w:w="63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45" w:type="dxa"/>
        <w:jc w:val="left"/>
        <w:tblInd w:w="0" w:type="dxa"/>
        <w:tblLayout w:type="fixed"/>
        <w:tblCellMar>
          <w:top w:w="28" w:type="dxa"/>
          <w:left w:w="28" w:type="dxa"/>
          <w:bottom w:w="28" w:type="dxa"/>
          <w:right w:w="28" w:type="dxa"/>
        </w:tblCellMar>
      </w:tblPr>
      <w:tblGrid>
        <w:gridCol w:w="477"/>
        <w:gridCol w:w="420"/>
        <w:gridCol w:w="422"/>
        <w:gridCol w:w="196"/>
        <w:gridCol w:w="646"/>
        <w:gridCol w:w="109"/>
        <w:gridCol w:w="109"/>
        <w:gridCol w:w="109"/>
        <w:gridCol w:w="109"/>
        <w:gridCol w:w="246"/>
        <w:gridCol w:w="547"/>
        <w:gridCol w:w="138"/>
        <w:gridCol w:w="109"/>
        <w:gridCol w:w="109"/>
        <w:gridCol w:w="109"/>
        <w:gridCol w:w="196"/>
        <w:gridCol w:w="646"/>
        <w:gridCol w:w="109"/>
        <w:gridCol w:w="109"/>
        <w:gridCol w:w="109"/>
        <w:gridCol w:w="109"/>
        <w:gridCol w:w="196"/>
        <w:gridCol w:w="631"/>
        <w:gridCol w:w="109"/>
        <w:gridCol w:w="109"/>
        <w:gridCol w:w="109"/>
        <w:gridCol w:w="109"/>
        <w:gridCol w:w="196"/>
        <w:gridCol w:w="736"/>
        <w:gridCol w:w="109"/>
        <w:gridCol w:w="109"/>
        <w:gridCol w:w="109"/>
        <w:gridCol w:w="109"/>
        <w:gridCol w:w="196"/>
        <w:gridCol w:w="63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total number of securities with unrealized losses at June 30, 2024 and December 31, 2023 were 181 and 187, respectively.</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June 30, 2024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2023 Form 10-KT for further discussion.</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Management excludes the accrued interest receivable balance from the amortized cost basis in measuring ECL on investment securities and does not record an ACL on accrued interest receivable. As of June 30, 2024 and December 31, 2023, accrued interest receivable for debt securities available for sale was $542 and $469,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5.    </w:t>
      </w:r>
      <w:r>
        <w:rPr>
          <w:rFonts w:ascii="Times New Roman;sans-serif" w:hAnsi="Times New Roman;sans-serif"/>
          <w:b/>
          <w:color w:val="000000"/>
          <w:sz w:val="18"/>
          <w:u w:val="single"/>
        </w:rPr>
        <w:t>Loans Held For Sale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the lower of cost or fair value, consist of the following as of the dates indicated:</w:t>
      </w:r>
    </w:p>
    <w:tbl>
      <w:tblPr>
        <w:tblW w:w="7527" w:type="dxa"/>
        <w:jc w:val="left"/>
        <w:tblInd w:w="0" w:type="dxa"/>
        <w:tblLayout w:type="fixed"/>
        <w:tblCellMar>
          <w:top w:w="28" w:type="dxa"/>
          <w:left w:w="28" w:type="dxa"/>
          <w:bottom w:w="28" w:type="dxa"/>
          <w:right w:w="28" w:type="dxa"/>
        </w:tblCellMar>
      </w:tblPr>
      <w:tblGrid>
        <w:gridCol w:w="1606"/>
        <w:gridCol w:w="1416"/>
        <w:gridCol w:w="1433"/>
        <w:gridCol w:w="217"/>
        <w:gridCol w:w="817"/>
        <w:gridCol w:w="121"/>
        <w:gridCol w:w="109"/>
        <w:gridCol w:w="109"/>
        <w:gridCol w:w="109"/>
        <w:gridCol w:w="287"/>
        <w:gridCol w:w="1078"/>
        <w:gridCol w:w="225"/>
      </w:tblGrid>
      <w:tr>
        <w:trPr/>
        <w:tc>
          <w:tcPr>
            <w:tcW w:w="160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167,783 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 held for sale, at the lower of cost or fair value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224,976 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198,433 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The carrying balance of loans held for sale, at fair value, was $1,614 and $3,359 at June 30, 2024 and December 31, 2023, respectively, while the amortized cost of these loans was $1,579 and $3,286 at the same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ind w:left="0" w:right="0" w:hanging="180"/>
        <w:jc w:val="left"/>
        <w:rPr/>
      </w:pPr>
      <w:r>
        <w:rPr>
          <w:rFonts w:ascii="Times New Roman;sans-serif" w:hAnsi="Times New Roman;sans-serif"/>
          <w:b/>
          <w:color w:val="000000"/>
          <w:sz w:val="18"/>
        </w:rPr>
        <w:t>6.    </w:t>
      </w:r>
      <w:r>
        <w:rPr>
          <w:rFonts w:ascii="Times New Roman;sans-serif" w:hAnsi="Times New Roman;sans-serif"/>
          <w:b/>
          <w:color w:val="000000"/>
          <w:sz w:val="18"/>
          <w:u w:val="single"/>
        </w:rPr>
        <w:t>Loans and Allowance for Credit Losses on Loans</w:t>
      </w:r>
    </w:p>
    <w:p>
      <w:pPr>
        <w:pStyle w:val="TextBody"/>
        <w:bidi w:val="0"/>
        <w:spacing w:lineRule="auto" w:line="288" w:before="0" w:after="0"/>
        <w:jc w:val="both"/>
        <w:rPr/>
      </w:pPr>
      <w:r>
        <w:rPr>
          <w:rFonts w:ascii="Times New Roman;sans-serif" w:hAnsi="Times New Roman;sans-serif"/>
          <w:b w:val="false"/>
          <w:color w:val="000000"/>
          <w:sz w:val="18"/>
        </w:rPr>
        <w:t>Loans consist of the following at the dates indicated</w:t>
      </w:r>
      <w:r>
        <w:rPr>
          <w:rFonts w:ascii="Times New Roman;sans-serif" w:hAnsi="Times New Roman;sans-serif"/>
          <w:b w:val="false"/>
          <w:color w:val="000000"/>
          <w:sz w:val="13"/>
        </w:rPr>
        <w:t>(1)</w:t>
      </w:r>
      <w:r>
        <w:rPr>
          <w:rFonts w:ascii="Times New Roman;sans-serif" w:hAnsi="Times New Roman;sans-serif"/>
          <w:b w:val="false"/>
          <w:color w:val="000000"/>
          <w:sz w:val="18"/>
        </w:rPr>
        <w:t>:</w:t>
      </w:r>
    </w:p>
    <w:tbl>
      <w:tblPr>
        <w:tblW w:w="6751" w:type="dxa"/>
        <w:jc w:val="left"/>
        <w:tblInd w:w="0" w:type="dxa"/>
        <w:tblLayout w:type="fixed"/>
        <w:tblCellMar>
          <w:top w:w="28" w:type="dxa"/>
          <w:left w:w="28" w:type="dxa"/>
          <w:bottom w:w="28" w:type="dxa"/>
          <w:right w:w="28" w:type="dxa"/>
        </w:tblCellMar>
      </w:tblPr>
      <w:tblGrid>
        <w:gridCol w:w="1326"/>
        <w:gridCol w:w="1163"/>
        <w:gridCol w:w="1170"/>
        <w:gridCol w:w="196"/>
        <w:gridCol w:w="871"/>
        <w:gridCol w:w="109"/>
        <w:gridCol w:w="109"/>
        <w:gridCol w:w="109"/>
        <w:gridCol w:w="109"/>
        <w:gridCol w:w="255"/>
        <w:gridCol w:w="1134"/>
        <w:gridCol w:w="200"/>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 loans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875,694 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88,623 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1,806,131 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465,573 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150,292 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loans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853,120 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 loans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185,878 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866,929 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 net of deferred loan fees and costs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3,640,022 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 on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3,591,381 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At June 30, 2024 and December 31, 2023 accrued interest receivable of $17,680 and $16,218, respectively, was accounted for separately from the amortized cost basis.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All qualifying one-to-four family loans, HELOCs, commercial real estate loans and FHLB of Atlanta stock are pledged as collateral by a blanket pledge to secure outstanding FHLB advances.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Loans are made to the Company's executive officers, directors and their associates during the ordinary course of business. The aggregate amount of loans to such related parties totaled approximately $0 and $209 at June 30, 2024 and December 31, 2023, respectively. In relation to these loans are unfunded commitments that totaled approximately $3 at both June 30, 2024 and December 31, 2023, respectively.</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pStyle w:val="TextBody"/>
        <w:bidi w:val="0"/>
        <w:spacing w:lineRule="auto" w:line="288" w:before="0" w:after="40"/>
        <w:jc w:val="both"/>
        <w:rPr/>
      </w:pPr>
      <w:r>
        <w:rPr>
          <w:rFonts w:ascii="Times New Roman;sans-serif" w:hAnsi="Times New Roman;sans-serif"/>
          <w:b w:val="false"/>
          <w:color w:val="000000"/>
          <w:sz w:val="18"/>
          <w:u w:val="single"/>
        </w:rPr>
        <w:t>Pass</w:t>
      </w:r>
      <w:r>
        <w:rPr>
          <w:color w:val="000000"/>
        </w:rPr>
        <w:t xml:space="preserve"> – </w:t>
      </w:r>
      <w:r>
        <w:rPr>
          <w:rFonts w:ascii="Times New Roman;sans-serif" w:hAnsi="Times New Roman;sans-serif"/>
          <w:b w:val="false"/>
          <w:color w:val="000000"/>
          <w:sz w:val="18"/>
        </w:rPr>
        <w:t>A pass rated loan is not adversely classified because it does not display any of the characteristics for adverse classification.</w:t>
      </w:r>
    </w:p>
    <w:p>
      <w:pPr>
        <w:pStyle w:val="TextBody"/>
        <w:bidi w:val="0"/>
        <w:spacing w:lineRule="auto" w:line="288" w:before="0" w:after="40"/>
        <w:jc w:val="both"/>
        <w:rPr/>
      </w:pPr>
      <w:r>
        <w:rPr>
          <w:rFonts w:ascii="Times New Roman;sans-serif" w:hAnsi="Times New Roman;sans-serif"/>
          <w:b w:val="false"/>
          <w:color w:val="000000"/>
          <w:sz w:val="18"/>
          <w:u w:val="single"/>
        </w:rPr>
        <w:t>Special Mention</w:t>
      </w:r>
      <w:r>
        <w:rPr>
          <w:color w:val="000000"/>
        </w:rPr>
        <w:t xml:space="preserve"> – </w:t>
      </w:r>
      <w:r>
        <w:rPr>
          <w:rFonts w:ascii="Times New Roman;sans-serif" w:hAnsi="Times New Roman;sans-serif"/>
          <w:b w:val="false"/>
          <w:color w:val="000000"/>
          <w:sz w:val="18"/>
        </w:rPr>
        <w:t>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pStyle w:val="TextBody"/>
        <w:bidi w:val="0"/>
        <w:spacing w:lineRule="auto" w:line="288" w:before="0" w:after="40"/>
        <w:jc w:val="both"/>
        <w:rPr/>
      </w:pPr>
      <w:r>
        <w:rPr>
          <w:rFonts w:ascii="Times New Roman;sans-serif" w:hAnsi="Times New Roman;sans-serif"/>
          <w:b w:val="false"/>
          <w:color w:val="000000"/>
          <w:sz w:val="18"/>
          <w:u w:val="single"/>
        </w:rPr>
        <w:t>Substandard</w:t>
      </w:r>
      <w:r>
        <w:rPr>
          <w:color w:val="000000"/>
        </w:rPr>
        <w:t xml:space="preserve"> – </w:t>
      </w:r>
      <w:r>
        <w:rPr>
          <w:rFonts w:ascii="Times New Roman;sans-serif" w:hAnsi="Times New Roman;sans-serif"/>
          <w:b w:val="false"/>
          <w:color w:val="000000"/>
          <w:sz w:val="18"/>
        </w:rPr>
        <w:t>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pStyle w:val="TextBody"/>
        <w:bidi w:val="0"/>
        <w:spacing w:lineRule="auto" w:line="288" w:before="0" w:after="40"/>
        <w:jc w:val="both"/>
        <w:rPr/>
      </w:pPr>
      <w:r>
        <w:rPr>
          <w:rFonts w:ascii="Times New Roman;sans-serif" w:hAnsi="Times New Roman;sans-serif"/>
          <w:b w:val="false"/>
          <w:color w:val="000000"/>
          <w:sz w:val="18"/>
          <w:u w:val="single"/>
        </w:rPr>
        <w:t>Doubtful</w:t>
      </w:r>
      <w:r>
        <w:rPr>
          <w:color w:val="000000"/>
        </w:rPr>
        <w:t xml:space="preserve"> – </w:t>
      </w:r>
      <w:r>
        <w:rPr>
          <w:rFonts w:ascii="Times New Roman;sans-serif" w:hAnsi="Times New Roman;sans-serif"/>
          <w:b w:val="false"/>
          <w:color w:val="000000"/>
          <w:sz w:val="18"/>
        </w:rPr>
        <w:t>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pStyle w:val="TextBody"/>
        <w:bidi w:val="0"/>
        <w:spacing w:lineRule="auto" w:line="288" w:before="0" w:after="80"/>
        <w:jc w:val="both"/>
        <w:rPr/>
      </w:pPr>
      <w:r>
        <w:rPr>
          <w:rFonts w:ascii="Times New Roman;sans-serif" w:hAnsi="Times New Roman;sans-serif"/>
          <w:b w:val="false"/>
          <w:color w:val="000000"/>
          <w:sz w:val="18"/>
          <w:u w:val="single"/>
        </w:rPr>
        <w:t>Loss</w:t>
      </w:r>
      <w:r>
        <w:rPr>
          <w:color w:val="000000"/>
        </w:rPr>
        <w:t xml:space="preserve"> – </w:t>
      </w:r>
      <w:r>
        <w:rPr>
          <w:rFonts w:ascii="Times New Roman;sans-serif" w:hAnsi="Times New Roman;sans-serif"/>
          <w:b w:val="false"/>
          <w:color w:val="000000"/>
          <w:sz w:val="18"/>
        </w:rPr>
        <w:t>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present the credit risk profile by risk grade for commercial real estate, commercial, residential real estate and consumer loans by origination year as of June 30, 2024. Also included in the tables detailing loan balances are gross charge-offs for the six months ended June 30, 2024.</w:t>
      </w:r>
    </w:p>
    <w:tbl>
      <w:tblPr>
        <w:tblW w:w="11773" w:type="dxa"/>
        <w:jc w:val="left"/>
        <w:tblInd w:w="0" w:type="dxa"/>
        <w:tblLayout w:type="fixed"/>
        <w:tblCellMar>
          <w:top w:w="28" w:type="dxa"/>
          <w:left w:w="28" w:type="dxa"/>
          <w:bottom w:w="28" w:type="dxa"/>
          <w:right w:w="28" w:type="dxa"/>
        </w:tblCellMar>
      </w:tblPr>
      <w:tblGrid>
        <w:gridCol w:w="411"/>
        <w:gridCol w:w="362"/>
        <w:gridCol w:w="29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Commercial real estate – owner occupied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 – 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real estate – non-owner occupied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 – non-owner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Multifamily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multifamily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270"/>
        <w:jc w:val="both"/>
        <w:rPr>
          <w:rFonts w:ascii="Times New Roman;sans-serif" w:hAnsi="Times New Roman;sans-serif"/>
          <w:b w:val="false"/>
          <w:color w:val="000000"/>
          <w:sz w:val="14"/>
        </w:rPr>
      </w:pPr>
      <w:r>
        <w:rPr>
          <w:rFonts w:ascii="Times New Roman;sans-serif" w:hAnsi="Times New Roman;sans-serif"/>
          <w:b w:val="false"/>
          <w:color w:val="000000"/>
          <w:sz w:val="14"/>
        </w:rPr>
        <w:t>(1)As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pStyle w:val="TextBody"/>
        <w:bidi w:val="0"/>
        <w:spacing w:before="0" w:after="80"/>
        <w:ind w:left="0" w:right="0" w:hanging="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1488" w:type="dxa"/>
        <w:jc w:val="left"/>
        <w:tblInd w:w="0" w:type="dxa"/>
        <w:tblLayout w:type="fixed"/>
        <w:tblCellMar>
          <w:top w:w="28" w:type="dxa"/>
          <w:left w:w="28" w:type="dxa"/>
          <w:bottom w:w="28" w:type="dxa"/>
          <w:right w:w="28" w:type="dxa"/>
        </w:tblCellMar>
      </w:tblPr>
      <w:tblGrid>
        <w:gridCol w:w="411"/>
        <w:gridCol w:w="362"/>
        <w:gridCol w:w="23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4"/>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Equipment finance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equipment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461,010 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Municipal leases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municipal leases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commercial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1548" w:type="dxa"/>
        <w:jc w:val="left"/>
        <w:tblInd w:w="0" w:type="dxa"/>
        <w:tblLayout w:type="fixed"/>
        <w:tblCellMar>
          <w:top w:w="28" w:type="dxa"/>
          <w:left w:w="28" w:type="dxa"/>
          <w:bottom w:w="28" w:type="dxa"/>
          <w:right w:w="28" w:type="dxa"/>
        </w:tblCellMar>
      </w:tblPr>
      <w:tblGrid>
        <w:gridCol w:w="411"/>
        <w:gridCol w:w="362"/>
        <w:gridCol w:w="293"/>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2024</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One-to-four 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one-to-four 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621,196 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HELOCs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HELOCs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residential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38" w:type="dxa"/>
        <w:jc w:val="left"/>
        <w:tblInd w:w="0" w:type="dxa"/>
        <w:tblLayout w:type="fixed"/>
        <w:tblCellMar>
          <w:top w:w="28" w:type="dxa"/>
          <w:left w:w="28" w:type="dxa"/>
          <w:bottom w:w="28" w:type="dxa"/>
          <w:right w:w="28" w:type="dxa"/>
        </w:tblCellMar>
      </w:tblPr>
      <w:tblGrid>
        <w:gridCol w:w="449"/>
        <w:gridCol w:w="377"/>
        <w:gridCol w:w="150"/>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227"/>
        <w:gridCol w:w="487"/>
        <w:gridCol w:w="127"/>
        <w:gridCol w:w="109"/>
        <w:gridCol w:w="109"/>
        <w:gridCol w:w="109"/>
        <w:gridCol w:w="196"/>
        <w:gridCol w:w="64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2024</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consumer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jc w:val="both"/>
        <w:rPr/>
      </w:pPr>
      <w:r>
        <w:rPr>
          <w:rFonts w:ascii="Times New Roman;sans-serif" w:hAnsi="Times New Roman;sans-serif"/>
          <w:b w:val="false"/>
          <w:color w:val="000000"/>
          <w:sz w:val="18"/>
        </w:rPr>
        <w:t>The following tables present the credit risk profile by risk grade for commercial real estate, commercial, residential real estate and consumer loans by origination year as of December 31, 2023</w:t>
      </w:r>
      <w:r>
        <w:rPr>
          <w:rFonts w:ascii="Times New Roman;sans-serif" w:hAnsi="Times New Roman;sans-serif"/>
          <w:b w:val="false"/>
          <w:color w:val="000000"/>
          <w:sz w:val="12"/>
        </w:rPr>
        <w:t>(2)</w:t>
      </w:r>
      <w:r>
        <w:rPr>
          <w:rFonts w:ascii="Times New Roman;sans-serif" w:hAnsi="Times New Roman;sans-serif"/>
          <w:b w:val="false"/>
          <w:color w:val="000000"/>
          <w:sz w:val="18"/>
        </w:rPr>
        <w:t>. Also included in the tables detailing loan balances are gross charge-offs for the year ended December 31, 2023.</w:t>
      </w:r>
    </w:p>
    <w:tbl>
      <w:tblPr>
        <w:tblW w:w="11773" w:type="dxa"/>
        <w:jc w:val="left"/>
        <w:tblInd w:w="0" w:type="dxa"/>
        <w:tblLayout w:type="fixed"/>
        <w:tblCellMar>
          <w:top w:w="28" w:type="dxa"/>
          <w:left w:w="28" w:type="dxa"/>
          <w:bottom w:w="28" w:type="dxa"/>
          <w:right w:w="28" w:type="dxa"/>
        </w:tblCellMar>
      </w:tblPr>
      <w:tblGrid>
        <w:gridCol w:w="529"/>
        <w:gridCol w:w="268"/>
        <w:gridCol w:w="26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Commercial real estate</w:t>
            </w:r>
            <w:r>
              <w:rPr>
                <w:color w:val="000000"/>
              </w:rPr>
              <w:t xml:space="preserve"> – </w:t>
            </w:r>
            <w:r>
              <w:rPr>
                <w:rFonts w:ascii="Times New Roman;sans-serif" w:hAnsi="Times New Roman;sans-serif"/>
                <w:b/>
                <w:color w:val="000000"/>
                <w:sz w:val="16"/>
              </w:rPr>
              <w:t xml:space="preserve">owner occupied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 – 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16"/>
              </w:rPr>
              <w:t>Commercial real estate</w:t>
            </w:r>
            <w:r>
              <w:rPr>
                <w:color w:val="000000"/>
              </w:rPr>
              <w:t xml:space="preserve"> – </w:t>
            </w:r>
            <w:r>
              <w:rPr>
                <w:rFonts w:ascii="Times New Roman;sans-serif" w:hAnsi="Times New Roman;sans-serif"/>
                <w:b/>
                <w:color w:val="000000"/>
                <w:sz w:val="16"/>
              </w:rPr>
              <w:t>non-owner occupied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 – non-owner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Multifamily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multifamily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left"/>
        <w:rPr>
          <w:rFonts w:ascii="Times New Roman;sans-serif" w:hAnsi="Times New Roman;sans-serif"/>
          <w:b w:val="false"/>
          <w:color w:val="000000"/>
          <w:sz w:val="14"/>
        </w:rPr>
      </w:pPr>
      <w:r>
        <w:rPr>
          <w:rFonts w:ascii="Times New Roman;sans-serif" w:hAnsi="Times New Roman;sans-serif"/>
          <w:b w:val="false"/>
          <w:color w:val="000000"/>
          <w:sz w:val="14"/>
        </w:rPr>
        <w:t>(1)As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pStyle w:val="TextBody"/>
        <w:bidi w:val="0"/>
        <w:spacing w:lineRule="auto" w:line="288" w:before="0" w:after="100"/>
        <w:ind w:left="0" w:right="0" w:hanging="270"/>
        <w:jc w:val="left"/>
        <w:rPr/>
      </w:pPr>
      <w:r>
        <w:rPr>
          <w:rFonts w:ascii="Times New Roman;sans-serif" w:hAnsi="Times New Roman;sans-serif"/>
          <w:b w:val="false"/>
          <w:color w:val="231F20"/>
          <w:sz w:val="14"/>
        </w:rPr>
        <w:t>(2)</w:t>
      </w:r>
      <w:r>
        <w:rPr>
          <w:rFonts w:ascii="Times New Roman;sans-serif" w:hAnsi="Times New Roman;sans-serif"/>
          <w:b w:val="false"/>
          <w:color w:val="000000"/>
          <w:sz w:val="14"/>
        </w:rPr>
        <w:t>This table reflects the correction of an immaterial error in the prior period disclosure. See "Note 1 – Summary of Significant Accounting Policies"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1308" w:type="dxa"/>
        <w:jc w:val="left"/>
        <w:tblInd w:w="0" w:type="dxa"/>
        <w:tblLayout w:type="fixed"/>
        <w:tblCellMar>
          <w:top w:w="28" w:type="dxa"/>
          <w:left w:w="28" w:type="dxa"/>
          <w:bottom w:w="28" w:type="dxa"/>
          <w:right w:w="28" w:type="dxa"/>
        </w:tblCellMar>
      </w:tblPr>
      <w:tblGrid>
        <w:gridCol w:w="469"/>
        <w:gridCol w:w="268"/>
        <w:gridCol w:w="26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Equipment finance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equipment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465,573 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Municipal leases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municipal leases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commercial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hanging="9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1548" w:type="dxa"/>
        <w:jc w:val="left"/>
        <w:tblInd w:w="0" w:type="dxa"/>
        <w:tblLayout w:type="fixed"/>
        <w:tblCellMar>
          <w:top w:w="28" w:type="dxa"/>
          <w:left w:w="28" w:type="dxa"/>
          <w:bottom w:w="28" w:type="dxa"/>
          <w:right w:w="28" w:type="dxa"/>
        </w:tblCellMar>
      </w:tblPr>
      <w:tblGrid>
        <w:gridCol w:w="529"/>
        <w:gridCol w:w="268"/>
        <w:gridCol w:w="26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One-to-four 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one-to-four 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HELOCs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HELOCs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185,878 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residential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866,929 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28" w:type="dxa"/>
        <w:jc w:val="left"/>
        <w:tblInd w:w="0" w:type="dxa"/>
        <w:tblLayout w:type="fixed"/>
        <w:tblCellMar>
          <w:top w:w="28" w:type="dxa"/>
          <w:left w:w="28" w:type="dxa"/>
          <w:bottom w:w="28" w:type="dxa"/>
          <w:right w:w="28" w:type="dxa"/>
        </w:tblCellMar>
      </w:tblPr>
      <w:tblGrid>
        <w:gridCol w:w="439"/>
        <w:gridCol w:w="268"/>
        <w:gridCol w:w="2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27"/>
        <w:gridCol w:w="487"/>
        <w:gridCol w:w="127"/>
        <w:gridCol w:w="109"/>
        <w:gridCol w:w="109"/>
        <w:gridCol w:w="109"/>
        <w:gridCol w:w="196"/>
        <w:gridCol w:w="736"/>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consumer</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tables present aging analyses of past due loans (including nonaccrual loans) by segment and class for the periods indicated:</w:t>
      </w:r>
    </w:p>
    <w:tbl>
      <w:tblPr>
        <w:tblW w:w="10040" w:type="dxa"/>
        <w:jc w:val="left"/>
        <w:tblInd w:w="0" w:type="dxa"/>
        <w:tblLayout w:type="fixed"/>
        <w:tblCellMar>
          <w:top w:w="28" w:type="dxa"/>
          <w:left w:w="28" w:type="dxa"/>
          <w:bottom w:w="28" w:type="dxa"/>
          <w:right w:w="28" w:type="dxa"/>
        </w:tblCellMar>
      </w:tblPr>
      <w:tblGrid>
        <w:gridCol w:w="1207"/>
        <w:gridCol w:w="1066"/>
        <w:gridCol w:w="1072"/>
        <w:gridCol w:w="198"/>
        <w:gridCol w:w="652"/>
        <w:gridCol w:w="110"/>
        <w:gridCol w:w="109"/>
        <w:gridCol w:w="109"/>
        <w:gridCol w:w="109"/>
        <w:gridCol w:w="196"/>
        <w:gridCol w:w="55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911" w:type="dxa"/>
        <w:jc w:val="left"/>
        <w:tblInd w:w="0" w:type="dxa"/>
        <w:tblLayout w:type="fixed"/>
        <w:tblCellMar>
          <w:top w:w="28" w:type="dxa"/>
          <w:left w:w="28" w:type="dxa"/>
          <w:bottom w:w="28" w:type="dxa"/>
          <w:right w:w="28" w:type="dxa"/>
        </w:tblCellMar>
      </w:tblPr>
      <w:tblGrid>
        <w:gridCol w:w="1212"/>
        <w:gridCol w:w="1064"/>
        <w:gridCol w:w="1068"/>
        <w:gridCol w:w="198"/>
        <w:gridCol w:w="652"/>
        <w:gridCol w:w="110"/>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3,640,022 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recorded investment in loans on nonaccrual status, by segment and class, including restructured loans. It also includes interest income recognized on nonaccrual loans for the six months ended June 30, 2024.</w:t>
      </w:r>
    </w:p>
    <w:tbl>
      <w:tblPr>
        <w:tblW w:w="10205" w:type="dxa"/>
        <w:jc w:val="left"/>
        <w:tblInd w:w="0" w:type="dxa"/>
        <w:tblLayout w:type="fixed"/>
        <w:tblCellMar>
          <w:top w:w="28" w:type="dxa"/>
          <w:left w:w="28" w:type="dxa"/>
          <w:bottom w:w="28" w:type="dxa"/>
          <w:right w:w="28" w:type="dxa"/>
        </w:tblCellMar>
      </w:tblPr>
      <w:tblGrid>
        <w:gridCol w:w="604"/>
        <w:gridCol w:w="529"/>
        <w:gridCol w:w="532"/>
        <w:gridCol w:w="109"/>
        <w:gridCol w:w="109"/>
        <w:gridCol w:w="109"/>
        <w:gridCol w:w="207"/>
        <w:gridCol w:w="683"/>
        <w:gridCol w:w="115"/>
        <w:gridCol w:w="109"/>
        <w:gridCol w:w="109"/>
        <w:gridCol w:w="109"/>
        <w:gridCol w:w="228"/>
        <w:gridCol w:w="754"/>
        <w:gridCol w:w="127"/>
        <w:gridCol w:w="109"/>
        <w:gridCol w:w="109"/>
        <w:gridCol w:w="109"/>
        <w:gridCol w:w="109"/>
        <w:gridCol w:w="109"/>
        <w:gridCol w:w="359"/>
        <w:gridCol w:w="745"/>
        <w:gridCol w:w="201"/>
        <w:gridCol w:w="109"/>
        <w:gridCol w:w="109"/>
        <w:gridCol w:w="109"/>
        <w:gridCol w:w="383"/>
        <w:gridCol w:w="1087"/>
        <w:gridCol w:w="216"/>
        <w:gridCol w:w="109"/>
        <w:gridCol w:w="109"/>
        <w:gridCol w:w="109"/>
        <w:gridCol w:w="353"/>
        <w:gridCol w:w="760"/>
        <w:gridCol w:w="199"/>
        <w:gridCol w:w="109"/>
        <w:gridCol w:w="161"/>
      </w:tblGrid>
      <w:tr>
        <w:trP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90 Days+ &amp;</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Still Accruing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Nonaccrual with No ACL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Income Recognized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5,018 </w:t>
            </w:r>
          </w:p>
        </w:tc>
        <w:tc>
          <w:tcPr>
            <w:tcW w:w="1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9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4,017 </w:t>
            </w:r>
          </w:p>
        </w:tc>
        <w:tc>
          <w:tcPr>
            <w:tcW w:w="11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4,510 </w:t>
            </w:r>
          </w:p>
        </w:tc>
        <w:tc>
          <w:tcPr>
            <w:tcW w:w="12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9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present analyses of the ACL on loans by segment for the periods indicated. In addition to the provision (benefit) for credit losses on loans presented below, benefits of $40 and $20 for off-balance sheet credit exposures were recorded for the three and six months ended June 30, 2024, respectively, while no provision for commercial paper was recorded for either period. Benefits of $505 and $105 for off-balance sheet credit exposures were recorded for the three and six months ended June 30, 2023, respectively, while no provision for commercial paper was recorded for either period. In addition, for the six month's ended June 30, 2023, $4,921 and $369 of the provision for credit losses was recognized to establish ACLs on Quantum's loan portfolio and off-balance sheet credit exposure, respectively.</w:t>
      </w:r>
    </w:p>
    <w:tbl>
      <w:tblPr>
        <w:tblW w:w="10205" w:type="dxa"/>
        <w:jc w:val="left"/>
        <w:tblInd w:w="0" w:type="dxa"/>
        <w:tblLayout w:type="fixed"/>
        <w:tblCellMar>
          <w:top w:w="28" w:type="dxa"/>
          <w:left w:w="28" w:type="dxa"/>
          <w:bottom w:w="28" w:type="dxa"/>
          <w:right w:w="28" w:type="dxa"/>
        </w:tblCellMar>
      </w:tblPr>
      <w:tblGrid>
        <w:gridCol w:w="763"/>
        <w:gridCol w:w="611"/>
        <w:gridCol w:w="614"/>
        <w:gridCol w:w="325"/>
        <w:gridCol w:w="1072"/>
        <w:gridCol w:w="182"/>
        <w:gridCol w:w="109"/>
        <w:gridCol w:w="109"/>
        <w:gridCol w:w="109"/>
        <w:gridCol w:w="213"/>
        <w:gridCol w:w="703"/>
        <w:gridCol w:w="120"/>
        <w:gridCol w:w="109"/>
        <w:gridCol w:w="109"/>
        <w:gridCol w:w="109"/>
        <w:gridCol w:w="341"/>
        <w:gridCol w:w="971"/>
        <w:gridCol w:w="192"/>
        <w:gridCol w:w="109"/>
        <w:gridCol w:w="109"/>
        <w:gridCol w:w="109"/>
        <w:gridCol w:w="208"/>
        <w:gridCol w:w="591"/>
        <w:gridCol w:w="117"/>
        <w:gridCol w:w="109"/>
        <w:gridCol w:w="109"/>
        <w:gridCol w:w="109"/>
        <w:gridCol w:w="196"/>
        <w:gridCol w:w="646"/>
        <w:gridCol w:w="109"/>
        <w:gridCol w:w="109"/>
        <w:gridCol w:w="109"/>
        <w:gridCol w:w="109"/>
        <w:gridCol w:w="109"/>
        <w:gridCol w:w="109"/>
        <w:gridCol w:w="109"/>
        <w:gridCol w:w="109"/>
        <w:gridCol w:w="160"/>
      </w:tblGrid>
      <w:tr>
        <w:trPr/>
        <w:tc>
          <w:tcPr>
            <w:tcW w:w="7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19,953 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16,620 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(charge-offs) recoveries</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20,539 </w:t>
            </w:r>
          </w:p>
        </w:tc>
        <w:tc>
          <w:tcPr>
            <w:tcW w:w="1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18,115 </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9,103 </w:t>
            </w:r>
          </w:p>
        </w:tc>
        <w:tc>
          <w:tcPr>
            <w:tcW w:w="1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1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3"/>
        <w:gridCol w:w="611"/>
        <w:gridCol w:w="614"/>
        <w:gridCol w:w="325"/>
        <w:gridCol w:w="1072"/>
        <w:gridCol w:w="182"/>
        <w:gridCol w:w="109"/>
        <w:gridCol w:w="109"/>
        <w:gridCol w:w="109"/>
        <w:gridCol w:w="213"/>
        <w:gridCol w:w="703"/>
        <w:gridCol w:w="120"/>
        <w:gridCol w:w="109"/>
        <w:gridCol w:w="109"/>
        <w:gridCol w:w="109"/>
        <w:gridCol w:w="341"/>
        <w:gridCol w:w="971"/>
        <w:gridCol w:w="192"/>
        <w:gridCol w:w="109"/>
        <w:gridCol w:w="109"/>
        <w:gridCol w:w="109"/>
        <w:gridCol w:w="208"/>
        <w:gridCol w:w="591"/>
        <w:gridCol w:w="117"/>
        <w:gridCol w:w="109"/>
        <w:gridCol w:w="109"/>
        <w:gridCol w:w="109"/>
        <w:gridCol w:w="196"/>
        <w:gridCol w:w="646"/>
        <w:gridCol w:w="109"/>
        <w:gridCol w:w="109"/>
        <w:gridCol w:w="109"/>
        <w:gridCol w:w="109"/>
        <w:gridCol w:w="109"/>
        <w:gridCol w:w="109"/>
        <w:gridCol w:w="109"/>
        <w:gridCol w:w="109"/>
        <w:gridCol w:w="160"/>
      </w:tblGrid>
      <w:tr>
        <w:trPr/>
        <w:tc>
          <w:tcPr>
            <w:tcW w:w="7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21,613 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14,658 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9,122 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(charge-offs) recoveries</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20,690 </w:t>
            </w:r>
          </w:p>
        </w:tc>
        <w:tc>
          <w:tcPr>
            <w:tcW w:w="1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15,216 </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9,284 </w:t>
            </w:r>
          </w:p>
        </w:tc>
        <w:tc>
          <w:tcPr>
            <w:tcW w:w="1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2,003 </w:t>
            </w:r>
          </w:p>
        </w:tc>
        <w:tc>
          <w:tcPr>
            <w:tcW w:w="11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3"/>
        <w:gridCol w:w="611"/>
        <w:gridCol w:w="614"/>
        <w:gridCol w:w="325"/>
        <w:gridCol w:w="1072"/>
        <w:gridCol w:w="182"/>
        <w:gridCol w:w="109"/>
        <w:gridCol w:w="109"/>
        <w:gridCol w:w="109"/>
        <w:gridCol w:w="213"/>
        <w:gridCol w:w="703"/>
        <w:gridCol w:w="120"/>
        <w:gridCol w:w="109"/>
        <w:gridCol w:w="109"/>
        <w:gridCol w:w="109"/>
        <w:gridCol w:w="341"/>
        <w:gridCol w:w="971"/>
        <w:gridCol w:w="192"/>
        <w:gridCol w:w="109"/>
        <w:gridCol w:w="109"/>
        <w:gridCol w:w="109"/>
        <w:gridCol w:w="208"/>
        <w:gridCol w:w="591"/>
        <w:gridCol w:w="117"/>
        <w:gridCol w:w="109"/>
        <w:gridCol w:w="109"/>
        <w:gridCol w:w="109"/>
        <w:gridCol w:w="196"/>
        <w:gridCol w:w="646"/>
        <w:gridCol w:w="109"/>
        <w:gridCol w:w="109"/>
        <w:gridCol w:w="109"/>
        <w:gridCol w:w="109"/>
        <w:gridCol w:w="109"/>
        <w:gridCol w:w="109"/>
        <w:gridCol w:w="109"/>
        <w:gridCol w:w="109"/>
        <w:gridCol w:w="160"/>
      </w:tblGrid>
      <w:tr>
        <w:trPr/>
        <w:tc>
          <w:tcPr>
            <w:tcW w:w="7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20,323 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17,025 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9,285 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(charge-offs) recoveries</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(4,230)</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20,539 </w:t>
            </w:r>
          </w:p>
        </w:tc>
        <w:tc>
          <w:tcPr>
            <w:tcW w:w="1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18,115 </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9,103 </w:t>
            </w:r>
          </w:p>
        </w:tc>
        <w:tc>
          <w:tcPr>
            <w:tcW w:w="1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1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763"/>
        <w:gridCol w:w="611"/>
        <w:gridCol w:w="614"/>
        <w:gridCol w:w="325"/>
        <w:gridCol w:w="1072"/>
        <w:gridCol w:w="182"/>
        <w:gridCol w:w="109"/>
        <w:gridCol w:w="109"/>
        <w:gridCol w:w="109"/>
        <w:gridCol w:w="213"/>
        <w:gridCol w:w="703"/>
        <w:gridCol w:w="120"/>
        <w:gridCol w:w="109"/>
        <w:gridCol w:w="109"/>
        <w:gridCol w:w="109"/>
        <w:gridCol w:w="341"/>
        <w:gridCol w:w="971"/>
        <w:gridCol w:w="192"/>
        <w:gridCol w:w="109"/>
        <w:gridCol w:w="109"/>
        <w:gridCol w:w="109"/>
        <w:gridCol w:w="208"/>
        <w:gridCol w:w="591"/>
        <w:gridCol w:w="117"/>
        <w:gridCol w:w="109"/>
        <w:gridCol w:w="109"/>
        <w:gridCol w:w="109"/>
        <w:gridCol w:w="196"/>
        <w:gridCol w:w="646"/>
        <w:gridCol w:w="109"/>
        <w:gridCol w:w="109"/>
        <w:gridCol w:w="109"/>
        <w:gridCol w:w="109"/>
        <w:gridCol w:w="109"/>
        <w:gridCol w:w="109"/>
        <w:gridCol w:w="109"/>
        <w:gridCol w:w="109"/>
        <w:gridCol w:w="160"/>
      </w:tblGrid>
      <w:tr>
        <w:trPr/>
        <w:tc>
          <w:tcPr>
            <w:tcW w:w="7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15,059 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12,382 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Initial ACL on PCD loans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(charge-offs) recoveries</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1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20,690 </w:t>
            </w:r>
          </w:p>
        </w:tc>
        <w:tc>
          <w:tcPr>
            <w:tcW w:w="18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15,216 </w:t>
            </w:r>
          </w:p>
        </w:tc>
        <w:tc>
          <w:tcPr>
            <w:tcW w:w="12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9,284 </w:t>
            </w:r>
          </w:p>
        </w:tc>
        <w:tc>
          <w:tcPr>
            <w:tcW w:w="19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2,003 </w:t>
            </w:r>
          </w:p>
        </w:tc>
        <w:tc>
          <w:tcPr>
            <w:tcW w:w="1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loan is considered to be collateral dependent when the borrower is experiencing financial difficulty and the repayment is expected to be provided substantially through the operation or sale of collateral. The following tables provide a breakdown between loans identified as CDAs and non-CDAs, by segment and class, as well as collateral coverage for those loans for the periods indicated below:</w:t>
      </w:r>
    </w:p>
    <w:tbl>
      <w:tblPr>
        <w:tblW w:w="10205" w:type="dxa"/>
        <w:jc w:val="left"/>
        <w:tblInd w:w="0" w:type="dxa"/>
        <w:tblLayout w:type="fixed"/>
        <w:tblCellMar>
          <w:top w:w="28" w:type="dxa"/>
          <w:left w:w="28" w:type="dxa"/>
          <w:bottom w:w="28" w:type="dxa"/>
          <w:right w:w="28" w:type="dxa"/>
        </w:tblCellMar>
      </w:tblPr>
      <w:tblGrid>
        <w:gridCol w:w="454"/>
        <w:gridCol w:w="401"/>
        <w:gridCol w:w="289"/>
        <w:gridCol w:w="272"/>
        <w:gridCol w:w="564"/>
        <w:gridCol w:w="153"/>
        <w:gridCol w:w="109"/>
        <w:gridCol w:w="109"/>
        <w:gridCol w:w="109"/>
        <w:gridCol w:w="277"/>
        <w:gridCol w:w="573"/>
        <w:gridCol w:w="154"/>
        <w:gridCol w:w="109"/>
        <w:gridCol w:w="109"/>
        <w:gridCol w:w="109"/>
        <w:gridCol w:w="241"/>
        <w:gridCol w:w="688"/>
        <w:gridCol w:w="135"/>
        <w:gridCol w:w="109"/>
        <w:gridCol w:w="109"/>
        <w:gridCol w:w="109"/>
        <w:gridCol w:w="200"/>
        <w:gridCol w:w="568"/>
        <w:gridCol w:w="111"/>
        <w:gridCol w:w="109"/>
        <w:gridCol w:w="976"/>
        <w:gridCol w:w="109"/>
        <w:gridCol w:w="109"/>
        <w:gridCol w:w="109"/>
        <w:gridCol w:w="196"/>
        <w:gridCol w:w="871"/>
        <w:gridCol w:w="109"/>
        <w:gridCol w:w="109"/>
        <w:gridCol w:w="109"/>
        <w:gridCol w:w="109"/>
        <w:gridCol w:w="196"/>
        <w:gridCol w:w="871"/>
        <w:gridCol w:w="162"/>
      </w:tblGrid>
      <w:tr>
        <w:trPr/>
        <w:tc>
          <w:tcPr>
            <w:tcW w:w="45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and Extent of Collateral Securing CDAs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Non-CDAs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6"/>
            <w:tcBorders/>
          </w:tcPr>
          <w:p>
            <w:pPr>
              <w:pStyle w:val="TableContents"/>
              <w:bidi w:val="0"/>
              <w:spacing w:before="0" w:after="283"/>
              <w:jc w:val="left"/>
              <w:rPr>
                <w:sz w:val="4"/>
                <w:szCs w:val="4"/>
              </w:rPr>
            </w:pPr>
            <w:r>
              <w:rPr>
                <w:sz w:val="4"/>
                <w:szCs w:val="4"/>
              </w:rPr>
            </w:r>
          </w:p>
        </w:tc>
      </w:tr>
      <w:tr>
        <w:trPr/>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Business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545,631 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892,653 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1,846,626 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879,655 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880,340 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3,701,454 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collateral value</w:t>
            </w:r>
          </w:p>
        </w:tc>
        <w:tc>
          <w:tcPr>
            <w:tcW w:w="2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4,654 </w:t>
            </w:r>
          </w:p>
        </w:tc>
        <w:tc>
          <w:tcPr>
            <w:tcW w:w="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516"/>
        <w:gridCol w:w="314"/>
        <w:gridCol w:w="315"/>
        <w:gridCol w:w="267"/>
        <w:gridCol w:w="574"/>
        <w:gridCol w:w="149"/>
        <w:gridCol w:w="109"/>
        <w:gridCol w:w="109"/>
        <w:gridCol w:w="109"/>
        <w:gridCol w:w="277"/>
        <w:gridCol w:w="573"/>
        <w:gridCol w:w="154"/>
        <w:gridCol w:w="109"/>
        <w:gridCol w:w="109"/>
        <w:gridCol w:w="109"/>
        <w:gridCol w:w="241"/>
        <w:gridCol w:w="688"/>
        <w:gridCol w:w="135"/>
        <w:gridCol w:w="109"/>
        <w:gridCol w:w="109"/>
        <w:gridCol w:w="109"/>
        <w:gridCol w:w="200"/>
        <w:gridCol w:w="568"/>
        <w:gridCol w:w="111"/>
        <w:gridCol w:w="109"/>
        <w:gridCol w:w="976"/>
        <w:gridCol w:w="109"/>
        <w:gridCol w:w="109"/>
        <w:gridCol w:w="109"/>
        <w:gridCol w:w="196"/>
        <w:gridCol w:w="871"/>
        <w:gridCol w:w="109"/>
        <w:gridCol w:w="109"/>
        <w:gridCol w:w="109"/>
        <w:gridCol w:w="109"/>
        <w:gridCol w:w="196"/>
        <w:gridCol w:w="871"/>
        <w:gridCol w:w="160"/>
      </w:tblGrid>
      <w:tr>
        <w:trPr/>
        <w:tc>
          <w:tcPr>
            <w:tcW w:w="5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and Extent of Collateral Securing CDAs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Non-CDAs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6"/>
            <w:tcBorders/>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Business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1,806,131 </w:t>
            </w:r>
          </w:p>
        </w:tc>
        <w:tc>
          <w:tcPr>
            <w:tcW w:w="16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853,120 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866,929 </w:t>
            </w:r>
          </w:p>
        </w:tc>
        <w:tc>
          <w:tcPr>
            <w:tcW w:w="16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3,640,022 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collateral value</w:t>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5,627 </w:t>
            </w:r>
          </w:p>
        </w:tc>
        <w:tc>
          <w:tcPr>
            <w:tcW w:w="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Modifications to Borrowers Experiencing Financial Difficulty</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amortized cost basis of loans at June 30, 2024, that were both experiencing financial difficulty and modified during the three and six months ended June 30, 2024, by class and type of modification. The percentage of the amortized cost basis of loans that were modified to borrowers in financial difficulty as compared to the amortized cost basis of each class of financing receivable is also presented.</w:t>
      </w:r>
    </w:p>
    <w:tbl>
      <w:tblPr>
        <w:tblW w:w="10402" w:type="dxa"/>
        <w:jc w:val="left"/>
        <w:tblInd w:w="0" w:type="dxa"/>
        <w:tblLayout w:type="fixed"/>
        <w:tblCellMar>
          <w:top w:w="28" w:type="dxa"/>
          <w:left w:w="28" w:type="dxa"/>
          <w:bottom w:w="28" w:type="dxa"/>
          <w:right w:w="28" w:type="dxa"/>
        </w:tblCellMar>
      </w:tblPr>
      <w:tblGrid>
        <w:gridCol w:w="381"/>
        <w:gridCol w:w="334"/>
        <w:gridCol w:w="336"/>
        <w:gridCol w:w="277"/>
        <w:gridCol w:w="574"/>
        <w:gridCol w:w="155"/>
        <w:gridCol w:w="109"/>
        <w:gridCol w:w="109"/>
        <w:gridCol w:w="109"/>
        <w:gridCol w:w="210"/>
        <w:gridCol w:w="452"/>
        <w:gridCol w:w="119"/>
        <w:gridCol w:w="109"/>
        <w:gridCol w:w="109"/>
        <w:gridCol w:w="109"/>
        <w:gridCol w:w="235"/>
        <w:gridCol w:w="505"/>
        <w:gridCol w:w="131"/>
        <w:gridCol w:w="109"/>
        <w:gridCol w:w="109"/>
        <w:gridCol w:w="109"/>
        <w:gridCol w:w="279"/>
        <w:gridCol w:w="600"/>
        <w:gridCol w:w="157"/>
        <w:gridCol w:w="109"/>
        <w:gridCol w:w="109"/>
        <w:gridCol w:w="109"/>
        <w:gridCol w:w="310"/>
        <w:gridCol w:w="642"/>
        <w:gridCol w:w="174"/>
        <w:gridCol w:w="109"/>
        <w:gridCol w:w="109"/>
        <w:gridCol w:w="109"/>
        <w:gridCol w:w="310"/>
        <w:gridCol w:w="642"/>
        <w:gridCol w:w="174"/>
        <w:gridCol w:w="109"/>
        <w:gridCol w:w="109"/>
        <w:gridCol w:w="109"/>
        <w:gridCol w:w="256"/>
        <w:gridCol w:w="210"/>
        <w:gridCol w:w="496"/>
        <w:gridCol w:w="109"/>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Combination Term Extension &amp;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Combination Term Extension &amp;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157" w:type="dxa"/>
        <w:jc w:val="left"/>
        <w:tblInd w:w="0" w:type="dxa"/>
        <w:tblLayout w:type="fixed"/>
        <w:tblCellMar>
          <w:top w:w="28" w:type="dxa"/>
          <w:left w:w="28" w:type="dxa"/>
          <w:bottom w:w="28" w:type="dxa"/>
          <w:right w:w="28" w:type="dxa"/>
        </w:tblCellMar>
      </w:tblPr>
      <w:tblGrid>
        <w:gridCol w:w="674"/>
        <w:gridCol w:w="591"/>
        <w:gridCol w:w="461"/>
        <w:gridCol w:w="277"/>
        <w:gridCol w:w="574"/>
        <w:gridCol w:w="155"/>
        <w:gridCol w:w="109"/>
        <w:gridCol w:w="109"/>
        <w:gridCol w:w="109"/>
        <w:gridCol w:w="196"/>
        <w:gridCol w:w="556"/>
        <w:gridCol w:w="109"/>
        <w:gridCol w:w="109"/>
        <w:gridCol w:w="109"/>
        <w:gridCol w:w="109"/>
        <w:gridCol w:w="235"/>
        <w:gridCol w:w="505"/>
        <w:gridCol w:w="131"/>
        <w:gridCol w:w="109"/>
        <w:gridCol w:w="109"/>
        <w:gridCol w:w="109"/>
        <w:gridCol w:w="279"/>
        <w:gridCol w:w="600"/>
        <w:gridCol w:w="157"/>
        <w:gridCol w:w="109"/>
        <w:gridCol w:w="109"/>
        <w:gridCol w:w="109"/>
        <w:gridCol w:w="310"/>
        <w:gridCol w:w="642"/>
        <w:gridCol w:w="174"/>
        <w:gridCol w:w="109"/>
        <w:gridCol w:w="109"/>
        <w:gridCol w:w="109"/>
        <w:gridCol w:w="310"/>
        <w:gridCol w:w="642"/>
        <w:gridCol w:w="174"/>
        <w:gridCol w:w="109"/>
        <w:gridCol w:w="109"/>
        <w:gridCol w:w="109"/>
        <w:gridCol w:w="256"/>
        <w:gridCol w:w="210"/>
        <w:gridCol w:w="496"/>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Combination Term Extension &amp;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Combination Term Extension &amp;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non-owner-occupied</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loans that had a payment default during the periods indicated that had previously been modified within the prior twelve months. No loans had a payment default during the three months ended March 31, 2024 that had previously been modified within the prior twelve months. For purposes of this table, a loan is considered to be in default when it becomes 30 days contractually past due under the modified terms.</w:t>
      </w:r>
    </w:p>
    <w:tbl>
      <w:tblPr>
        <w:tblW w:w="10205" w:type="dxa"/>
        <w:jc w:val="left"/>
        <w:tblInd w:w="0" w:type="dxa"/>
        <w:tblLayout w:type="fixed"/>
        <w:tblCellMar>
          <w:top w:w="28" w:type="dxa"/>
          <w:left w:w="28" w:type="dxa"/>
          <w:bottom w:w="28" w:type="dxa"/>
          <w:right w:w="28" w:type="dxa"/>
        </w:tblCellMar>
      </w:tblPr>
      <w:tblGrid>
        <w:gridCol w:w="1088"/>
        <w:gridCol w:w="954"/>
        <w:gridCol w:w="927"/>
        <w:gridCol w:w="431"/>
        <w:gridCol w:w="893"/>
        <w:gridCol w:w="241"/>
        <w:gridCol w:w="109"/>
        <w:gridCol w:w="109"/>
        <w:gridCol w:w="109"/>
        <w:gridCol w:w="308"/>
        <w:gridCol w:w="663"/>
        <w:gridCol w:w="174"/>
        <w:gridCol w:w="109"/>
        <w:gridCol w:w="109"/>
        <w:gridCol w:w="109"/>
        <w:gridCol w:w="337"/>
        <w:gridCol w:w="699"/>
        <w:gridCol w:w="188"/>
        <w:gridCol w:w="109"/>
        <w:gridCol w:w="109"/>
        <w:gridCol w:w="109"/>
        <w:gridCol w:w="504"/>
        <w:gridCol w:w="1046"/>
        <w:gridCol w:w="283"/>
        <w:gridCol w:w="109"/>
        <w:gridCol w:w="109"/>
        <w:gridCol w:w="109"/>
        <w:gridCol w:w="161"/>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and Six Months Ended June 30, 2024</w:t>
            </w:r>
          </w:p>
        </w:tc>
        <w:tc>
          <w:tcPr>
            <w:tcW w:w="488" w:type="dxa"/>
            <w:gridSpan w:val="4"/>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non-owner-occupied</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Off-Balance Sheet Credit Exposure</w:t>
      </w:r>
    </w:p>
    <w:p>
      <w:pPr>
        <w:pStyle w:val="TextBody"/>
        <w:bidi w:val="0"/>
        <w:spacing w:lineRule="auto" w:line="288" w:before="0" w:after="120"/>
        <w:jc w:val="both"/>
        <w:rPr/>
      </w:pPr>
      <w:r>
        <w:rPr>
          <w:rFonts w:ascii="Times New Roman;sans-serif" w:hAnsi="Times New Roman;sans-serif"/>
          <w:b w:val="false"/>
          <w:color w:val="000000"/>
          <w:sz w:val="18"/>
        </w:rPr>
        <w:t xml:space="preserve">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June 30, 2024 and </w:t>
      </w:r>
      <w:r>
        <w:rPr>
          <w:rFonts w:ascii="Times New Roman;sans-serif" w:hAnsi="Times New Roman;sans-serif"/>
          <w:b w:val="false"/>
          <w:color w:val="000000"/>
          <w:sz w:val="18"/>
          <w:shd w:fill="FFFFFF" w:val="clear"/>
        </w:rPr>
        <w:t>December 31, 2023</w:t>
      </w:r>
      <w:r>
        <w:rPr>
          <w:rFonts w:ascii="Times New Roman;sans-serif" w:hAnsi="Times New Roman;sans-serif"/>
          <w:b w:val="false"/>
          <w:color w:val="000000"/>
          <w:sz w:val="18"/>
        </w:rPr>
        <w:t>, the ACL on off-balance sheet credit exposures included in other liabilities was $2,567 and $2,587,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 xml:space="preserve">7. </w:t>
      </w:r>
      <w:r>
        <w:rPr>
          <w:rFonts w:ascii="Times New Roman;sans-serif" w:hAnsi="Times New Roman;sans-serif"/>
          <w:b/>
          <w:color w:val="000000"/>
          <w:sz w:val="18"/>
          <w:u w:val="single"/>
        </w:rPr>
        <w:t>Deposit Accounts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Deposit accounts at the dates indicated consist of the following:</w:t>
      </w:r>
    </w:p>
    <w:tbl>
      <w:tblPr>
        <w:tblW w:w="6154" w:type="dxa"/>
        <w:jc w:val="left"/>
        <w:tblInd w:w="0" w:type="dxa"/>
        <w:tblLayout w:type="fixed"/>
        <w:tblCellMar>
          <w:top w:w="28" w:type="dxa"/>
          <w:left w:w="28" w:type="dxa"/>
          <w:bottom w:w="28" w:type="dxa"/>
          <w:right w:w="28" w:type="dxa"/>
        </w:tblCellMar>
      </w:tblPr>
      <w:tblGrid>
        <w:gridCol w:w="794"/>
        <w:gridCol w:w="696"/>
        <w:gridCol w:w="699"/>
        <w:gridCol w:w="196"/>
        <w:gridCol w:w="871"/>
        <w:gridCol w:w="109"/>
        <w:gridCol w:w="109"/>
        <w:gridCol w:w="109"/>
        <w:gridCol w:w="109"/>
        <w:gridCol w:w="257"/>
        <w:gridCol w:w="1145"/>
        <w:gridCol w:w="143"/>
        <w:gridCol w:w="109"/>
        <w:gridCol w:w="109"/>
        <w:gridCol w:w="109"/>
        <w:gridCol w:w="109"/>
        <w:gridCol w:w="109"/>
        <w:gridCol w:w="109"/>
        <w:gridCol w:w="109"/>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accounts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784,950 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591,270 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1,246,807 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3,661,373 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8"/>
        </w:rPr>
        <w:t xml:space="preserve">Deposits from executive officers and directors and their associates totaled approximately $767 and $1,555 at June 30, 2024 and </w:t>
      </w:r>
      <w:r>
        <w:rPr>
          <w:rFonts w:ascii="Times New Roman;sans-serif" w:hAnsi="Times New Roman;sans-serif"/>
          <w:b w:val="false"/>
          <w:color w:val="000000"/>
          <w:sz w:val="18"/>
          <w:shd w:fill="FFFFFF" w:val="clear"/>
        </w:rPr>
        <w:t>December 31, 2023</w:t>
      </w:r>
      <w:r>
        <w:rPr>
          <w:rFonts w:ascii="Times New Roman;sans-serif" w:hAnsi="Times New Roman;sans-serif"/>
          <w:b w:val="false"/>
          <w:color w:val="000000"/>
          <w:sz w:val="18"/>
        </w:rPr>
        <w:t>, respectively.</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June 30, 2024, scheduled maturities of certificates of deposit were as follows:</w:t>
      </w:r>
    </w:p>
    <w:tbl>
      <w:tblPr>
        <w:tblW w:w="2788" w:type="dxa"/>
        <w:jc w:val="left"/>
        <w:tblInd w:w="0" w:type="dxa"/>
        <w:tblLayout w:type="fixed"/>
        <w:tblCellMar>
          <w:top w:w="28" w:type="dxa"/>
          <w:left w:w="28" w:type="dxa"/>
          <w:bottom w:w="28" w:type="dxa"/>
          <w:right w:w="28" w:type="dxa"/>
        </w:tblCellMar>
      </w:tblPr>
      <w:tblGrid>
        <w:gridCol w:w="538"/>
        <w:gridCol w:w="472"/>
        <w:gridCol w:w="474"/>
        <w:gridCol w:w="196"/>
        <w:gridCol w:w="736"/>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ans-serif" w:hAnsi="Times New Roman;sans-serif"/>
          <w:b w:val="false"/>
          <w:color w:val="000000"/>
          <w:sz w:val="18"/>
        </w:rPr>
        <w:t xml:space="preserve">Certificates of deposit with balances of $250 or greater totaled $149,288 and $118,035 at June 30, 2024 and </w:t>
      </w:r>
      <w:r>
        <w:rPr>
          <w:rFonts w:ascii="Times New Roman;sans-serif" w:hAnsi="Times New Roman;sans-serif"/>
          <w:b w:val="false"/>
          <w:color w:val="000000"/>
          <w:sz w:val="18"/>
          <w:shd w:fill="FFFFFF" w:val="clear"/>
        </w:rPr>
        <w:t>December 31, 2023</w:t>
      </w:r>
      <w:r>
        <w:rPr>
          <w:rFonts w:ascii="Times New Roman;sans-serif" w:hAnsi="Times New Roman;sans-serif"/>
          <w:b w:val="false"/>
          <w:color w:val="000000"/>
          <w:sz w:val="18"/>
        </w:rPr>
        <w:t>, respectively. Generally, deposit amounts in excess of $250 are not federally insured.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 xml:space="preserve">8. </w:t>
      </w:r>
      <w:r>
        <w:rPr>
          <w:rFonts w:ascii="Times New Roman;sans-serif" w:hAnsi="Times New Roman;sans-serif"/>
          <w:b/>
          <w:color w:val="000000"/>
          <w:sz w:val="18"/>
          <w:u w:val="single"/>
        </w:rPr>
        <w:t>Borrowings</w:t>
      </w:r>
    </w:p>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Junior Subordinated Debentures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trust preferred securities accrue and pay quarterly distributions at a floating rate of 3-month Term SOFR plus 2.20%, which was 7.53% at June 30, 2024.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trust preferred securities are mandatorily redeemable upon maturity of the debentures on March 15, 2037, or upon earlier redemption as provided in the indenture. The Company has the right to redeem the debentures purchased by the Trust, in whole or in part, on or after March 15, 2012. As specified in the indenture, if the debentures are redeemed prior to maturity, the redemption price will be the principal amount and any accrued but unpaid interest.</w:t>
      </w:r>
    </w:p>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Other Borrowings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Borrowings, outside of junior subordinated debt, consist of the following at the dates indicated:</w:t>
      </w:r>
    </w:p>
    <w:tbl>
      <w:tblPr>
        <w:tblW w:w="7561" w:type="dxa"/>
        <w:jc w:val="left"/>
        <w:tblInd w:w="0" w:type="dxa"/>
        <w:tblLayout w:type="fixed"/>
        <w:tblCellMar>
          <w:top w:w="28" w:type="dxa"/>
          <w:left w:w="28" w:type="dxa"/>
          <w:bottom w:w="28" w:type="dxa"/>
          <w:right w:w="28" w:type="dxa"/>
        </w:tblCellMar>
      </w:tblPr>
      <w:tblGrid>
        <w:gridCol w:w="788"/>
        <w:gridCol w:w="691"/>
        <w:gridCol w:w="696"/>
        <w:gridCol w:w="196"/>
        <w:gridCol w:w="736"/>
        <w:gridCol w:w="109"/>
        <w:gridCol w:w="109"/>
        <w:gridCol w:w="109"/>
        <w:gridCol w:w="109"/>
        <w:gridCol w:w="261"/>
        <w:gridCol w:w="261"/>
        <w:gridCol w:w="617"/>
        <w:gridCol w:w="109"/>
        <w:gridCol w:w="109"/>
        <w:gridCol w:w="109"/>
        <w:gridCol w:w="196"/>
        <w:gridCol w:w="736"/>
        <w:gridCol w:w="109"/>
        <w:gridCol w:w="109"/>
        <w:gridCol w:w="109"/>
        <w:gridCol w:w="109"/>
        <w:gridCol w:w="248"/>
        <w:gridCol w:w="248"/>
        <w:gridCol w:w="688"/>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Rate</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FHLB advances (short-term)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FRB advances (short-term)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Revolving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borrowings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80"/>
        <w:jc w:val="both"/>
        <w:rPr/>
      </w:pPr>
      <w:r>
        <w:rPr>
          <w:rFonts w:ascii="Times New Roman;sans-serif" w:hAnsi="Times New Roman;sans-serif"/>
          <w:b w:val="false"/>
          <w:color w:val="000000"/>
          <w:sz w:val="18"/>
        </w:rPr>
        <w:t xml:space="preserve">All qualifying one-to-four family loans, HELOCs, commercial real estate loans, multifamily loans and FHLB of Atlanta stock are pledged as collateral to secure outstanding FHLB advances while commercial construction, indirect auto, and equipment and municipal leases are pledged as collateral to secure outstanding FRB advances. At June 30, 2024 and </w:t>
      </w:r>
      <w:r>
        <w:rPr>
          <w:rFonts w:ascii="Times New Roman;sans-serif" w:hAnsi="Times New Roman;sans-serif"/>
          <w:b w:val="false"/>
          <w:color w:val="000000"/>
          <w:sz w:val="18"/>
          <w:shd w:fill="FFFFFF" w:val="clear"/>
        </w:rPr>
        <w:t>December 31, 2023</w:t>
      </w:r>
      <w:r>
        <w:rPr>
          <w:rFonts w:ascii="Times New Roman;sans-serif" w:hAnsi="Times New Roman;sans-serif"/>
          <w:b w:val="false"/>
          <w:color w:val="000000"/>
          <w:sz w:val="18"/>
        </w:rPr>
        <w:t xml:space="preserve">, the Company had the ability to borrow </w:t>
      </w:r>
      <w:r>
        <w:rPr>
          <w:rFonts w:ascii="Times New Roman;sans-serif" w:hAnsi="Times New Roman;sans-serif"/>
          <w:b w:val="false"/>
          <w:color w:val="000000"/>
          <w:sz w:val="20"/>
        </w:rPr>
        <w:t>$122,825</w:t>
      </w:r>
      <w:r>
        <w:rPr>
          <w:color w:val="000000"/>
        </w:rPr>
        <w:t xml:space="preserve"> </w:t>
      </w:r>
      <w:r>
        <w:rPr>
          <w:rFonts w:ascii="Times New Roman;sans-serif" w:hAnsi="Times New Roman;sans-serif"/>
          <w:b w:val="false"/>
          <w:color w:val="000000"/>
          <w:sz w:val="18"/>
        </w:rPr>
        <w:t xml:space="preserve">and $72,766, respectively, through additional FHLB advances and </w:t>
      </w:r>
      <w:r>
        <w:rPr>
          <w:rFonts w:ascii="Times New Roman;sans-serif" w:hAnsi="Times New Roman;sans-serif"/>
          <w:b w:val="false"/>
          <w:color w:val="000000"/>
          <w:sz w:val="20"/>
        </w:rPr>
        <w:t>$118,016</w:t>
      </w:r>
      <w:r>
        <w:rPr>
          <w:color w:val="000000"/>
        </w:rPr>
        <w:t xml:space="preserve"> </w:t>
      </w:r>
      <w:r>
        <w:rPr>
          <w:rFonts w:ascii="Times New Roman;sans-serif" w:hAnsi="Times New Roman;sans-serif"/>
          <w:b w:val="false"/>
          <w:color w:val="000000"/>
          <w:sz w:val="18"/>
        </w:rPr>
        <w:t>and $55,254, respectively, through the unused portion of a line of credit with the FRB.</w:t>
      </w:r>
    </w:p>
    <w:p>
      <w:pPr>
        <w:pStyle w:val="TextBody"/>
        <w:bidi w:val="0"/>
        <w:spacing w:lineRule="auto" w:line="288" w:before="0" w:after="160"/>
        <w:jc w:val="both"/>
        <w:rPr/>
      </w:pPr>
      <w:r>
        <w:rPr>
          <w:rFonts w:ascii="Times New Roman;sans-serif" w:hAnsi="Times New Roman;sans-serif"/>
          <w:b w:val="false"/>
          <w:color w:val="000000"/>
          <w:sz w:val="18"/>
        </w:rPr>
        <w:t xml:space="preserve">At June 30, 2024 and </w:t>
      </w:r>
      <w:r>
        <w:rPr>
          <w:rFonts w:ascii="Times New Roman;sans-serif" w:hAnsi="Times New Roman;sans-serif"/>
          <w:b w:val="false"/>
          <w:color w:val="000000"/>
          <w:sz w:val="18"/>
          <w:shd w:fill="FFFFFF" w:val="clear"/>
        </w:rPr>
        <w:t>December 31</w:t>
      </w:r>
      <w:r>
        <w:rPr>
          <w:rFonts w:ascii="Times New Roman;sans-serif" w:hAnsi="Times New Roman;sans-serif"/>
          <w:b w:val="false"/>
          <w:color w:val="000000"/>
          <w:sz w:val="18"/>
        </w:rPr>
        <w:t>, 2023</w:t>
      </w:r>
      <w:r>
        <w:rPr>
          <w:rFonts w:ascii="Times New Roman;sans-serif" w:hAnsi="Times New Roman;sans-serif"/>
          <w:b w:val="false"/>
          <w:color w:val="000000"/>
          <w:sz w:val="18"/>
          <w:shd w:fill="FFFFFF" w:val="clear"/>
        </w:rPr>
        <w:t>, the Company maintai</w:t>
      </w:r>
      <w:r>
        <w:rPr>
          <w:rFonts w:ascii="Times New Roman;sans-serif" w:hAnsi="Times New Roman;sans-serif"/>
          <w:b w:val="false"/>
          <w:color w:val="000000"/>
          <w:sz w:val="18"/>
        </w:rPr>
        <w:t xml:space="preserve">ned revolving lines of credit with three unaffiliated banks, the unused portions of which totaled $152,487 and $146,237, respectively. At June 30, 2024 and </w:t>
      </w:r>
      <w:r>
        <w:rPr>
          <w:rFonts w:ascii="Times New Roman;sans-serif" w:hAnsi="Times New Roman;sans-serif"/>
          <w:b w:val="false"/>
          <w:color w:val="000000"/>
          <w:sz w:val="18"/>
          <w:shd w:fill="FFFFFF" w:val="clear"/>
        </w:rPr>
        <w:t>December 31</w:t>
      </w:r>
      <w:r>
        <w:rPr>
          <w:rFonts w:ascii="Times New Roman;sans-serif" w:hAnsi="Times New Roman;sans-serif"/>
          <w:b w:val="false"/>
          <w:color w:val="000000"/>
          <w:sz w:val="18"/>
        </w:rPr>
        <w:t>, 2023, HomeTrust had drawn $12,513 and</w:t>
      </w:r>
      <w:r>
        <w:rPr>
          <w:color w:val="EE2724"/>
        </w:rPr>
        <w:t xml:space="preserve"> </w:t>
      </w:r>
      <w:r>
        <w:rPr>
          <w:rFonts w:ascii="Times New Roman;sans-serif" w:hAnsi="Times New Roman;sans-serif"/>
          <w:b w:val="false"/>
          <w:color w:val="000000"/>
          <w:sz w:val="18"/>
        </w:rPr>
        <w:t xml:space="preserve">$18,763, respectively, on a $40,000 revolving line of credit which bears interest at </w:t>
      </w:r>
      <w:r>
        <w:rPr>
          <w:rFonts w:ascii="Times New Roman;sans-serif" w:hAnsi="Times New Roman;sans-serif"/>
          <w:b w:val="false"/>
          <w:i/>
          <w:color w:val="000000"/>
          <w:sz w:val="18"/>
        </w:rPr>
        <w:t>The Wall Street Journal</w:t>
      </w:r>
      <w:r>
        <w:rPr>
          <w:color w:val="000000"/>
        </w:rPr>
        <w:t xml:space="preserve"> </w:t>
      </w:r>
      <w:r>
        <w:rPr>
          <w:rFonts w:ascii="Times New Roman;sans-serif" w:hAnsi="Times New Roman;sans-serif"/>
          <w:b w:val="false"/>
          <w:color w:val="000000"/>
          <w:sz w:val="18"/>
        </w:rPr>
        <w:t>prime rate plus 50 basis points, maturing on January 28, 2025, although the term may be extended for an additional year if no events of default have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9.    </w:t>
      </w:r>
      <w:r>
        <w:rPr>
          <w:rFonts w:ascii="Times New Roman;sans-serif" w:hAnsi="Times New Roman;sans-serif"/>
          <w:b/>
          <w:color w:val="000000"/>
          <w:sz w:val="18"/>
          <w:u w:val="single"/>
        </w:rPr>
        <w:t>Leases</w:t>
      </w:r>
    </w:p>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As Lessee - Operating Leases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supplemental balance sheet information related to operating leases. ROU assets are included in other assets and lease liabilities are included in other liabilities.</w:t>
      </w:r>
    </w:p>
    <w:tbl>
      <w:tblPr>
        <w:tblW w:w="6581" w:type="dxa"/>
        <w:jc w:val="left"/>
        <w:tblInd w:w="0" w:type="dxa"/>
        <w:tblLayout w:type="fixed"/>
        <w:tblCellMar>
          <w:top w:w="28" w:type="dxa"/>
          <w:left w:w="28" w:type="dxa"/>
          <w:bottom w:w="28" w:type="dxa"/>
          <w:right w:w="28" w:type="dxa"/>
        </w:tblCellMar>
      </w:tblPr>
      <w:tblGrid>
        <w:gridCol w:w="1273"/>
        <w:gridCol w:w="1115"/>
        <w:gridCol w:w="1122"/>
        <w:gridCol w:w="206"/>
        <w:gridCol w:w="680"/>
        <w:gridCol w:w="269"/>
        <w:gridCol w:w="109"/>
        <w:gridCol w:w="109"/>
        <w:gridCol w:w="109"/>
        <w:gridCol w:w="272"/>
        <w:gridCol w:w="899"/>
        <w:gridCol w:w="418"/>
      </w:tblGrid>
      <w:tr>
        <w:trPr/>
        <w:tc>
          <w:tcPr>
            <w:tcW w:w="127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balance sheet information</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terms (years)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8.8</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schedule summarizes aggregate future minimum lease payments under these operating leases at June 30, 2024:</w:t>
      </w:r>
    </w:p>
    <w:tbl>
      <w:tblPr>
        <w:tblW w:w="4295" w:type="dxa"/>
        <w:jc w:val="left"/>
        <w:tblInd w:w="0" w:type="dxa"/>
        <w:tblLayout w:type="fixed"/>
        <w:tblCellMar>
          <w:top w:w="28" w:type="dxa"/>
          <w:left w:w="28" w:type="dxa"/>
          <w:bottom w:w="28" w:type="dxa"/>
          <w:right w:w="28" w:type="dxa"/>
        </w:tblCellMar>
      </w:tblPr>
      <w:tblGrid>
        <w:gridCol w:w="1196"/>
        <w:gridCol w:w="1049"/>
        <w:gridCol w:w="1054"/>
        <w:gridCol w:w="196"/>
        <w:gridCol w:w="64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undiscounted minimum lease payments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 representing interest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liability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components of operating lease expense for the periods indicated:</w:t>
      </w:r>
    </w:p>
    <w:tbl>
      <w:tblPr>
        <w:tblW w:w="9244" w:type="dxa"/>
        <w:jc w:val="left"/>
        <w:tblInd w:w="0" w:type="dxa"/>
        <w:tblLayout w:type="fixed"/>
        <w:tblCellMar>
          <w:top w:w="28" w:type="dxa"/>
          <w:left w:w="28" w:type="dxa"/>
          <w:bottom w:w="28" w:type="dxa"/>
          <w:right w:w="28" w:type="dxa"/>
        </w:tblCellMar>
      </w:tblPr>
      <w:tblGrid>
        <w:gridCol w:w="1519"/>
        <w:gridCol w:w="1336"/>
        <w:gridCol w:w="1345"/>
        <w:gridCol w:w="269"/>
        <w:gridCol w:w="578"/>
        <w:gridCol w:w="149"/>
        <w:gridCol w:w="149"/>
        <w:gridCol w:w="149"/>
        <w:gridCol w:w="149"/>
        <w:gridCol w:w="269"/>
        <w:gridCol w:w="578"/>
        <w:gridCol w:w="149"/>
        <w:gridCol w:w="109"/>
        <w:gridCol w:w="109"/>
        <w:gridCol w:w="109"/>
        <w:gridCol w:w="245"/>
        <w:gridCol w:w="526"/>
        <w:gridCol w:w="136"/>
        <w:gridCol w:w="136"/>
        <w:gridCol w:w="136"/>
        <w:gridCol w:w="136"/>
        <w:gridCol w:w="245"/>
        <w:gridCol w:w="526"/>
        <w:gridCol w:w="192"/>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cost (included in occupancy expense, net)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Variable lease cost (included in occupancy expense, net)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Sublease income (included in other noninterest income)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lease expense, net</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As Lessee - Finance Lease</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quarter ended March 31, 2023, the Company purchased the property associated with the finance lease reported historically. The Company purchased the property for $1,249, terminating the existing land lease. Prior to the purchase, interest expense on the lease liability totaled $15 for the three months ended March 31, 2023.</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supplemental lease cash flow information for the periods indicated:</w:t>
      </w:r>
    </w:p>
    <w:tbl>
      <w:tblPr>
        <w:tblW w:w="8603" w:type="dxa"/>
        <w:jc w:val="left"/>
        <w:tblInd w:w="0" w:type="dxa"/>
        <w:tblLayout w:type="fixed"/>
        <w:tblCellMar>
          <w:top w:w="28" w:type="dxa"/>
          <w:left w:w="28" w:type="dxa"/>
          <w:bottom w:w="28" w:type="dxa"/>
          <w:right w:w="28" w:type="dxa"/>
        </w:tblCellMar>
      </w:tblPr>
      <w:tblGrid>
        <w:gridCol w:w="2288"/>
        <w:gridCol w:w="2017"/>
        <w:gridCol w:w="2024"/>
        <w:gridCol w:w="229"/>
        <w:gridCol w:w="476"/>
        <w:gridCol w:w="127"/>
        <w:gridCol w:w="127"/>
        <w:gridCol w:w="127"/>
        <w:gridCol w:w="127"/>
        <w:gridCol w:w="229"/>
        <w:gridCol w:w="652"/>
        <w:gridCol w:w="180"/>
      </w:tblGrid>
      <w:tr>
        <w:trPr/>
        <w:tc>
          <w:tcPr>
            <w:tcW w:w="2288"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ROU assets - noncash additions (operating leases)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 (operating leases)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 (finance leases)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As Lessor - General</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As Lessor - Operating Leases</w:t>
      </w:r>
    </w:p>
    <w:p>
      <w:pPr>
        <w:pStyle w:val="TextBody"/>
        <w:bidi w:val="0"/>
        <w:spacing w:lineRule="auto" w:line="288" w:before="0" w:after="80"/>
        <w:jc w:val="both"/>
        <w:rPr/>
      </w:pPr>
      <w:r>
        <w:rPr>
          <w:rFonts w:ascii="Times New Roman;sans-serif" w:hAnsi="Times New Roman;sans-serif"/>
          <w:b w:val="false"/>
          <w:color w:val="000000"/>
          <w:sz w:val="18"/>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$34,370 and $30,121 with a residual value of $15,109 and $14,958 as of June 30, 2024 and December 31</w:t>
      </w:r>
      <w:r>
        <w:rPr>
          <w:rFonts w:ascii="Times New Roman;sans-serif" w:hAnsi="Times New Roman;sans-serif"/>
          <w:b w:val="false"/>
          <w:color w:val="000000"/>
          <w:sz w:val="18"/>
          <w:shd w:fill="FFFFFF" w:val="clear"/>
        </w:rPr>
        <w:t>, 2023</w:t>
      </w:r>
      <w:r>
        <w:rPr>
          <w:rFonts w:ascii="Times New Roman;sans-serif" w:hAnsi="Times New Roman;sans-serif"/>
          <w:b w:val="false"/>
          <w:color w:val="000000"/>
          <w:sz w:val="18"/>
        </w:rPr>
        <w:t xml:space="preserve">, respectively.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total equipment finance operating lease income and depreciation expense for the periods indicated:</w:t>
      </w:r>
    </w:p>
    <w:tbl>
      <w:tblPr>
        <w:tblW w:w="6814" w:type="dxa"/>
        <w:jc w:val="left"/>
        <w:tblInd w:w="0" w:type="dxa"/>
        <w:tblLayout w:type="fixed"/>
        <w:tblCellMar>
          <w:top w:w="28" w:type="dxa"/>
          <w:left w:w="28" w:type="dxa"/>
          <w:bottom w:w="28" w:type="dxa"/>
          <w:right w:w="28" w:type="dxa"/>
        </w:tblCellMar>
      </w:tblPr>
      <w:tblGrid>
        <w:gridCol w:w="641"/>
        <w:gridCol w:w="563"/>
        <w:gridCol w:w="566"/>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income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schedule summarizes aggregate future minimum lease payments to be received at June 30, 2024:</w:t>
      </w:r>
    </w:p>
    <w:tbl>
      <w:tblPr>
        <w:tblW w:w="3831" w:type="dxa"/>
        <w:jc w:val="left"/>
        <w:tblInd w:w="0" w:type="dxa"/>
        <w:tblLayout w:type="fixed"/>
        <w:tblCellMar>
          <w:top w:w="28" w:type="dxa"/>
          <w:left w:w="28" w:type="dxa"/>
          <w:bottom w:w="28" w:type="dxa"/>
          <w:right w:w="28" w:type="dxa"/>
        </w:tblCellMar>
      </w:tblPr>
      <w:tblGrid>
        <w:gridCol w:w="1028"/>
        <w:gridCol w:w="902"/>
        <w:gridCol w:w="905"/>
        <w:gridCol w:w="196"/>
        <w:gridCol w:w="646"/>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of future minimum payments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As Lessor - Financing Leases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June 30, 2024 and 2023, interest income on equipment finance leases totaled $1,113 and $955, respectively. For the six months ended June 30, 2024 and 2023, interest income on equipment finance leases totaled $2,167 and $1,815, respectively.</w:t>
      </w:r>
    </w:p>
    <w:p>
      <w:pPr>
        <w:pStyle w:val="TextBody"/>
        <w:bidi w:val="0"/>
        <w:spacing w:lineRule="auto" w:line="288" w:before="0" w:after="80"/>
        <w:jc w:val="both"/>
        <w:rPr/>
      </w:pPr>
      <w:r>
        <w:rPr>
          <w:rFonts w:ascii="Times New Roman;sans-serif" w:hAnsi="Times New Roman;sans-serif"/>
          <w:b w:val="false"/>
          <w:color w:val="000000"/>
          <w:sz w:val="18"/>
        </w:rPr>
        <w:t>The lease receivable component of finance lease net investment included within the equipment finance class of financing receivables was $73,504 and $70,150 at June 30, 2024 and December 31</w:t>
      </w:r>
      <w:r>
        <w:rPr>
          <w:rFonts w:ascii="Times New Roman;sans-serif" w:hAnsi="Times New Roman;sans-serif"/>
          <w:b w:val="false"/>
          <w:color w:val="000000"/>
          <w:sz w:val="18"/>
          <w:shd w:fill="FFFFFF" w:val="clear"/>
        </w:rPr>
        <w:t>, 2023</w:t>
      </w:r>
      <w:r>
        <w:rPr>
          <w:rFonts w:ascii="Times New Roman;sans-serif" w:hAnsi="Times New Roman;sans-serif"/>
          <w:b w:val="false"/>
          <w:color w:val="000000"/>
          <w:sz w:val="18"/>
        </w:rPr>
        <w: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schedule summarizes, as of June 30, 2024, aggregate future minimum finance lease payments to be received:</w:t>
      </w:r>
    </w:p>
    <w:tbl>
      <w:tblPr>
        <w:tblW w:w="4295" w:type="dxa"/>
        <w:jc w:val="left"/>
        <w:tblInd w:w="0" w:type="dxa"/>
        <w:tblLayout w:type="fixed"/>
        <w:tblCellMar>
          <w:top w:w="28" w:type="dxa"/>
          <w:left w:w="28" w:type="dxa"/>
          <w:bottom w:w="28" w:type="dxa"/>
          <w:right w:w="28" w:type="dxa"/>
        </w:tblCellMar>
      </w:tblPr>
      <w:tblGrid>
        <w:gridCol w:w="1196"/>
        <w:gridCol w:w="1049"/>
        <w:gridCol w:w="1054"/>
        <w:gridCol w:w="196"/>
        <w:gridCol w:w="64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undiscounted minimum lease payments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 representing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receivable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ans-serif" w:hAnsi="Times New Roman;sans-serif"/>
          <w:b/>
          <w:color w:val="000000"/>
          <w:sz w:val="18"/>
        </w:rPr>
        <w:t>10.    </w:t>
      </w:r>
      <w:r>
        <w:rPr>
          <w:rFonts w:ascii="Times New Roman;sans-serif" w:hAnsi="Times New Roman;sans-serif"/>
          <w:b/>
          <w:color w:val="000000"/>
          <w:sz w:val="18"/>
          <w:u w:val="single"/>
        </w:rPr>
        <w:t>Equity Incentive Plan</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table below presents share-based compensation expense and the estimated related tax benefit for stock options and restricted stock for the dates indicated below:</w:t>
      </w:r>
    </w:p>
    <w:tbl>
      <w:tblPr>
        <w:tblW w:w="7669" w:type="dxa"/>
        <w:jc w:val="left"/>
        <w:tblInd w:w="0" w:type="dxa"/>
        <w:tblLayout w:type="fixed"/>
        <w:tblCellMar>
          <w:top w:w="28" w:type="dxa"/>
          <w:left w:w="28" w:type="dxa"/>
          <w:bottom w:w="28" w:type="dxa"/>
          <w:right w:w="28" w:type="dxa"/>
        </w:tblCellMar>
      </w:tblPr>
      <w:tblGrid>
        <w:gridCol w:w="951"/>
        <w:gridCol w:w="836"/>
        <w:gridCol w:w="838"/>
        <w:gridCol w:w="269"/>
        <w:gridCol w:w="578"/>
        <w:gridCol w:w="149"/>
        <w:gridCol w:w="149"/>
        <w:gridCol w:w="149"/>
        <w:gridCol w:w="149"/>
        <w:gridCol w:w="269"/>
        <w:gridCol w:w="578"/>
        <w:gridCol w:w="149"/>
        <w:gridCol w:w="109"/>
        <w:gridCol w:w="109"/>
        <w:gridCol w:w="109"/>
        <w:gridCol w:w="245"/>
        <w:gridCol w:w="526"/>
        <w:gridCol w:w="136"/>
        <w:gridCol w:w="136"/>
        <w:gridCol w:w="136"/>
        <w:gridCol w:w="136"/>
        <w:gridCol w:w="245"/>
        <w:gridCol w:w="526"/>
        <w:gridCol w:w="192"/>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table below presents stock option activity and related information for the six months ended June 30, 2024 and 2023:</w:t>
      </w:r>
    </w:p>
    <w:tbl>
      <w:tblPr>
        <w:tblW w:w="10205" w:type="dxa"/>
        <w:jc w:val="left"/>
        <w:tblInd w:w="0" w:type="dxa"/>
        <w:tblLayout w:type="fixed"/>
        <w:tblCellMar>
          <w:top w:w="28" w:type="dxa"/>
          <w:left w:w="28" w:type="dxa"/>
          <w:bottom w:w="28" w:type="dxa"/>
          <w:right w:w="28" w:type="dxa"/>
        </w:tblCellMar>
      </w:tblPr>
      <w:tblGrid>
        <w:gridCol w:w="1042"/>
        <w:gridCol w:w="913"/>
        <w:gridCol w:w="919"/>
        <w:gridCol w:w="397"/>
        <w:gridCol w:w="399"/>
        <w:gridCol w:w="241"/>
        <w:gridCol w:w="109"/>
        <w:gridCol w:w="109"/>
        <w:gridCol w:w="109"/>
        <w:gridCol w:w="541"/>
        <w:gridCol w:w="1539"/>
        <w:gridCol w:w="303"/>
        <w:gridCol w:w="109"/>
        <w:gridCol w:w="109"/>
        <w:gridCol w:w="109"/>
        <w:gridCol w:w="664"/>
        <w:gridCol w:w="664"/>
        <w:gridCol w:w="665"/>
        <w:gridCol w:w="109"/>
        <w:gridCol w:w="109"/>
        <w:gridCol w:w="109"/>
        <w:gridCol w:w="201"/>
        <w:gridCol w:w="571"/>
        <w:gridCol w:w="165"/>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Contractual 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outstanding at December 31, 2022</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849,623 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outstanding at June 30, 2023</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569,224 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Exercisable at June 30, 2023</w:t>
            </w:r>
          </w:p>
        </w:tc>
        <w:tc>
          <w:tcPr>
            <w:tcW w:w="7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493,264 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3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June 30, 2023</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75,960 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27.56 </w:t>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outstanding at December 31, 2023</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534,350 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outstanding at June 30, 2024</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Exercisable at June 30, 2024</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451,780 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June 30, 2024</w:t>
            </w:r>
          </w:p>
        </w:tc>
        <w:tc>
          <w:tcPr>
            <w:tcW w:w="7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48,970 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27.77 </w:t>
            </w:r>
          </w:p>
        </w:tc>
        <w:tc>
          <w:tcPr>
            <w:tcW w:w="3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There were no options granted during the six months ended June 30, 2024 and 2023.</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At June 30, 2024, the Company had $300 of unrecognized compensation expense related to 48,970 stock options originally scheduled to vest over a five-year period. The weighted average period over which compensation cost related to non-vested awards is expected to be recognized was 1.2 years at June 30, 2024. At June 30, 2023, the Company had $478 of unrecognized compensation expense related to 75,960 stock options originally scheduled to vest over a five-year period. The weighted average period over which compensation cost related to non-vested awards is expected to be recognized was 1.6 years at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table below presents restricted stock award activity and related information:</w:t>
      </w:r>
    </w:p>
    <w:tbl>
      <w:tblPr>
        <w:tblW w:w="9679" w:type="dxa"/>
        <w:jc w:val="left"/>
        <w:tblInd w:w="0" w:type="dxa"/>
        <w:tblLayout w:type="fixed"/>
        <w:tblCellMar>
          <w:top w:w="28" w:type="dxa"/>
          <w:left w:w="28" w:type="dxa"/>
          <w:bottom w:w="28" w:type="dxa"/>
          <w:right w:w="28" w:type="dxa"/>
        </w:tblCellMar>
      </w:tblPr>
      <w:tblGrid>
        <w:gridCol w:w="967"/>
        <w:gridCol w:w="849"/>
        <w:gridCol w:w="854"/>
        <w:gridCol w:w="449"/>
        <w:gridCol w:w="449"/>
        <w:gridCol w:w="451"/>
        <w:gridCol w:w="109"/>
        <w:gridCol w:w="109"/>
        <w:gridCol w:w="109"/>
        <w:gridCol w:w="809"/>
        <w:gridCol w:w="809"/>
        <w:gridCol w:w="811"/>
        <w:gridCol w:w="109"/>
        <w:gridCol w:w="109"/>
        <w:gridCol w:w="109"/>
        <w:gridCol w:w="300"/>
        <w:gridCol w:w="851"/>
        <w:gridCol w:w="168"/>
        <w:gridCol w:w="109"/>
        <w:gridCol w:w="109"/>
        <w:gridCol w:w="109"/>
        <w:gridCol w:w="201"/>
        <w:gridCol w:w="571"/>
        <w:gridCol w:w="159"/>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Restricted</w:t>
            </w:r>
          </w:p>
          <w:p>
            <w:pPr>
              <w:pStyle w:val="TableContents"/>
              <w:bidi w:val="0"/>
              <w:spacing w:lineRule="auto" w:line="240" w:before="0" w:after="0"/>
              <w:jc w:val="center"/>
              <w:rPr/>
            </w:pPr>
            <w:r>
              <w:rPr>
                <w:rFonts w:ascii="Times New Roman;sans-serif" w:hAnsi="Times New Roman;sans-serif"/>
                <w:b/>
                <w:color w:val="000000"/>
                <w:sz w:val="18"/>
              </w:rPr>
              <w:t>Stock Awards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Performance-Based Restricted</w:t>
            </w:r>
          </w:p>
          <w:p>
            <w:pPr>
              <w:pStyle w:val="TableContents"/>
              <w:bidi w:val="0"/>
              <w:spacing w:lineRule="auto" w:line="240" w:before="0" w:after="0"/>
              <w:jc w:val="center"/>
              <w:rPr/>
            </w:pPr>
            <w:r>
              <w:rPr>
                <w:rFonts w:ascii="Times New Roman;sans-serif" w:hAnsi="Times New Roman;sans-serif"/>
                <w:b/>
                <w:color w:val="000000"/>
                <w:sz w:val="18"/>
              </w:rPr>
              <w:t>Stock Units</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December 31, 2022</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100,992 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22,843 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17,519 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(41,590)</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June 30, 2023</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108,851 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37,330 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December 31, 2023</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106,143 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25,001 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72,502 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15,899 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(36,637)</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June 30, 2024</w:t>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142,008 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40,900 </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(1)Restricted stock awards are scheduled to vest over 1.0 year for director awards and 5.0 years for employee awards.</w:t>
      </w:r>
    </w:p>
    <w:p>
      <w:pPr>
        <w:pStyle w:val="TextBody"/>
        <w:bidi w:val="0"/>
        <w:spacing w:lineRule="auto" w:line="288" w:before="0" w:after="10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(2)Performance-based restricted stock units are scheduled to vest over 3.0 years assuming the applicable financial goals are met.</w:t>
      </w:r>
    </w:p>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At June 30, 2024, unrecognized compensation expense was $3,982 related to 182,908 shares of restricted stock and restricted stock units. The weighted average period over which compensation cost related to non-vested awards was expected to be recognized was 1.8 years at June 30, 2024. At June 30, 2023, unrecognized compensation expense was $3,154 related to 146,181 shares of restricted stock and restricted stock units. The weighted average period over which compensation cost related to non-vested awards was expected to be recognized was 1.8 years at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ans-serif" w:hAnsi="Times New Roman;sans-serif"/>
          <w:b/>
          <w:color w:val="000000"/>
          <w:sz w:val="18"/>
        </w:rPr>
        <w:t>11.    </w:t>
      </w:r>
      <w:r>
        <w:rPr>
          <w:rFonts w:ascii="Times New Roman;sans-serif" w:hAnsi="Times New Roman;sans-serif"/>
          <w:b/>
          <w:color w:val="000000"/>
          <w:sz w:val="18"/>
          <w:u w:val="single"/>
        </w:rPr>
        <w:t>Net Income per Share</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is a reconciliation of the numerator and denominator of basic and diluted net income per common share as of the dates indicated:</w:t>
      </w:r>
    </w:p>
    <w:tbl>
      <w:tblPr>
        <w:tblW w:w="10205" w:type="dxa"/>
        <w:jc w:val="left"/>
        <w:tblInd w:w="0" w:type="dxa"/>
        <w:tblLayout w:type="fixed"/>
        <w:tblCellMar>
          <w:top w:w="28" w:type="dxa"/>
          <w:left w:w="28" w:type="dxa"/>
          <w:bottom w:w="28" w:type="dxa"/>
          <w:right w:w="28" w:type="dxa"/>
        </w:tblCellMar>
      </w:tblPr>
      <w:tblGrid>
        <w:gridCol w:w="1824"/>
        <w:gridCol w:w="1511"/>
        <w:gridCol w:w="1526"/>
        <w:gridCol w:w="223"/>
        <w:gridCol w:w="738"/>
        <w:gridCol w:w="116"/>
        <w:gridCol w:w="116"/>
        <w:gridCol w:w="116"/>
        <w:gridCol w:w="116"/>
        <w:gridCol w:w="223"/>
        <w:gridCol w:w="738"/>
        <w:gridCol w:w="116"/>
        <w:gridCol w:w="109"/>
        <w:gridCol w:w="109"/>
        <w:gridCol w:w="109"/>
        <w:gridCol w:w="223"/>
        <w:gridCol w:w="738"/>
        <w:gridCol w:w="109"/>
        <w:gridCol w:w="109"/>
        <w:gridCol w:w="109"/>
        <w:gridCol w:w="109"/>
        <w:gridCol w:w="223"/>
        <w:gridCol w:w="738"/>
        <w:gridCol w:w="157"/>
      </w:tblGrid>
      <w:tr>
        <w:trPr/>
        <w:tc>
          <w:tcPr>
            <w:tcW w:w="182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 of earnings to participating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 for basic and diluted EPS - net income available to common stockholders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16,883,028 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16,774,661 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16,400,370 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assumed 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16,904,098 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16,781,923 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16,888,550 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16,427,587 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 - basic</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0.91 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 - 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Potential dilutive shares are excluded from the computation of earnings per share if their effect is anti-dilutive. There were 109,450 and 537,524 stock options that were anti-dilutive as of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ans-serif" w:hAnsi="Times New Roman;sans-serif"/>
          <w:b/>
          <w:color w:val="000000"/>
          <w:sz w:val="18"/>
        </w:rPr>
        <w:t>12.    </w:t>
      </w:r>
      <w:r>
        <w:rPr>
          <w:rFonts w:ascii="Times New Roman;sans-serif" w:hAnsi="Times New Roman;sans-serif"/>
          <w:b/>
          <w:color w:val="000000"/>
          <w:sz w:val="18"/>
          <w:u w:val="single"/>
        </w:rPr>
        <w:t>Commitments and Contingencies</w:t>
      </w:r>
    </w:p>
    <w:p>
      <w:pPr>
        <w:pStyle w:val="TextBody"/>
        <w:bidi w:val="0"/>
        <w:spacing w:lineRule="auto" w:line="288" w:before="0" w:after="80"/>
        <w:jc w:val="both"/>
        <w:rPr/>
      </w:pPr>
      <w:r>
        <w:rPr>
          <w:rFonts w:ascii="Times New Roman;sans-serif" w:hAnsi="Times New Roman;sans-serif"/>
          <w:b w:val="false"/>
          <w:color w:val="000000"/>
          <w:sz w:val="18"/>
          <w:u w:val="single"/>
        </w:rPr>
        <w:t>Loan Commitments</w:t>
      </w:r>
      <w:r>
        <w:rPr>
          <w:color w:val="000000"/>
        </w:rPr>
        <w:t xml:space="preserve"> – </w:t>
      </w:r>
      <w:r>
        <w:rPr>
          <w:rFonts w:ascii="Times New Roman;sans-serif" w:hAnsi="Times New Roman;sans-serif"/>
          <w:b w:val="false"/>
          <w:color w:val="000000"/>
          <w:sz w:val="18"/>
        </w:rPr>
        <w:t>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The table below presents details of loan commitments outstanding as of the dates indicated:</w:t>
      </w:r>
    </w:p>
    <w:tbl>
      <w:tblPr>
        <w:tblW w:w="6386" w:type="dxa"/>
        <w:jc w:val="left"/>
        <w:tblInd w:w="0" w:type="dxa"/>
        <w:tblLayout w:type="fixed"/>
        <w:tblCellMar>
          <w:top w:w="28" w:type="dxa"/>
          <w:left w:w="28" w:type="dxa"/>
          <w:bottom w:w="28" w:type="dxa"/>
          <w:right w:w="28" w:type="dxa"/>
        </w:tblCellMar>
      </w:tblPr>
      <w:tblGrid>
        <w:gridCol w:w="1157"/>
        <w:gridCol w:w="1015"/>
        <w:gridCol w:w="1023"/>
        <w:gridCol w:w="239"/>
        <w:gridCol w:w="902"/>
        <w:gridCol w:w="133"/>
        <w:gridCol w:w="109"/>
        <w:gridCol w:w="109"/>
        <w:gridCol w:w="109"/>
        <w:gridCol w:w="287"/>
        <w:gridCol w:w="1078"/>
        <w:gridCol w:w="225"/>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Variable rate commitments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42,826 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Fixed rate commitments</w:t>
            </w:r>
            <w:r>
              <w:rPr>
                <w:rFonts w:ascii="Times New Roman;sans-serif" w:hAnsi="Times New Roman;sans-serif"/>
                <w:b w:val="false"/>
                <w:color w:val="000000"/>
                <w:sz w:val="12"/>
              </w:rPr>
              <w:t>(1)</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loan commitments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70,508 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Range of fixed interest rates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3.38% - 14.71%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2.11% - 11.25%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Undisbursed portions of construction loans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Pre-approved but unused lines of credit</w:t>
            </w:r>
            <w:r>
              <w:rPr>
                <w:rFonts w:ascii="Times New Roman;sans-serif" w:hAnsi="Times New Roman;sans-serif"/>
                <w:b w:val="false"/>
                <w:color w:val="000000"/>
                <w:sz w:val="12"/>
              </w:rPr>
              <w:t>(2)</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690,566 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(1)Fixed rate commitments had terms ranging from three to 30 years as of each date presented.</w:t>
      </w:r>
    </w:p>
    <w:p>
      <w:pPr>
        <w:pStyle w:val="TextBody"/>
        <w:bidi w:val="0"/>
        <w:spacing w:lineRule="auto" w:line="288" w:before="0" w:after="10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(2)Principally second mortgage home equity loans and overdraft protection loans.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commitments presented in the above table represent the Company’s exposure to credit risk and, in the opinion of management, have no more than the normal lending risk that the Company commits to its borrowers.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June 30, 2024 or December 31, 2023.</w:t>
      </w:r>
    </w:p>
    <w:p>
      <w:pPr>
        <w:pStyle w:val="TextBody"/>
        <w:bidi w:val="0"/>
        <w:spacing w:lineRule="auto" w:line="288" w:before="0" w:after="80"/>
        <w:jc w:val="both"/>
        <w:rPr/>
      </w:pPr>
      <w:r>
        <w:rPr>
          <w:rFonts w:ascii="Times New Roman;sans-serif" w:hAnsi="Times New Roman;sans-serif"/>
          <w:b w:val="false"/>
          <w:color w:val="000000"/>
          <w:sz w:val="18"/>
          <w:u w:val="single"/>
        </w:rPr>
        <w:t>SBIC Commitments</w:t>
      </w:r>
      <w:r>
        <w:rPr>
          <w:color w:val="000000"/>
        </w:rPr>
        <w:t xml:space="preserve"> – </w:t>
      </w:r>
      <w:r>
        <w:rPr>
          <w:rFonts w:ascii="Times New Roman;sans-serif" w:hAnsi="Times New Roman;sans-serif"/>
          <w:b w:val="false"/>
          <w:color w:val="000000"/>
          <w:sz w:val="18"/>
        </w:rPr>
        <w:t>As of June 30, 2024, the Company had committed $28,000 across nine SBIC investments with $9,810 remaining to be drawn, while as of December 31, 2023, the Company had committed $24,000 across eight SBIC investments with $7,984 remaining to be drawn. Although the remaining capital commitments may or may not be called in the future, under the terms of the associated limited partnership agreements, the Company's exposure will not extend beyond the amount of the original commitments.</w:t>
      </w:r>
    </w:p>
    <w:p>
      <w:pPr>
        <w:pStyle w:val="TextBody"/>
        <w:bidi w:val="0"/>
        <w:spacing w:lineRule="auto" w:line="288" w:before="0" w:after="80"/>
        <w:jc w:val="both"/>
        <w:rPr/>
      </w:pPr>
      <w:r>
        <w:rPr>
          <w:rFonts w:ascii="Times New Roman;sans-serif" w:hAnsi="Times New Roman;sans-serif"/>
          <w:b w:val="false"/>
          <w:color w:val="000000"/>
          <w:sz w:val="18"/>
          <w:u w:val="single"/>
        </w:rPr>
        <w:t>Guarantees</w:t>
      </w:r>
      <w:r>
        <w:rPr>
          <w:color w:val="000000"/>
        </w:rPr>
        <w:t xml:space="preserve"> – </w:t>
      </w:r>
      <w:r>
        <w:rPr>
          <w:rFonts w:ascii="Times New Roman;sans-serif" w:hAnsi="Times New Roman;sans-serif"/>
          <w:b w:val="false"/>
          <w:color w:val="000000"/>
          <w:sz w:val="18"/>
        </w:rPr>
        <w:t>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June 30, 2024 and December 31, 2023 were $53,060 and $50,897, respectively. There was no liability recorded for these letters of credit at June 30, 2024 or December 31, 2023.</w:t>
      </w:r>
    </w:p>
    <w:p>
      <w:pPr>
        <w:pStyle w:val="TextBody"/>
        <w:bidi w:val="0"/>
        <w:spacing w:lineRule="auto" w:line="288" w:before="0" w:after="160"/>
        <w:jc w:val="both"/>
        <w:rPr/>
      </w:pPr>
      <w:r>
        <w:rPr>
          <w:rFonts w:ascii="Times New Roman;sans-serif" w:hAnsi="Times New Roman;sans-serif"/>
          <w:b w:val="false"/>
          <w:color w:val="000000"/>
          <w:sz w:val="18"/>
          <w:u w:val="single"/>
        </w:rPr>
        <w:t>Litigation</w:t>
      </w:r>
      <w:r>
        <w:rPr>
          <w:color w:val="000000"/>
        </w:rPr>
        <w:t xml:space="preserve"> – </w:t>
      </w:r>
      <w:r>
        <w:rPr>
          <w:rFonts w:ascii="Times New Roman;sans-serif" w:hAnsi="Times New Roman;sans-serif"/>
          <w:b w:val="false"/>
          <w:color w:val="000000"/>
          <w:sz w:val="18"/>
        </w:rPr>
        <w:t>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sans-serif" w:hAnsi="Times New Roman;sans-serif"/>
          <w:b/>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ans-serif" w:hAnsi="Times New Roman;sans-serif"/>
          <w:b/>
          <w:color w:val="000000"/>
          <w:sz w:val="18"/>
        </w:rPr>
        <w:t>13.    </w:t>
      </w:r>
      <w:r>
        <w:rPr>
          <w:rFonts w:ascii="Times New Roman;sans-serif" w:hAnsi="Times New Roman;sans-serif"/>
          <w:b/>
          <w:color w:val="000000"/>
          <w:sz w:val="18"/>
          <w:u w:val="single"/>
        </w:rPr>
        <w:t>Fair Value of Financial Instruments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pStyle w:val="TextBody"/>
        <w:bidi w:val="0"/>
        <w:spacing w:lineRule="auto" w:line="288" w:before="0" w:after="80"/>
        <w:ind w:left="0" w:right="0" w:hanging="810"/>
        <w:jc w:val="both"/>
        <w:rPr>
          <w:rFonts w:ascii="Times New Roman;sans-serif" w:hAnsi="Times New Roman;sans-serif"/>
          <w:b w:val="false"/>
          <w:color w:val="000000"/>
          <w:sz w:val="18"/>
        </w:rPr>
      </w:pPr>
      <w:r>
        <w:rPr>
          <w:rFonts w:ascii="Times New Roman;sans-serif" w:hAnsi="Times New Roman;sans-serif"/>
          <w:b w:val="false"/>
          <w:color w:val="000000"/>
          <w:sz w:val="18"/>
        </w:rPr>
        <w:t>Level 1:    Quoted prices (unadjusted) for identical assets or liabilities in active markets that the entity has the ability to access as of the measurement date.</w:t>
      </w:r>
    </w:p>
    <w:p>
      <w:pPr>
        <w:pStyle w:val="TextBody"/>
        <w:bidi w:val="0"/>
        <w:spacing w:lineRule="auto" w:line="288" w:before="0" w:after="80"/>
        <w:ind w:left="0" w:right="0" w:hanging="810"/>
        <w:jc w:val="both"/>
        <w:rPr>
          <w:rFonts w:ascii="Times New Roman;sans-serif" w:hAnsi="Times New Roman;sans-serif"/>
          <w:b w:val="false"/>
          <w:color w:val="000000"/>
          <w:sz w:val="18"/>
        </w:rPr>
      </w:pPr>
      <w:r>
        <w:rPr>
          <w:rFonts w:ascii="Times New Roman;sans-serif" w:hAnsi="Times New Roman;sans-serif"/>
          <w:b w:val="false"/>
          <w:color w:val="000000"/>
          <w:sz w:val="18"/>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0" w:after="80"/>
        <w:ind w:left="0" w:right="0" w:hanging="810"/>
        <w:jc w:val="both"/>
        <w:rPr>
          <w:rFonts w:ascii="Times New Roman;sans-serif" w:hAnsi="Times New Roman;sans-serif"/>
          <w:b w:val="false"/>
          <w:color w:val="000000"/>
          <w:sz w:val="18"/>
        </w:rPr>
      </w:pPr>
      <w:r>
        <w:rPr>
          <w:rFonts w:ascii="Times New Roman;sans-serif" w:hAnsi="Times New Roman;sans-serif"/>
          <w:b w:val="false"/>
          <w:color w:val="000000"/>
          <w:sz w:val="18"/>
        </w:rPr>
        <w:t>Level 3:    Significant unobservable inputs that reflect a company's own assumptions about the assumptions that market participants would use in pricing an asset or liability.</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 financial instrument's level within the fair value hierarchy is based on the lowest level of any input that is significant to the fair value measurement. The following is a description of valuation methodologies used for assets recorded at fair value. As of both June 30, 2024 and December 31, 2023, the Company did not have any liabilities recorded at fair value.</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methods of determining the fair value of assets and liabilities presented in this note are consistent with the methodologies disclosed in Note 20 of the 2023 Form 10-KT.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Financial Assets Recorded at Fair Value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financial assets measured at fair value on a recurring basis at the dates indicated:</w:t>
      </w:r>
    </w:p>
    <w:tbl>
      <w:tblPr>
        <w:tblW w:w="7515" w:type="dxa"/>
        <w:jc w:val="left"/>
        <w:tblInd w:w="0" w:type="dxa"/>
        <w:tblLayout w:type="fixed"/>
        <w:tblCellMar>
          <w:top w:w="28" w:type="dxa"/>
          <w:left w:w="28" w:type="dxa"/>
          <w:bottom w:w="28" w:type="dxa"/>
          <w:right w:w="28" w:type="dxa"/>
        </w:tblCellMar>
      </w:tblPr>
      <w:tblGrid>
        <w:gridCol w:w="1080"/>
        <w:gridCol w:w="951"/>
        <w:gridCol w:w="954"/>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40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 securities available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securities available for sale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Loans held for sale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tbl>
      <w:tblPr>
        <w:tblW w:w="7515" w:type="dxa"/>
        <w:jc w:val="left"/>
        <w:tblInd w:w="0" w:type="dxa"/>
        <w:tblLayout w:type="fixed"/>
        <w:tblCellMar>
          <w:top w:w="28" w:type="dxa"/>
          <w:left w:w="28" w:type="dxa"/>
          <w:bottom w:w="28" w:type="dxa"/>
          <w:right w:w="28" w:type="dxa"/>
        </w:tblCellMar>
      </w:tblPr>
      <w:tblGrid>
        <w:gridCol w:w="1080"/>
        <w:gridCol w:w="951"/>
        <w:gridCol w:w="954"/>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40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 securities available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securities available for sale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Loans held for sale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Loans held for sale carried at fair value are valued at the individual loan level using quoted secondary market prices.</w:t>
      </w:r>
    </w:p>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There were no transfers between levels during the six months ended June 30, 2024 or December 31, 2023.</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financial assets measured at fair value on a non-recurring basis at the dates indicated:</w:t>
      </w:r>
    </w:p>
    <w:tbl>
      <w:tblPr>
        <w:tblW w:w="7515" w:type="dxa"/>
        <w:jc w:val="left"/>
        <w:tblInd w:w="0" w:type="dxa"/>
        <w:tblLayout w:type="fixed"/>
        <w:tblCellMar>
          <w:top w:w="28" w:type="dxa"/>
          <w:left w:w="28" w:type="dxa"/>
          <w:bottom w:w="28" w:type="dxa"/>
          <w:right w:w="28" w:type="dxa"/>
        </w:tblCellMar>
      </w:tblPr>
      <w:tblGrid>
        <w:gridCol w:w="1211"/>
        <w:gridCol w:w="1063"/>
        <w:gridCol w:w="1071"/>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Collateral dependent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1091"/>
        <w:gridCol w:w="958"/>
        <w:gridCol w:w="965"/>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Collateral dependent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stated carrying value and estimated fair value amounts of financial instruments as of June 30, 2024 and December 31, 2023, are summarized below:</w:t>
      </w:r>
    </w:p>
    <w:tbl>
      <w:tblPr>
        <w:tblW w:w="10205" w:type="dxa"/>
        <w:jc w:val="center"/>
        <w:tblInd w:w="0" w:type="dxa"/>
        <w:tblLayout w:type="fixed"/>
        <w:tblCellMar>
          <w:top w:w="28" w:type="dxa"/>
          <w:left w:w="28" w:type="dxa"/>
          <w:bottom w:w="28" w:type="dxa"/>
          <w:right w:w="28" w:type="dxa"/>
        </w:tblCellMar>
      </w:tblPr>
      <w:tblGrid>
        <w:gridCol w:w="1369"/>
        <w:gridCol w:w="1194"/>
        <w:gridCol w:w="120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82"/>
        <w:gridCol w:w="589"/>
        <w:gridCol w:w="109"/>
        <w:gridCol w:w="109"/>
        <w:gridCol w:w="109"/>
        <w:gridCol w:w="109"/>
        <w:gridCol w:w="282"/>
        <w:gridCol w:w="589"/>
        <w:gridCol w:w="155"/>
      </w:tblGrid>
      <w:tr>
        <w:trPr/>
        <w:tc>
          <w:tcPr>
            <w:tcW w:w="136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 in other banks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and FRB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SBIC investments, at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the lower of cost or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3,513,709 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and NOW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9"/>
        <w:gridCol w:w="1194"/>
        <w:gridCol w:w="120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82"/>
        <w:gridCol w:w="589"/>
        <w:gridCol w:w="109"/>
        <w:gridCol w:w="109"/>
        <w:gridCol w:w="109"/>
        <w:gridCol w:w="109"/>
        <w:gridCol w:w="282"/>
        <w:gridCol w:w="589"/>
        <w:gridCol w:w="155"/>
      </w:tblGrid>
      <w:tr>
        <w:trPr/>
        <w:tc>
          <w:tcPr>
            <w:tcW w:w="136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 in other banks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and FRB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SBIC investments, at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the lower of cost or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3,472,491 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and NOW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had off-balance sheet financial commitments, which included approximately $996,439 and $982,397 of commitments to originate loans, undisbursed portions of construction loans, unused lines of credit and standby letters of credit at June 30, 2024 and December 31, 2023, respectively (see "Note 12 – Commitments and Contingencies"). Since these commitments are based on current rates, the carrying amount approximates the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Forward-Looking Statements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factors that could result in material differentiation include, but are not limited to:</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impact of bank failures or adverse developments involving other banks and related negative press about the banking industry in general on investor and depositor sentiment;</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remaining effects of the COVID-19 pandemic on general economic and financial market conditions and on public health, both nationally and in our market areas;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expected revenues, cost savings, synergies and other benefits from our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changes in general economic conditions, both nationally and in our market areas;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changes in the levels of general interest rates, and the relative differences between short and long term interest rates, deposit interest rates, our net interest margin and funding sources and the effects of inflation or a potential recession;</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fluctuations in the demand for loans, the number of unsold homes, land and other properties and fluctuations in real estate values in our market areas;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decreases in the secondary market for the sale of loans that we originate;</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results of examinations of us by the Federal Reserve, the NCCOB, or other regulatory authorities, including the possibility that any such regulatory authority may, among other things, require us to increase our ACL, write-down assets, change our regulatory capital position or affect our ability to borrow funds or maintain or increase deposits, which could adversely affect our liquidity and earnings;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legislative or regulatory changes that adversely affect our business including the effects of the Dodd-Frank Act, changes in laws or regulations, changes in regulatory policies and principles or the application or interpretation of laws and regulations by regulatory agencies and tax authorities, including changes in deferred tax asset and liability activity, and the interpretation of regulatory capital or other rules, including as a result of Basel III;</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our ability to attract and retain deposits;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our ability to access cost-effective funding and maintain sufficient liquidity;</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management's assumptions in determining the adequacy of the ACL;</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our ability to control operating costs and expenses, especially costs associated with our operation as a public company;</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use of estimates in determining the fair value of certain assets, which estimates may prove to be incorrect and result in significant declines in valuation;</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difficulties in reducing risks associated with the loans on our balance sheet;</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staffing fluctuations in response to product demand or the implementation of corporate strategies that affect our workforce and potential associated charges;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disruptions, security breaches, or other adverse events, failures or interruptions in, or attacks on, our information technology systems or on the third-party vendors who perform several of our critical processing functions;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our ability to retain key members of our senior management team;</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costs and effects of litigation, including settlements and judgments;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increased competitive pressures among financial services companies;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changes in consumer spending, borrowing and savings habits;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availability of resources to address changes in laws, rules, or regulations or to respond to regulatory actions;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adverse changes in the securities markets;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inability of key third-party providers to perform their obligations to us;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changes in accounting principles, policies or guidelines and practices, as may be adopted by the financial institution regulatory agencies, the Public Company Accounting Oversight Board or the FASB;</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other economic, competitive, governmental, regulatory, and technological factors affecting our operations, pricing, products and services; and</w:t>
      </w:r>
    </w:p>
    <w:p>
      <w:pPr>
        <w:pStyle w:val="TextBody"/>
        <w:bidi w:val="0"/>
        <w:spacing w:lineRule="auto" w:line="288" w:before="0" w:after="80"/>
        <w:ind w:left="0" w:right="0" w:hanging="270"/>
        <w:jc w:val="both"/>
        <w:rPr/>
      </w:pPr>
      <w:r>
        <w:rPr>
          <w:color w:val="000000"/>
        </w:rPr>
        <w:t>•</w:t>
      </w:r>
      <w:r>
        <w:rPr>
          <w:rFonts w:ascii="Times New Roman;sans-serif" w:hAnsi="Times New Roman;sans-serif"/>
          <w:b w:val="false"/>
          <w:color w:val="000000"/>
          <w:sz w:val="18"/>
        </w:rPr>
        <w:t>other risks detailed from time to time in documents we file with or furnish to the SEC, including this Form 10-Q.</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As used throughout this report, the terms “we,” “our,” “us,” “HomeTrust Bancshares” or the “Company” refer to HomeTrust Bancshares, Inc. and its consolidated subsidiaries, including HomeTrust Bank (“HomeTrust” or "Bank")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Overview</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At June 30, 2024, the Company had consolidated total assets of $4.7 billion, total deposits of $3.7 billion and stockholders' equity of $523.6 million. The Company has not engaged in any significant activity other than holding the stock of the Bank. Accordingly, the information set forth in this Form 10-Q, including the consolidated unaudited financial statements and related data, relates primarily to the Bank and its subsidiary.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Bank has more than 30 locations across Georgia,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and other consumer loans. We also originate one-to-four family loans, SBA loans and HELOCs to sell to third-parties. In addition, we invest in debt securities issued by United States Government agencies and GSEs, municipal bonds, corporate bonds, commercial paper and certificates of deposit insured by the FDIC. We offer a variety of deposit accounts for individuals, businesses and nonprofit organizations.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 A secondary source of income is noninterest income, which includes revenue we receive from providing products and services including service charges and fees on deposit accounts, loan income and fees, gains on sale of loans held for sale, BOLI income and operating lease income.</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An offset to net interest income is the provision for credit losses to establish the ACL at a level that provides for ECLs inherent in our loan portfolio, off balance sheet commitments and available for sale debt securities. See "Note 1 – Summary of Significant Accounting Policies" in Item 1 of our 2023 Form 10-KT for further discussion.</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Our noninterest expenses consist primarily of salaries and employee benefits, occupancy expenses, marketing and computer services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Critical Accounting Policies and Estimates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represents our critical accounting policy:</w:t>
      </w:r>
    </w:p>
    <w:p>
      <w:pPr>
        <w:pStyle w:val="TextBody"/>
        <w:bidi w:val="0"/>
        <w:spacing w:lineRule="auto" w:line="288" w:before="0" w:after="80"/>
        <w:jc w:val="both"/>
        <w:rPr/>
      </w:pPr>
      <w:r>
        <w:rPr>
          <w:rFonts w:ascii="Times New Roman;sans-serif" w:hAnsi="Times New Roman;sans-serif"/>
          <w:b/>
          <w:i/>
          <w:color w:val="000000"/>
          <w:sz w:val="18"/>
        </w:rPr>
        <w:t>Allowance for Credit Losses, or ACL, on Loans.</w:t>
      </w:r>
      <w:r>
        <w:rPr>
          <w:color w:val="000000"/>
        </w:rPr>
        <w:t> </w:t>
      </w:r>
      <w:r>
        <w:rPr>
          <w:rFonts w:ascii="Times New Roman;sans-serif" w:hAnsi="Times New Roman;sans-serif"/>
          <w:b w:val="false"/>
          <w:color w:val="000000"/>
          <w:sz w:val="18"/>
        </w:rPr>
        <w:t>The ACL on loans held for investment reflects our estimate of credit losses that will result from the inability of our borrowers to make required loan payments. We charge off loans against the ACL and subsequent recoveries, if any, increase the ACL when they are recognized. We use a systematic methodology to determine our ACL for loans held for investment and certain off-balance-sheet credit exposures. The ACL on loans held for investment is a valuation account that is deducted from the amortized cost basis to present the net amount expected to be collected on the loan portfolio. The estimate of our ACL on loans held for investment involves a high degree of judgment including consideration of the effects of past events, current conditions and reasonable and supportable forecasts on the collectability of the loan portfolio. We recognize in net income the amount needed to adjust the ACL on loans held for investment and certain off-balance-sheet credit exposures for management’s current estimate of ECLs. Our ACL on loans held for investment is calculated using collectively evaluated and individually evaluated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Financial Highlights</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For the quarter ended June 30, 2024 compared to the quarter ended March 31, 2024:</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net income was $12.4 million compared to $15.1 million;</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diluted EPS were $0.73 compared to $0.88;</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annualized ROA was 1.13% compared to 1.37%;</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annualized ROE was 9.58% compared to 11.91%;</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net interest margin was 4.08% compared to 4.02%;</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provision for credit losses was $4.3 million compared to $1.2 million;</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tax-free death benefit proceeds from life insurance were $0 compared to $1.1 million;</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The Company repurchased 23,483 shares of its outstanding common stock during the quarter at an average price of $27.48; and</w:t>
      </w:r>
    </w:p>
    <w:p>
      <w:pPr>
        <w:pStyle w:val="TextBody"/>
        <w:bidi w:val="0"/>
        <w:spacing w:lineRule="auto" w:line="288" w:before="0" w:after="80"/>
        <w:ind w:left="0" w:right="0" w:hanging="270"/>
        <w:jc w:val="left"/>
        <w:rPr/>
      </w:pPr>
      <w:r>
        <w:rPr>
          <w:color w:val="000000"/>
        </w:rPr>
        <w:t>•</w:t>
      </w:r>
      <w:r>
        <w:rPr>
          <w:rFonts w:ascii="Times New Roman;sans-serif" w:hAnsi="Times New Roman;sans-serif"/>
          <w:b w:val="false"/>
          <w:color w:val="000000"/>
          <w:sz w:val="18"/>
        </w:rPr>
        <w:t>quarterly cash dividends continued at $0.11 per share totaling $1.9 million for both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both"/>
        <w:rPr/>
      </w:pPr>
      <w:r>
        <w:rPr>
          <w:rFonts w:ascii="Times New Roman;sans-serif" w:hAnsi="Times New Roman;sans-serif"/>
          <w:b w:val="false"/>
          <w:color w:val="000000"/>
          <w:sz w:val="18"/>
        </w:rPr>
        <w:t>For the six months ended June 30, 2024 compared to the six months ended</w:t>
      </w:r>
      <w:r>
        <w:rPr>
          <w:color w:val="000000"/>
        </w:rPr>
        <w:t xml:space="preserve"> </w:t>
      </w:r>
      <w:r>
        <w:rPr>
          <w:rFonts w:ascii="Times New Roman;sans-serif" w:hAnsi="Times New Roman;sans-serif"/>
          <w:b w:val="false"/>
          <w:color w:val="000000"/>
          <w:sz w:val="18"/>
        </w:rPr>
        <w:t>June 30, 2023:</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net income was $27.5 million compared to $21.8 million;</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diluted EPS were $1.61 compared to $1.30;</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annualized ROA was 1.25% compared to 1.06%;</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annualized ROE was 10.73% compared to 9.65%;</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net interest margin was 4.05% compared to 4.43%;</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provision for credit losses was $5.4 million compared to $9.2 million;</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18"/>
        </w:rPr>
        <w:t>tax-free death benefit proceeds from life insurance were $1.1 million compared to $0; and</w:t>
      </w:r>
    </w:p>
    <w:p>
      <w:pPr>
        <w:pStyle w:val="TextBody"/>
        <w:bidi w:val="0"/>
        <w:spacing w:lineRule="auto" w:line="288" w:before="0" w:after="80"/>
        <w:ind w:left="0" w:right="0" w:hanging="270"/>
        <w:jc w:val="left"/>
        <w:rPr/>
      </w:pPr>
      <w:r>
        <w:rPr>
          <w:color w:val="000000"/>
        </w:rPr>
        <w:t>•</w:t>
      </w:r>
      <w:r>
        <w:rPr>
          <w:rFonts w:ascii="Times New Roman;sans-serif" w:hAnsi="Times New Roman;sans-serif"/>
          <w:b w:val="false"/>
          <w:color w:val="000000"/>
          <w:sz w:val="18"/>
        </w:rPr>
        <w:t>cash dividends of $0.22 per share totaling $3.7 million compared to $0.20 per share totaling $3.4 million.</w:t>
      </w:r>
    </w:p>
    <w:tbl>
      <w:tblPr>
        <w:tblW w:w="9751" w:type="dxa"/>
        <w:jc w:val="left"/>
        <w:tblInd w:w="0" w:type="dxa"/>
        <w:tblLayout w:type="fixed"/>
        <w:tblCellMar>
          <w:top w:w="28" w:type="dxa"/>
          <w:left w:w="28" w:type="dxa"/>
          <w:bottom w:w="28" w:type="dxa"/>
          <w:right w:w="28" w:type="dxa"/>
        </w:tblCellMar>
      </w:tblPr>
      <w:tblGrid>
        <w:gridCol w:w="1349"/>
        <w:gridCol w:w="1190"/>
        <w:gridCol w:w="1195"/>
        <w:gridCol w:w="238"/>
        <w:gridCol w:w="785"/>
        <w:gridCol w:w="132"/>
        <w:gridCol w:w="109"/>
        <w:gridCol w:w="109"/>
        <w:gridCol w:w="109"/>
        <w:gridCol w:w="266"/>
        <w:gridCol w:w="876"/>
        <w:gridCol w:w="147"/>
        <w:gridCol w:w="109"/>
        <w:gridCol w:w="109"/>
        <w:gridCol w:w="109"/>
        <w:gridCol w:w="109"/>
        <w:gridCol w:w="114"/>
        <w:gridCol w:w="217"/>
        <w:gridCol w:w="817"/>
        <w:gridCol w:w="121"/>
        <w:gridCol w:w="114"/>
        <w:gridCol w:w="114"/>
        <w:gridCol w:w="114"/>
        <w:gridCol w:w="216"/>
        <w:gridCol w:w="813"/>
        <w:gridCol w:w="170"/>
      </w:tblGrid>
      <w:tr>
        <w:trPr/>
        <w:tc>
          <w:tcPr>
            <w:tcW w:w="134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11"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1199" w:type="dxa"/>
            <w:gridSpan w:val="3"/>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 income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63,355 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109,797 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42,166 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Provision for credit losses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9,165 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 after provision for credit losses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76,185 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per common share</w:t>
            </w:r>
            <w:r>
              <w:rPr>
                <w:rFonts w:ascii="Times New Roman;sans-serif" w:hAnsi="Times New Roman;sans-serif"/>
                <w:b w:val="false"/>
                <w:color w:val="000000"/>
                <w:sz w:val="12"/>
              </w:rPr>
              <w:t>(1)</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per common share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Book value per share at end of period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Tangible book value per share at end of period</w:t>
            </w:r>
            <w:r>
              <w:rPr>
                <w:rFonts w:ascii="Times New Roman;sans-serif" w:hAnsi="Times New Roman;sans-serif"/>
                <w:b w:val="false"/>
                <w:color w:val="000000"/>
                <w:sz w:val="12"/>
              </w:rPr>
              <w:t>(2)</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price per share at end of period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(1)Basic and diluted net income per common share have been prepared in accordance with the two-class method. </w:t>
      </w:r>
    </w:p>
    <w:p>
      <w:pPr>
        <w:pStyle w:val="TextBody"/>
        <w:bidi w:val="0"/>
        <w:spacing w:lineRule="auto" w:line="288" w:before="0" w:after="18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(2)See Non-GAAP reconciliations below for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GAAP Reconciliation of Non-GAAP Financial Measures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Set forth below is a reconciliation to US GAAP of tangible book value and tangible book value per share:</w:t>
      </w:r>
    </w:p>
    <w:tbl>
      <w:tblPr>
        <w:tblW w:w="8732" w:type="dxa"/>
        <w:jc w:val="left"/>
        <w:tblInd w:w="0" w:type="dxa"/>
        <w:tblLayout w:type="fixed"/>
        <w:tblCellMar>
          <w:top w:w="28" w:type="dxa"/>
          <w:left w:w="28" w:type="dxa"/>
          <w:bottom w:w="28" w:type="dxa"/>
          <w:right w:w="28" w:type="dxa"/>
        </w:tblCellMar>
      </w:tblPr>
      <w:tblGrid>
        <w:gridCol w:w="1386"/>
        <w:gridCol w:w="1218"/>
        <w:gridCol w:w="1221"/>
        <w:gridCol w:w="217"/>
        <w:gridCol w:w="817"/>
        <w:gridCol w:w="121"/>
        <w:gridCol w:w="109"/>
        <w:gridCol w:w="109"/>
        <w:gridCol w:w="109"/>
        <w:gridCol w:w="243"/>
        <w:gridCol w:w="912"/>
        <w:gridCol w:w="135"/>
        <w:gridCol w:w="109"/>
        <w:gridCol w:w="109"/>
        <w:gridCol w:w="109"/>
        <w:gridCol w:w="291"/>
        <w:gridCol w:w="1093"/>
        <w:gridCol w:w="161"/>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513,173 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499,893 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goodwill, core deposit intangibles, net of taxes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Tangible book value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outstanding</w:t>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17,437,326 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17,444,787 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17,387,069 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Book value per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Tangible book value per share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Set forth below is a reconciliation to US GAAP of tangible equity to tangible assets:</w:t>
      </w:r>
    </w:p>
    <w:tbl>
      <w:tblPr>
        <w:tblW w:w="8533" w:type="dxa"/>
        <w:jc w:val="left"/>
        <w:tblInd w:w="0" w:type="dxa"/>
        <w:tblLayout w:type="fixed"/>
        <w:tblCellMar>
          <w:top w:w="28" w:type="dxa"/>
          <w:left w:w="28" w:type="dxa"/>
          <w:bottom w:w="28" w:type="dxa"/>
          <w:right w:w="28" w:type="dxa"/>
        </w:tblCellMar>
      </w:tblPr>
      <w:tblGrid>
        <w:gridCol w:w="1382"/>
        <w:gridCol w:w="1219"/>
        <w:gridCol w:w="1223"/>
        <w:gridCol w:w="196"/>
        <w:gridCol w:w="871"/>
        <w:gridCol w:w="109"/>
        <w:gridCol w:w="109"/>
        <w:gridCol w:w="109"/>
        <w:gridCol w:w="109"/>
        <w:gridCol w:w="215"/>
        <w:gridCol w:w="956"/>
        <w:gridCol w:w="119"/>
        <w:gridCol w:w="109"/>
        <w:gridCol w:w="109"/>
        <w:gridCol w:w="109"/>
        <w:gridCol w:w="255"/>
        <w:gridCol w:w="1134"/>
        <w:gridCol w:w="200"/>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Tangible equity</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458,807 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4,684,011 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4,672,633 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goodwill, core deposit intangibles, net of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41,086 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tangible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4,643,511 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4,631,547 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05" w:type="dxa"/>
        <w:jc w:val="left"/>
        <w:tblInd w:w="0" w:type="dxa"/>
        <w:tblLayout w:type="fixed"/>
        <w:tblCellMar>
          <w:top w:w="28" w:type="dxa"/>
          <w:left w:w="28" w:type="dxa"/>
          <w:bottom w:w="28" w:type="dxa"/>
          <w:right w:w="28" w:type="dxa"/>
        </w:tblCellMar>
      </w:tblPr>
      <w:tblGrid>
        <w:gridCol w:w="889"/>
        <w:gridCol w:w="782"/>
        <w:gridCol w:w="789"/>
        <w:gridCol w:w="278"/>
        <w:gridCol w:w="278"/>
        <w:gridCol w:w="256"/>
        <w:gridCol w:w="109"/>
        <w:gridCol w:w="109"/>
        <w:gridCol w:w="109"/>
        <w:gridCol w:w="278"/>
        <w:gridCol w:w="278"/>
        <w:gridCol w:w="256"/>
        <w:gridCol w:w="109"/>
        <w:gridCol w:w="109"/>
        <w:gridCol w:w="109"/>
        <w:gridCol w:w="233"/>
        <w:gridCol w:w="233"/>
        <w:gridCol w:w="301"/>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Tangible equity to tangible assets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(1)Tangible equity (or tangible book value) is equal to total stockholders' equity less goodwill and core deposit intangibles, net of related deferred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ans-serif" w:hAnsi="Times New Roman;sans-serif"/>
          <w:b/>
          <w:color w:val="000000"/>
          <w:sz w:val="18"/>
        </w:rPr>
        <w:t xml:space="preserve">Comparison of Results of Operations for the Three Months Ended June 30, 2024 and </w:t>
      </w:r>
      <w:r>
        <w:rPr>
          <w:rFonts w:ascii="Times New Roman;sans-serif" w:hAnsi="Times New Roman;sans-serif"/>
          <w:b/>
          <w:color w:val="000000"/>
          <w:sz w:val="20"/>
        </w:rPr>
        <w:t>March 31, 2024</w:t>
      </w:r>
    </w:p>
    <w:p>
      <w:pPr>
        <w:pStyle w:val="TextBody"/>
        <w:bidi w:val="0"/>
        <w:spacing w:lineRule="auto" w:line="288" w:before="0" w:after="80"/>
        <w:jc w:val="both"/>
        <w:rPr/>
      </w:pPr>
      <w:r>
        <w:rPr>
          <w:rFonts w:ascii="Times New Roman;sans-serif" w:hAnsi="Times New Roman;sans-serif"/>
          <w:b/>
          <w:i/>
          <w:color w:val="000000"/>
          <w:sz w:val="18"/>
        </w:rPr>
        <w:t>Net Income.</w:t>
      </w:r>
      <w:r>
        <w:rPr>
          <w:color w:val="000000"/>
        </w:rPr>
        <w:t>  </w:t>
      </w:r>
      <w:r>
        <w:rPr>
          <w:rFonts w:ascii="Times New Roman;sans-serif" w:hAnsi="Times New Roman;sans-serif"/>
          <w:b w:val="false"/>
          <w:color w:val="000000"/>
          <w:sz w:val="18"/>
        </w:rPr>
        <w:t>Net income totaled $12.4 million, or $0.73 per diluted share, for the three months ended June 30, 2024 compared to net income of $15.1 million, or $0.88 per diluted share, for the three months ended March 31, 2024, a decrease of $2.7 million, or 17.6%. Results for the three months ended June 30, 2024 were negatively impacted by an increase of $3.1 million in the provision for credit losses. Details of the changes in the various components of net income are further discussed below.</w:t>
      </w:r>
    </w:p>
    <w:p>
      <w:pPr>
        <w:pStyle w:val="TextBody"/>
        <w:bidi w:val="0"/>
        <w:spacing w:lineRule="auto" w:line="288" w:before="0" w:after="0"/>
        <w:jc w:val="both"/>
        <w:rPr/>
      </w:pPr>
      <w:r>
        <w:rPr>
          <w:rFonts w:ascii="Times New Roman;sans-serif" w:hAnsi="Times New Roman;sans-serif"/>
          <w:b/>
          <w:i/>
          <w:color w:val="000000"/>
          <w:sz w:val="18"/>
        </w:rPr>
        <w:t>Net Interest Income.</w:t>
      </w:r>
      <w:r>
        <w:rPr>
          <w:color w:val="000000"/>
        </w:rPr>
        <w:t>  </w:t>
      </w:r>
      <w:r>
        <w:rPr>
          <w:rFonts w:ascii="Times New Roman;sans-serif" w:hAnsi="Times New Roman;sans-serif"/>
          <w:b w:val="false"/>
          <w:color w:val="000000"/>
          <w:sz w:val="18"/>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W w:w="10205" w:type="dxa"/>
        <w:jc w:val="right"/>
        <w:tblInd w:w="0" w:type="dxa"/>
        <w:tblLayout w:type="fixed"/>
        <w:tblCellMar>
          <w:top w:w="28" w:type="dxa"/>
          <w:left w:w="28" w:type="dxa"/>
          <w:bottom w:w="28" w:type="dxa"/>
          <w:right w:w="28" w:type="dxa"/>
        </w:tblCellMar>
      </w:tblPr>
      <w:tblGrid>
        <w:gridCol w:w="1200"/>
        <w:gridCol w:w="748"/>
        <w:gridCol w:w="700"/>
        <w:gridCol w:w="390"/>
        <w:gridCol w:w="256"/>
        <w:gridCol w:w="580"/>
        <w:gridCol w:w="109"/>
        <w:gridCol w:w="109"/>
        <w:gridCol w:w="109"/>
        <w:gridCol w:w="196"/>
        <w:gridCol w:w="646"/>
        <w:gridCol w:w="109"/>
        <w:gridCol w:w="109"/>
        <w:gridCol w:w="109"/>
        <w:gridCol w:w="109"/>
        <w:gridCol w:w="233"/>
        <w:gridCol w:w="233"/>
        <w:gridCol w:w="292"/>
        <w:gridCol w:w="109"/>
        <w:gridCol w:w="109"/>
        <w:gridCol w:w="109"/>
        <w:gridCol w:w="390"/>
        <w:gridCol w:w="256"/>
        <w:gridCol w:w="580"/>
        <w:gridCol w:w="109"/>
        <w:gridCol w:w="109"/>
        <w:gridCol w:w="109"/>
        <w:gridCol w:w="196"/>
        <w:gridCol w:w="646"/>
        <w:gridCol w:w="109"/>
        <w:gridCol w:w="109"/>
        <w:gridCol w:w="109"/>
        <w:gridCol w:w="109"/>
        <w:gridCol w:w="233"/>
        <w:gridCol w:w="233"/>
        <w:gridCol w:w="344"/>
      </w:tblGrid>
      <w:tr>
        <w:trPr/>
        <w:tc>
          <w:tcPr>
            <w:tcW w:w="120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 </w:t>
            </w:r>
          </w:p>
        </w:tc>
        <w:tc>
          <w:tcPr>
            <w:tcW w:w="755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Yield /</w:t>
              <w:br/>
              <w:t>Rate</w:t>
            </w:r>
          </w:p>
        </w:tc>
      </w:tr>
      <w:tr>
        <w:trPr/>
        <w:tc>
          <w:tcPr>
            <w:tcW w:w="26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6331" w:type="dxa"/>
            <w:gridSpan w:val="30"/>
            <w:tcBorders/>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Interest-earning assets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Loans receivable</w:t>
            </w:r>
            <w:r>
              <w:rPr>
                <w:rFonts w:ascii="Times New Roman;sans-serif" w:hAnsi="Times New Roman;sans-serif"/>
                <w:b w:val="false"/>
                <w:color w:val="000000"/>
                <w:sz w:val="12"/>
              </w:rPr>
              <w:t>(1)</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interest-earning assets</w:t>
            </w:r>
            <w:r>
              <w:rPr>
                <w:rFonts w:ascii="Times New Roman;sans-serif" w:hAnsi="Times New Roman;sans-serif"/>
                <w:b w:val="false"/>
                <w:color w:val="000000"/>
                <w:sz w:val="12"/>
              </w:rPr>
              <w:t>(2)</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interest-earning assets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4,122,439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checking accounts</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0.97 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interest-bearing deposits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interest-bearing liabilities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deposits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3,905,353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 assets</w:t>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interest-earning assets to average interest-bearing liabilities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135.38 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134.52 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Non-tax-equivalent</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interest margin</w:t>
            </w:r>
            <w:r>
              <w:rPr>
                <w:rFonts w:ascii="Times New Roman;sans-serif" w:hAnsi="Times New Roman;sans-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Tax-equivalent</w:t>
            </w:r>
            <w:r>
              <w:rPr>
                <w:rFonts w:ascii="Times New Roman;sans-serif" w:hAnsi="Times New Roman;sans-serif"/>
                <w:b w:val="false"/>
                <w:color w:val="000000"/>
                <w:sz w:val="12"/>
              </w:rPr>
              <w:t>(4)</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interest margin</w:t>
            </w:r>
            <w:r>
              <w:rPr>
                <w:rFonts w:ascii="Times New Roman;sans-serif" w:hAnsi="Times New Roman;sans-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6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(1)Average loans receivable balances include loans held for sale and nonaccruing loans.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(2)Average other interest-earning assets consist of FRB stock, FHLB stock, SBIC investments and deposits in other banks.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(3)Net interest income divided by average interest-earning assets.</w:t>
      </w:r>
    </w:p>
    <w:p>
      <w:pPr>
        <w:pStyle w:val="TextBody"/>
        <w:bidi w:val="0"/>
        <w:spacing w:lineRule="auto" w:line="288" w:before="0" w:after="80"/>
        <w:ind w:left="0" w:right="0" w:hanging="270"/>
        <w:jc w:val="both"/>
        <w:rPr/>
      </w:pPr>
      <w:r>
        <w:rPr>
          <w:rFonts w:ascii="Times New Roman;sans-serif" w:hAnsi="Times New Roman;sans-serif"/>
          <w:b w:val="false"/>
          <w:color w:val="000000"/>
          <w:sz w:val="16"/>
          <w:shd w:fill="FFFFFF" w:val="clear"/>
        </w:rPr>
        <w:t>(4)</w:t>
      </w:r>
      <w:r>
        <w:rPr>
          <w:rFonts w:ascii="Times New Roman;sans-serif" w:hAnsi="Times New Roman;sans-serif"/>
          <w:b w:val="false"/>
          <w:color w:val="000000"/>
          <w:sz w:val="16"/>
        </w:rPr>
        <w:t>Tax-equivalent results include adjustments to interest income of $354 and $349 for the three months ended June 30, 2024 and March 31, 2024, respectively, calculated based on a combined federal and state tax rate of 24%.</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Total interest and dividend income for the three months ended June 30, 2024 increased $2.1 million, or 3.2%, compared to the three months ended March 31, 2024, which was driven by a $2.2 million, or 3.7%, increase in loan interest income primarily due to changes in interest rates. Accretion income on acquired loans of $678,000 and $715,000 was recognized during the same periods, respectively, and was included in interest income on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Total interest expense for the three months ended June 30, 2024 increased $1.1 million, or 5.1%, compared to the three months ended March 31, 2024. The increase was the result of both increases in the average cost of funds, due to increased market rates, and average balances across interest-bearing deposit types, partially offset by a decline in average borrowings outstanding.</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tbl>
      <w:tblPr>
        <w:tblW w:w="5749" w:type="dxa"/>
        <w:jc w:val="left"/>
        <w:tblInd w:w="0" w:type="dxa"/>
        <w:tblLayout w:type="fixed"/>
        <w:tblCellMar>
          <w:top w:w="28" w:type="dxa"/>
          <w:left w:w="28" w:type="dxa"/>
          <w:bottom w:w="28" w:type="dxa"/>
          <w:right w:w="28" w:type="dxa"/>
        </w:tblCellMar>
      </w:tblPr>
      <w:tblGrid>
        <w:gridCol w:w="926"/>
        <w:gridCol w:w="817"/>
        <w:gridCol w:w="821"/>
        <w:gridCol w:w="196"/>
        <w:gridCol w:w="421"/>
        <w:gridCol w:w="109"/>
        <w:gridCol w:w="109"/>
        <w:gridCol w:w="109"/>
        <w:gridCol w:w="109"/>
        <w:gridCol w:w="196"/>
        <w:gridCol w:w="556"/>
        <w:gridCol w:w="109"/>
        <w:gridCol w:w="109"/>
        <w:gridCol w:w="109"/>
        <w:gridCol w:w="109"/>
        <w:gridCol w:w="204"/>
        <w:gridCol w:w="580"/>
        <w:gridCol w:w="160"/>
      </w:tblGrid>
      <w:tr>
        <w:trPr/>
        <w:tc>
          <w:tcPr>
            <w:tcW w:w="9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 (Decrease)</w:t>
              <w:br/>
              <w:t>Due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Increase /</w:t>
              <w:br/>
              <w:t>(Decrease)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Interest-earning 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interest-earning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interest-earning assets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Interest-bearing liabilities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checking accounts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accounts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interest-bearing liabilities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Increase in net interest income</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ans-serif" w:hAnsi="Times New Roman;sans-serif"/>
          <w:b/>
          <w:i/>
          <w:color w:val="000000"/>
          <w:sz w:val="18"/>
        </w:rPr>
        <w:t>Provision for Credit Losses.</w:t>
      </w:r>
      <w:r>
        <w:rPr>
          <w:color w:val="000000"/>
        </w:rPr>
        <w:t>  </w:t>
      </w:r>
      <w:r>
        <w:rPr>
          <w:rFonts w:ascii="Times New Roman;sans-serif" w:hAnsi="Times New Roman;sans-serif"/>
          <w:b w:val="false"/>
          <w:color w:val="000000"/>
          <w:sz w:val="18"/>
          <w:shd w:fill="FFFFFF" w:val="clear"/>
        </w:rPr>
        <w:t>The provision for credit losses is the amount of expense that, based on our judgment, is required to maintain the ACL at an appropriate level under the current expected credit losses model.</w:t>
      </w:r>
    </w:p>
    <w:p>
      <w:pPr>
        <w:pStyle w:val="TextBody"/>
        <w:bidi w:val="0"/>
        <w:spacing w:lineRule="auto" w:line="288" w:before="0" w:after="0"/>
        <w:jc w:val="both"/>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The following table presents a breakdown of the components of the provision for credit losses:</w:t>
      </w:r>
    </w:p>
    <w:tbl>
      <w:tblPr>
        <w:tblW w:w="7869" w:type="dxa"/>
        <w:jc w:val="left"/>
        <w:tblInd w:w="0" w:type="dxa"/>
        <w:tblLayout w:type="fixed"/>
        <w:tblCellMar>
          <w:top w:w="28" w:type="dxa"/>
          <w:left w:w="28" w:type="dxa"/>
          <w:bottom w:w="28" w:type="dxa"/>
          <w:right w:w="28" w:type="dxa"/>
        </w:tblCellMar>
      </w:tblPr>
      <w:tblGrid>
        <w:gridCol w:w="910"/>
        <w:gridCol w:w="804"/>
        <w:gridCol w:w="806"/>
        <w:gridCol w:w="263"/>
        <w:gridCol w:w="746"/>
        <w:gridCol w:w="146"/>
        <w:gridCol w:w="109"/>
        <w:gridCol w:w="109"/>
        <w:gridCol w:w="109"/>
        <w:gridCol w:w="293"/>
        <w:gridCol w:w="833"/>
        <w:gridCol w:w="163"/>
        <w:gridCol w:w="109"/>
        <w:gridCol w:w="109"/>
        <w:gridCol w:w="109"/>
        <w:gridCol w:w="196"/>
        <w:gridCol w:w="556"/>
        <w:gridCol w:w="109"/>
        <w:gridCol w:w="109"/>
        <w:gridCol w:w="109"/>
        <w:gridCol w:w="109"/>
        <w:gridCol w:w="246"/>
        <w:gridCol w:w="249"/>
        <w:gridCol w:w="568"/>
      </w:tblGrid>
      <w:tr>
        <w:trPr/>
        <w:tc>
          <w:tcPr>
            <w:tcW w:w="91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Off-balance-sheet credit exposure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provision for credit losses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40"/>
        <w:jc w:val="both"/>
        <w:rPr/>
      </w:pPr>
      <w:r>
        <w:rPr>
          <w:rFonts w:ascii="Times New Roman;sans-serif" w:hAnsi="Times New Roman;sans-serif"/>
          <w:b w:val="false"/>
          <w:color w:val="000000"/>
          <w:sz w:val="18"/>
          <w:shd w:fill="FFFFFF" w:val="clear"/>
        </w:rPr>
        <w:t xml:space="preserve">For the quarter ended </w:t>
      </w:r>
      <w:r>
        <w:rPr>
          <w:rFonts w:ascii="Times New Roman;sans-serif" w:hAnsi="Times New Roman;sans-serif"/>
          <w:b w:val="false"/>
          <w:color w:val="000000"/>
          <w:sz w:val="18"/>
        </w:rPr>
        <w:t>June 30, 2024</w:t>
      </w:r>
      <w:r>
        <w:rPr>
          <w:rFonts w:ascii="Times New Roman;sans-serif" w:hAnsi="Times New Roman;sans-serif"/>
          <w:b w:val="false"/>
          <w:color w:val="000000"/>
          <w:sz w:val="18"/>
          <w:shd w:fill="FFFFFF" w:val="clear"/>
        </w:rPr>
        <w:t>, the "loans" portion of the provision for credit losses was the result of the following, in addition to net charge-offs of $2.6 million during the quarter:</w:t>
      </w:r>
    </w:p>
    <w:p>
      <w:pPr>
        <w:pStyle w:val="TextBody"/>
        <w:bidi w:val="0"/>
        <w:spacing w:lineRule="auto" w:line="288" w:before="0" w:after="0"/>
        <w:ind w:left="0" w:right="0" w:hanging="270"/>
        <w:jc w:val="both"/>
        <w:rPr/>
      </w:pPr>
      <w:r>
        <w:rPr>
          <w:color w:val="000000"/>
          <w:shd w:fill="FFFFFF" w:val="clear"/>
        </w:rPr>
        <w:t>•</w:t>
      </w:r>
      <w:r>
        <w:rPr>
          <w:rFonts w:ascii="Times New Roman;sans-serif" w:hAnsi="Times New Roman;sans-serif"/>
          <w:b w:val="false"/>
          <w:color w:val="000000"/>
          <w:sz w:val="18"/>
          <w:shd w:fill="FFFFFF" w:val="clear"/>
        </w:rPr>
        <w:t>$0.1 million provision driven by changes in the loan mix.</w:t>
      </w:r>
    </w:p>
    <w:p>
      <w:pPr>
        <w:pStyle w:val="TextBody"/>
        <w:bidi w:val="0"/>
        <w:spacing w:lineRule="auto" w:line="288" w:before="0" w:after="0"/>
        <w:ind w:left="0" w:right="0" w:hanging="270"/>
        <w:jc w:val="both"/>
        <w:rPr/>
      </w:pPr>
      <w:r>
        <w:rPr>
          <w:color w:val="000000"/>
          <w:shd w:fill="FFFFFF" w:val="clear"/>
        </w:rPr>
        <w:t>•</w:t>
      </w:r>
      <w:r>
        <w:rPr>
          <w:rFonts w:ascii="Times New Roman;sans-serif" w:hAnsi="Times New Roman;sans-serif"/>
          <w:b w:val="false"/>
          <w:color w:val="000000"/>
          <w:sz w:val="18"/>
          <w:shd w:fill="FFFFFF" w:val="clear"/>
        </w:rPr>
        <w:t>$0.4 million benefit due to changes in the projected economic forecast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ans-serif" w:hAnsi="Times New Roman;sans-serif"/>
          <w:b w:val="false"/>
          <w:color w:val="000000"/>
          <w:sz w:val="18"/>
          <w:shd w:fill="FFFFFF" w:val="clear"/>
        </w:rPr>
        <w:t>$2.0 million increase in specific reserves on individually evaluated loans which was proportional to the increase in the associated loan balances which increased from $8.3 million to $16.3 million quarter-over-quarter, concentrated in the equipment finance and SBA portfolios. Further information on the change in nonperforming loans may be found in the "Asset Quality" section.</w:t>
      </w:r>
    </w:p>
    <w:p>
      <w:pPr>
        <w:pStyle w:val="TextBody"/>
        <w:bidi w:val="0"/>
        <w:spacing w:lineRule="auto" w:line="288" w:before="0" w:after="40"/>
        <w:jc w:val="both"/>
        <w:rPr/>
      </w:pPr>
      <w:r>
        <w:rPr>
          <w:rFonts w:ascii="Times New Roman;sans-serif" w:hAnsi="Times New Roman;sans-serif"/>
          <w:b w:val="false"/>
          <w:color w:val="000000"/>
          <w:sz w:val="18"/>
          <w:shd w:fill="FFFFFF" w:val="clear"/>
        </w:rPr>
        <w:t xml:space="preserve">For the quarter ended </w:t>
      </w:r>
      <w:r>
        <w:rPr>
          <w:rFonts w:ascii="Times New Roman;sans-serif" w:hAnsi="Times New Roman;sans-serif"/>
          <w:b w:val="false"/>
          <w:color w:val="000000"/>
          <w:sz w:val="18"/>
        </w:rPr>
        <w:t>March 31, 2024</w:t>
      </w:r>
      <w:r>
        <w:rPr>
          <w:rFonts w:ascii="Times New Roman;sans-serif" w:hAnsi="Times New Roman;sans-serif"/>
          <w:b w:val="false"/>
          <w:color w:val="000000"/>
          <w:sz w:val="18"/>
          <w:shd w:fill="FFFFFF" w:val="clear"/>
        </w:rPr>
        <w:t>, the "loans" portion of the provision for credit losses was the result of the following, offset by net charge-offs of $2.3 million during the quarter:</w:t>
      </w:r>
    </w:p>
    <w:p>
      <w:pPr>
        <w:pStyle w:val="TextBody"/>
        <w:bidi w:val="0"/>
        <w:spacing w:lineRule="auto" w:line="288" w:before="0" w:after="0"/>
        <w:ind w:left="0" w:right="0" w:hanging="270"/>
        <w:jc w:val="both"/>
        <w:rPr/>
      </w:pPr>
      <w:r>
        <w:rPr>
          <w:color w:val="000000"/>
          <w:shd w:fill="FFFFFF" w:val="clear"/>
        </w:rPr>
        <w:t>•</w:t>
      </w:r>
      <w:r>
        <w:rPr>
          <w:rFonts w:ascii="Times New Roman;sans-serif" w:hAnsi="Times New Roman;sans-serif"/>
          <w:b w:val="false"/>
          <w:color w:val="000000"/>
          <w:sz w:val="18"/>
          <w:shd w:fill="FFFFFF" w:val="clear"/>
        </w:rPr>
        <w:t>$0.1 million benefit driven by changes in the loan mix.</w:t>
      </w:r>
    </w:p>
    <w:p>
      <w:pPr>
        <w:pStyle w:val="TextBody"/>
        <w:bidi w:val="0"/>
        <w:spacing w:lineRule="auto" w:line="288" w:before="0" w:after="0"/>
        <w:ind w:left="0" w:right="0" w:hanging="270"/>
        <w:jc w:val="both"/>
        <w:rPr/>
      </w:pPr>
      <w:r>
        <w:rPr>
          <w:color w:val="000000"/>
          <w:shd w:fill="FFFFFF" w:val="clear"/>
        </w:rPr>
        <w:t>•</w:t>
      </w:r>
      <w:r>
        <w:rPr>
          <w:rFonts w:ascii="Times New Roman;sans-serif" w:hAnsi="Times New Roman;sans-serif"/>
          <w:b w:val="false"/>
          <w:color w:val="000000"/>
          <w:sz w:val="18"/>
          <w:shd w:fill="FFFFFF" w:val="clear"/>
        </w:rPr>
        <w:t>$0.9 million benefit due to changes in the projected economic forecast, specifically the national unemployment rate,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ans-serif" w:hAnsi="Times New Roman;sans-serif"/>
          <w:b w:val="false"/>
          <w:color w:val="000000"/>
          <w:sz w:val="18"/>
          <w:shd w:fill="FFFFFF" w:val="clear"/>
        </w:rPr>
        <w:t>$0.2 million decrease in specific reserves on individually evaluated credits.</w:t>
      </w:r>
    </w:p>
    <w:p>
      <w:pPr>
        <w:pStyle w:val="TextBody"/>
        <w:bidi w:val="0"/>
        <w:spacing w:lineRule="auto" w:line="288" w:before="0" w:after="60"/>
        <w:jc w:val="both"/>
        <w:rPr/>
      </w:pPr>
      <w:r>
        <w:rPr>
          <w:rFonts w:ascii="Times New Roman;sans-serif" w:hAnsi="Times New Roman;sans-serif"/>
          <w:b w:val="false"/>
          <w:color w:val="000000"/>
          <w:sz w:val="18"/>
          <w:shd w:fill="FFFFFF" w:val="clear"/>
        </w:rPr>
        <w:t xml:space="preserve">For the quarters ended </w:t>
      </w:r>
      <w:r>
        <w:rPr>
          <w:rFonts w:ascii="Times New Roman;sans-serif" w:hAnsi="Times New Roman;sans-serif"/>
          <w:b w:val="false"/>
          <w:color w:val="000000"/>
          <w:sz w:val="18"/>
        </w:rPr>
        <w:t>June 30, 2024 and March 31, 2024</w:t>
      </w:r>
      <w:r>
        <w:rPr>
          <w:rFonts w:ascii="Times New Roman;sans-serif" w:hAnsi="Times New Roman;sans-serif"/>
          <w:b w:val="false"/>
          <w:color w:val="000000"/>
          <w:sz w:val="18"/>
          <w:shd w:fill="FFFFFF" w:val="clear"/>
        </w:rPr>
        <w:t>, the amounts recorded for off-balance-sheet credit exposure were the result of changes in the balance of loan commitments, loan mix and projected economic forecast as outlined above.</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18"/>
        </w:rPr>
        <w:t>Noninterest Income.</w:t>
      </w:r>
      <w:r>
        <w:rPr>
          <w:color w:val="000000"/>
        </w:rPr>
        <w:t>  </w:t>
      </w:r>
      <w:r>
        <w:rPr>
          <w:rFonts w:ascii="Times New Roman;sans-serif" w:hAnsi="Times New Roman;sans-serif"/>
          <w:b w:val="false"/>
          <w:color w:val="000000"/>
          <w:sz w:val="18"/>
        </w:rPr>
        <w:t>Noninterest income for the three months ended June 30, 2024 decreased $698,000, or 7.9%, when compared to the quarter ended March 31, 2024. Changes in the components of noninterest income are discussed below:</w:t>
      </w:r>
    </w:p>
    <w:tbl>
      <w:tblPr>
        <w:tblW w:w="8556" w:type="dxa"/>
        <w:jc w:val="left"/>
        <w:tblInd w:w="0" w:type="dxa"/>
        <w:tblLayout w:type="fixed"/>
        <w:tblCellMar>
          <w:top w:w="28" w:type="dxa"/>
          <w:left w:w="28" w:type="dxa"/>
          <w:bottom w:w="28" w:type="dxa"/>
          <w:right w:w="28" w:type="dxa"/>
        </w:tblCellMar>
      </w:tblPr>
      <w:tblGrid>
        <w:gridCol w:w="1192"/>
        <w:gridCol w:w="1052"/>
        <w:gridCol w:w="1055"/>
        <w:gridCol w:w="263"/>
        <w:gridCol w:w="746"/>
        <w:gridCol w:w="146"/>
        <w:gridCol w:w="109"/>
        <w:gridCol w:w="109"/>
        <w:gridCol w:w="109"/>
        <w:gridCol w:w="293"/>
        <w:gridCol w:w="833"/>
        <w:gridCol w:w="163"/>
        <w:gridCol w:w="109"/>
        <w:gridCol w:w="109"/>
        <w:gridCol w:w="109"/>
        <w:gridCol w:w="222"/>
        <w:gridCol w:w="496"/>
        <w:gridCol w:w="125"/>
        <w:gridCol w:w="109"/>
        <w:gridCol w:w="109"/>
        <w:gridCol w:w="109"/>
        <w:gridCol w:w="210"/>
        <w:gridCol w:w="211"/>
        <w:gridCol w:w="568"/>
      </w:tblGrid>
      <w:tr>
        <w:trPr/>
        <w:tc>
          <w:tcPr>
            <w:tcW w:w="119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charges and fees on deposit accounts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 income and fees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held for sale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 income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income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premises and equipment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noninterest income</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color w:val="000000"/>
        </w:rPr>
        <w:t>•</w:t>
      </w:r>
      <w:r>
        <w:rPr>
          <w:rFonts w:ascii="Times New Roman;sans-serif" w:hAnsi="Times New Roman;sans-serif"/>
          <w:b w:val="false"/>
          <w:i/>
          <w:color w:val="000000"/>
          <w:sz w:val="18"/>
        </w:rPr>
        <w:t>Service charges and fees on deposit accounts:</w:t>
      </w:r>
      <w:r>
        <w:rPr>
          <w:color w:val="000000"/>
        </w:rPr>
        <w:t xml:space="preserve"> </w:t>
      </w:r>
      <w:r>
        <w:rPr>
          <w:rFonts w:ascii="Times New Roman;sans-serif" w:hAnsi="Times New Roman;sans-serif"/>
          <w:b w:val="false"/>
          <w:color w:val="000000"/>
          <w:sz w:val="18"/>
        </w:rPr>
        <w:t>The change was due to a $154,000 increase in debit card fees quarter-over-quarter.</w:t>
      </w:r>
    </w:p>
    <w:p>
      <w:pPr>
        <w:pStyle w:val="TextBody"/>
        <w:bidi w:val="0"/>
        <w:spacing w:lineRule="auto" w:line="288" w:before="0" w:after="0"/>
        <w:ind w:left="0" w:right="0" w:hanging="270"/>
        <w:jc w:val="both"/>
        <w:rPr/>
      </w:pPr>
      <w:r>
        <w:rPr>
          <w:color w:val="000000"/>
          <w:shd w:fill="FFFFFF" w:val="clear"/>
        </w:rPr>
        <w:t>•</w:t>
      </w:r>
      <w:r>
        <w:rPr>
          <w:rFonts w:ascii="Times New Roman;sans-serif" w:hAnsi="Times New Roman;sans-serif"/>
          <w:b w:val="false"/>
          <w:i/>
          <w:color w:val="000000"/>
          <w:sz w:val="18"/>
        </w:rPr>
        <w:t>Gain on sale of loans held for sale:</w:t>
      </w:r>
      <w:r>
        <w:rPr>
          <w:color w:val="000000"/>
        </w:rPr>
        <w:t xml:space="preserve"> </w:t>
      </w:r>
      <w:r>
        <w:rPr>
          <w:rFonts w:ascii="Times New Roman;sans-serif" w:hAnsi="Times New Roman;sans-serif"/>
          <w:b w:val="false"/>
          <w:color w:val="000000"/>
          <w:sz w:val="18"/>
        </w:rPr>
        <w:t>The increase was primarily driven by HELOCs sold during the period. There were $32.9 million of HELOCs sold for a gain of $457,000 compared to $7.8 million sold with gains of $16,000 in the prior quarter. There were $21.3 million of residential mortgage loans originated for sale which were sold during the current quarter with gains of $351,000 compared to $15.3 million sold with gains of $316,000 in the prior quarter. There were $12.7 million in sales of the guaranteed portion of SBA commercial loans with gains of $1.1 million for the quarter compared to $12.9 million sold and gains of $1.1 million for the prior quarter. Our hedging of mandatory commitments on the residential mortgage loan pipeline resulted in a loss of $58,000 for the quarter ended June 30, 2024 versus a gain of $55,000 for the quarter ended March 31, 2024 as a result of movement in interest rates during the hedged period.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i/>
          <w:color w:val="000000"/>
          <w:sz w:val="18"/>
        </w:rPr>
        <w:t xml:space="preserve">BOLI income: </w:t>
      </w:r>
      <w:r>
        <w:rPr>
          <w:rFonts w:ascii="Times New Roman;sans-serif" w:hAnsi="Times New Roman;sans-serif"/>
          <w:b w:val="false"/>
          <w:color w:val="000000"/>
          <w:sz w:val="18"/>
        </w:rPr>
        <w:t>The decrease was due to $1.1 million in tax-free gains on death benefit proceeds in excess of the cash surrender value of the policies recognized during the prior quarter. No death benefit proceeds were recognized during the current quarter.</w:t>
      </w:r>
    </w:p>
    <w:p>
      <w:pPr>
        <w:pStyle w:val="TextBody"/>
        <w:bidi w:val="0"/>
        <w:spacing w:lineRule="auto" w:line="288" w:before="0" w:after="80"/>
        <w:ind w:left="0" w:right="0" w:hanging="270"/>
        <w:jc w:val="both"/>
        <w:rPr/>
      </w:pPr>
      <w:r>
        <w:rPr>
          <w:color w:val="000000"/>
          <w:shd w:fill="FFFFFF" w:val="clear"/>
        </w:rPr>
        <w:t>•</w:t>
      </w:r>
      <w:r>
        <w:rPr>
          <w:rFonts w:ascii="Times New Roman;sans-serif" w:hAnsi="Times New Roman;sans-serif"/>
          <w:b w:val="false"/>
          <w:i/>
          <w:color w:val="000000"/>
          <w:sz w:val="18"/>
        </w:rPr>
        <w:t>Operating lease income:</w:t>
      </w:r>
      <w:r>
        <w:rPr>
          <w:color w:val="000000"/>
        </w:rPr>
        <w:t xml:space="preserve"> </w:t>
      </w:r>
      <w:r>
        <w:rPr>
          <w:rFonts w:ascii="Times New Roman;sans-serif" w:hAnsi="Times New Roman;sans-serif"/>
          <w:b w:val="false"/>
          <w:color w:val="000000"/>
          <w:sz w:val="18"/>
        </w:rPr>
        <w:t>The decrease was the result of an increase of $497,000 in losses incurred on previously leased equipment, partially offset by an increase of $228,000 in contractual earnings on a larger average outstanding balance.</w:t>
      </w:r>
    </w:p>
    <w:p>
      <w:pPr>
        <w:pStyle w:val="TextBody"/>
        <w:bidi w:val="0"/>
        <w:spacing w:lineRule="auto" w:line="288" w:before="0" w:after="0"/>
        <w:jc w:val="both"/>
        <w:rPr/>
      </w:pPr>
      <w:r>
        <w:rPr>
          <w:rFonts w:ascii="Times New Roman;sans-serif" w:hAnsi="Times New Roman;sans-serif"/>
          <w:b/>
          <w:i/>
          <w:color w:val="000000"/>
          <w:sz w:val="18"/>
        </w:rPr>
        <w:t>Noninterest Expense.</w:t>
      </w:r>
      <w:r>
        <w:rPr>
          <w:color w:val="000000"/>
        </w:rPr>
        <w:t>  </w:t>
      </w:r>
      <w:r>
        <w:rPr>
          <w:rFonts w:ascii="Times New Roman;sans-serif" w:hAnsi="Times New Roman;sans-serif"/>
          <w:b w:val="false"/>
          <w:color w:val="000000"/>
          <w:sz w:val="18"/>
        </w:rPr>
        <w:t>Noninterest expense for the three months ended June 30, 2024 decreased $346,000, or 1.2%, when compared to the three months ended March 31, 2024. Changes in the components of noninterest expense are discussed below:</w:t>
      </w:r>
    </w:p>
    <w:tbl>
      <w:tblPr>
        <w:tblW w:w="7913" w:type="dxa"/>
        <w:jc w:val="left"/>
        <w:tblInd w:w="0" w:type="dxa"/>
        <w:tblLayout w:type="fixed"/>
        <w:tblCellMar>
          <w:top w:w="28" w:type="dxa"/>
          <w:left w:w="28" w:type="dxa"/>
          <w:bottom w:w="28" w:type="dxa"/>
          <w:right w:w="28" w:type="dxa"/>
        </w:tblCellMar>
      </w:tblPr>
      <w:tblGrid>
        <w:gridCol w:w="965"/>
        <w:gridCol w:w="850"/>
        <w:gridCol w:w="854"/>
        <w:gridCol w:w="238"/>
        <w:gridCol w:w="785"/>
        <w:gridCol w:w="132"/>
        <w:gridCol w:w="109"/>
        <w:gridCol w:w="109"/>
        <w:gridCol w:w="109"/>
        <w:gridCol w:w="266"/>
        <w:gridCol w:w="876"/>
        <w:gridCol w:w="147"/>
        <w:gridCol w:w="109"/>
        <w:gridCol w:w="109"/>
        <w:gridCol w:w="109"/>
        <w:gridCol w:w="222"/>
        <w:gridCol w:w="496"/>
        <w:gridCol w:w="125"/>
        <w:gridCol w:w="109"/>
        <w:gridCol w:w="109"/>
        <w:gridCol w:w="109"/>
        <w:gridCol w:w="204"/>
        <w:gridCol w:w="204"/>
        <w:gridCol w:w="568"/>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expense,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Telephone, postage and supplies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advertising</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 insurance premiums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deposit intangible amortization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noninterest expense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color w:val="000000"/>
        </w:rPr>
        <w:t>•</w:t>
      </w:r>
      <w:r>
        <w:rPr>
          <w:rFonts w:ascii="Times New Roman;sans-serif" w:hAnsi="Times New Roman;sans-serif"/>
          <w:b w:val="false"/>
          <w:i/>
          <w:color w:val="000000"/>
          <w:sz w:val="18"/>
        </w:rPr>
        <w:t xml:space="preserve">Core deposit intangible amortization: </w:t>
      </w:r>
      <w:r>
        <w:rPr>
          <w:rFonts w:ascii="Times New Roman;sans-serif" w:hAnsi="Times New Roman;sans-serif"/>
          <w:b w:val="false"/>
          <w:color w:val="000000"/>
          <w:sz w:val="18"/>
        </w:rPr>
        <w:t>The intangible recorded associated with the QNB merger is being amortized on an accelerated basis, so the rate of amortization slowed quarter-over-quarter.</w:t>
      </w:r>
    </w:p>
    <w:p>
      <w:pPr>
        <w:pStyle w:val="TextBody"/>
        <w:bidi w:val="0"/>
        <w:spacing w:lineRule="auto" w:line="288" w:before="0" w:after="80"/>
        <w:ind w:left="0" w:right="0" w:hanging="270"/>
        <w:jc w:val="both"/>
        <w:rPr/>
      </w:pPr>
      <w:r>
        <w:rPr>
          <w:color w:val="000000"/>
        </w:rPr>
        <w:t>•</w:t>
      </w:r>
      <w:r>
        <w:rPr>
          <w:rFonts w:ascii="Times New Roman;sans-serif" w:hAnsi="Times New Roman;sans-serif"/>
          <w:b w:val="false"/>
          <w:i/>
          <w:color w:val="000000"/>
          <w:sz w:val="18"/>
        </w:rPr>
        <w:t xml:space="preserve">Other: </w:t>
      </w:r>
      <w:r>
        <w:rPr>
          <w:rFonts w:ascii="Times New Roman;sans-serif" w:hAnsi="Times New Roman;sans-serif"/>
          <w:b w:val="false"/>
          <w:color w:val="000000"/>
          <w:sz w:val="18"/>
        </w:rPr>
        <w:t>The increase quarter-over-quarter was primarily the result of $279,000 of additional depreciation expense on equipment subject to operating leases in addition to smaller increases across several other expense categories.</w:t>
      </w:r>
    </w:p>
    <w:p>
      <w:pPr>
        <w:pStyle w:val="TextBody"/>
        <w:bidi w:val="0"/>
        <w:spacing w:lineRule="auto" w:line="288" w:before="0" w:after="120"/>
        <w:jc w:val="both"/>
        <w:rPr/>
      </w:pPr>
      <w:r>
        <w:rPr>
          <w:rFonts w:ascii="Times New Roman;sans-serif" w:hAnsi="Times New Roman;sans-serif"/>
          <w:b/>
          <w:i/>
          <w:color w:val="000000"/>
          <w:sz w:val="18"/>
        </w:rPr>
        <w:t>Income Taxes.</w:t>
      </w:r>
      <w:r>
        <w:rPr>
          <w:color w:val="000000"/>
        </w:rPr>
        <w:t>  </w:t>
      </w:r>
      <w:r>
        <w:rPr>
          <w:rFonts w:ascii="Times New Roman;sans-serif" w:hAnsi="Times New Roman;sans-serif"/>
          <w:b w:val="false"/>
          <w:color w:val="000000"/>
          <w:sz w:val="18"/>
        </w:rPr>
        <w:t>The amount of income tax expense is influenced by the amount of pre-tax income, tax-exempt income, changes in the statutory rate and the effect of changes in valuation allowances maintained against deferred tax benefits. The effective tax rates for the three months ended June 30, 2024 and March 31, 2024 were 21.4% and 20.8%, respectively. The increase was primarily driven by $1.1 million of tax-free gains on BOLI death benefit proceeds in excess of the cash surrender value of the policies during the prior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color w:val="000000"/>
          <w:sz w:val="18"/>
        </w:rPr>
      </w:pPr>
      <w:r>
        <w:rPr>
          <w:rFonts w:ascii="Times New Roman;sans-serif" w:hAnsi="Times New Roman;sans-serif"/>
          <w:b/>
          <w:color w:val="000000"/>
          <w:sz w:val="18"/>
        </w:rPr>
        <w:t>Comparison of Results of Operations for the Six Months Ended June 30, 2024 and June 30, 2023</w:t>
      </w:r>
    </w:p>
    <w:p>
      <w:pPr>
        <w:pStyle w:val="TextBody"/>
        <w:bidi w:val="0"/>
        <w:spacing w:lineRule="auto" w:line="288" w:before="0" w:after="120"/>
        <w:jc w:val="both"/>
        <w:rPr/>
      </w:pPr>
      <w:r>
        <w:rPr>
          <w:rFonts w:ascii="Times New Roman;sans-serif" w:hAnsi="Times New Roman;sans-serif"/>
          <w:b/>
          <w:i/>
          <w:color w:val="000000"/>
          <w:sz w:val="18"/>
        </w:rPr>
        <w:t>Net Income.</w:t>
      </w:r>
      <w:r>
        <w:rPr>
          <w:color w:val="000000"/>
        </w:rPr>
        <w:t>  </w:t>
      </w:r>
      <w:r>
        <w:rPr>
          <w:rFonts w:ascii="Times New Roman;sans-serif" w:hAnsi="Times New Roman;sans-serif"/>
          <w:b w:val="false"/>
          <w:color w:val="000000"/>
          <w:sz w:val="18"/>
        </w:rPr>
        <w:t>Net income totaled $27.5 million, or $1.61 per diluted share, for the six months ended June 30, 2024 compared to net income of $21.7 million, or $1.30 per diluted share, for the six months ended June 30, 2023, an increase of $5.7 million, or 26.4%. The results for the six months ended June 30, 2024 were positively impacted by a decrease of $3.7 million in the provision for credit losses and a $4.7 million decrease in merger-related expenses. Details of the changes in the various components of net income are further discussed below.</w:t>
      </w:r>
    </w:p>
    <w:p>
      <w:pPr>
        <w:pStyle w:val="TextBody"/>
        <w:bidi w:val="0"/>
        <w:spacing w:lineRule="auto" w:line="288" w:before="0" w:after="0"/>
        <w:jc w:val="both"/>
        <w:rPr/>
      </w:pPr>
      <w:r>
        <w:rPr>
          <w:rFonts w:ascii="Times New Roman;sans-serif" w:hAnsi="Times New Roman;sans-serif"/>
          <w:b/>
          <w:i/>
          <w:color w:val="000000"/>
          <w:sz w:val="18"/>
        </w:rPr>
        <w:t>Net Interest Income.</w:t>
      </w:r>
      <w:r>
        <w:rPr>
          <w:color w:val="000000"/>
        </w:rPr>
        <w:t>  </w:t>
      </w:r>
      <w:r>
        <w:rPr>
          <w:rFonts w:ascii="Times New Roman;sans-serif" w:hAnsi="Times New Roman;sans-serif"/>
          <w:b w:val="false"/>
          <w:color w:val="000000"/>
          <w:sz w:val="18"/>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W w:w="10205" w:type="dxa"/>
        <w:jc w:val="right"/>
        <w:tblInd w:w="0" w:type="dxa"/>
        <w:tblLayout w:type="fixed"/>
        <w:tblCellMar>
          <w:top w:w="28" w:type="dxa"/>
          <w:left w:w="28" w:type="dxa"/>
          <w:bottom w:w="28" w:type="dxa"/>
          <w:right w:w="28" w:type="dxa"/>
        </w:tblCellMar>
      </w:tblPr>
      <w:tblGrid>
        <w:gridCol w:w="1156"/>
        <w:gridCol w:w="685"/>
        <w:gridCol w:w="633"/>
        <w:gridCol w:w="390"/>
        <w:gridCol w:w="256"/>
        <w:gridCol w:w="580"/>
        <w:gridCol w:w="109"/>
        <w:gridCol w:w="109"/>
        <w:gridCol w:w="109"/>
        <w:gridCol w:w="196"/>
        <w:gridCol w:w="736"/>
        <w:gridCol w:w="109"/>
        <w:gridCol w:w="109"/>
        <w:gridCol w:w="109"/>
        <w:gridCol w:w="109"/>
        <w:gridCol w:w="233"/>
        <w:gridCol w:w="233"/>
        <w:gridCol w:w="290"/>
        <w:gridCol w:w="109"/>
        <w:gridCol w:w="109"/>
        <w:gridCol w:w="109"/>
        <w:gridCol w:w="390"/>
        <w:gridCol w:w="256"/>
        <w:gridCol w:w="580"/>
        <w:gridCol w:w="109"/>
        <w:gridCol w:w="109"/>
        <w:gridCol w:w="109"/>
        <w:gridCol w:w="196"/>
        <w:gridCol w:w="736"/>
        <w:gridCol w:w="109"/>
        <w:gridCol w:w="109"/>
        <w:gridCol w:w="109"/>
        <w:gridCol w:w="109"/>
        <w:gridCol w:w="233"/>
        <w:gridCol w:w="233"/>
        <w:gridCol w:w="340"/>
      </w:tblGrid>
      <w:tr>
        <w:trPr/>
        <w:tc>
          <w:tcPr>
            <w:tcW w:w="115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3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Yield /</w:t>
              <w:br/>
              <w:t>Rate</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6505" w:type="dxa"/>
            <w:gridSpan w:val="30"/>
            <w:tcBorders/>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Interest-earning assets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Loans receivable</w:t>
            </w:r>
            <w:r>
              <w:rPr>
                <w:rFonts w:ascii="Times New Roman;sans-serif" w:hAnsi="Times New Roman;sans-serif"/>
                <w:b w:val="false"/>
                <w:color w:val="000000"/>
                <w:sz w:val="12"/>
              </w:rPr>
              <w:t>(1)</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interest-earning assets</w:t>
            </w:r>
            <w:r>
              <w:rPr>
                <w:rFonts w:ascii="Times New Roman;sans-serif" w:hAnsi="Times New Roman;sans-serif"/>
                <w:b w:val="false"/>
                <w:color w:val="000000"/>
                <w:sz w:val="12"/>
              </w:rPr>
              <w:t>(2)</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interest-earning assets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4,141,186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3,884,299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checking accounts</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interest-bearing deposits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interest-bearing liabilities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deposits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3,692,106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 assets</w:t>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interest-earning assets to average interest-bearing liabilities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134.95 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139.49 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Non-tax-equivalent</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interest margin</w:t>
            </w:r>
            <w:r>
              <w:rPr>
                <w:rFonts w:ascii="Times New Roman;sans-serif" w:hAnsi="Times New Roman;sans-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Tax-equivalent</w:t>
            </w:r>
            <w:r>
              <w:rPr>
                <w:rFonts w:ascii="Times New Roman;sans-serif" w:hAnsi="Times New Roman;sans-serif"/>
                <w:b w:val="false"/>
                <w:color w:val="000000"/>
                <w:sz w:val="12"/>
              </w:rPr>
              <w:t>(4)</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interest margin</w:t>
            </w:r>
            <w:r>
              <w:rPr>
                <w:rFonts w:ascii="Times New Roman;sans-serif" w:hAnsi="Times New Roman;sans-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6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(1)Average loans receivable balances include loans held for sale and nonaccruing loans.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(2)Average other interest-earning assets consist of FRB stock, FHLB stock, SBIC investments and deposits in other banks.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(3)Net interest income divided by average interest-earning assets.</w:t>
      </w:r>
    </w:p>
    <w:p>
      <w:pPr>
        <w:pStyle w:val="TextBody"/>
        <w:bidi w:val="0"/>
        <w:spacing w:lineRule="auto" w:line="288" w:before="0" w:after="12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(4)Tax-equivalent results include adjustments to interest income of $704 and $588 for the six months ended June 30, 2024 and June 30, 2023, respectively, calculated based on a combined federal and state tax rate of 24%.</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Total interest and dividend income for the six months ended June 30, 2024 increased $19.0 million, or 17.3%, compared to the six months ended June 30, 2023, which was driven by an $18.1 million, or 17.4%, increase in interest income on loans and an increase of $602,000, or 18.5%, in interest income on other interest-earning assets. The overall increase in average yield on interest-earning assets was the result of both higher average balances and rising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Total interest expense for the six months ended June 30, 2024 increased $20.9 million, or 85.6%, compared to the six months ended June 30, 2023. The increase was primarily the result of increases in the average balances and cost of funds across most funding sources driven by higher market interest rates, as well as the inclusion of Quantum's portfolio for the entire period, unlike last year.</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tbl>
      <w:tblPr>
        <w:tblW w:w="5936" w:type="dxa"/>
        <w:jc w:val="left"/>
        <w:tblInd w:w="0" w:type="dxa"/>
        <w:tblLayout w:type="fixed"/>
        <w:tblCellMar>
          <w:top w:w="28" w:type="dxa"/>
          <w:left w:w="28" w:type="dxa"/>
          <w:bottom w:w="28" w:type="dxa"/>
          <w:right w:w="28" w:type="dxa"/>
        </w:tblCellMar>
      </w:tblPr>
      <w:tblGrid>
        <w:gridCol w:w="926"/>
        <w:gridCol w:w="817"/>
        <w:gridCol w:w="821"/>
        <w:gridCol w:w="196"/>
        <w:gridCol w:w="556"/>
        <w:gridCol w:w="109"/>
        <w:gridCol w:w="109"/>
        <w:gridCol w:w="109"/>
        <w:gridCol w:w="109"/>
        <w:gridCol w:w="196"/>
        <w:gridCol w:w="556"/>
        <w:gridCol w:w="109"/>
        <w:gridCol w:w="109"/>
        <w:gridCol w:w="109"/>
        <w:gridCol w:w="109"/>
        <w:gridCol w:w="196"/>
        <w:gridCol w:w="646"/>
        <w:gridCol w:w="154"/>
      </w:tblGrid>
      <w:tr>
        <w:trPr/>
        <w:tc>
          <w:tcPr>
            <w:tcW w:w="9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 (Decrease)</w:t>
              <w:br/>
              <w:t>Due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Increase /</w:t>
              <w:br/>
              <w:t>(Decrease)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Interest-earning 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interest-earning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interest-earning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Interest-bearing liabilities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checking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accounts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interest-bearing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Decrease in net interest income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i/>
          <w:color w:val="000000"/>
          <w:sz w:val="18"/>
        </w:rPr>
        <w:t>Provision for Credit Losses.</w:t>
      </w:r>
      <w:r>
        <w:rPr>
          <w:color w:val="000000"/>
        </w:rPr>
        <w:t>  </w:t>
      </w:r>
      <w:r>
        <w:rPr>
          <w:rFonts w:ascii="Times New Roman;sans-serif" w:hAnsi="Times New Roman;sans-serif"/>
          <w:b w:val="false"/>
          <w:color w:val="000000"/>
          <w:sz w:val="18"/>
        </w:rPr>
        <w:t>The following table presents a breakdown of the components of the provision for credit losses:</w:t>
      </w:r>
    </w:p>
    <w:tbl>
      <w:tblPr>
        <w:tblW w:w="7723" w:type="dxa"/>
        <w:jc w:val="left"/>
        <w:tblInd w:w="0" w:type="dxa"/>
        <w:tblLayout w:type="fixed"/>
        <w:tblCellMar>
          <w:top w:w="28" w:type="dxa"/>
          <w:left w:w="28" w:type="dxa"/>
          <w:bottom w:w="28" w:type="dxa"/>
          <w:right w:w="28" w:type="dxa"/>
        </w:tblCellMar>
      </w:tblPr>
      <w:tblGrid>
        <w:gridCol w:w="910"/>
        <w:gridCol w:w="804"/>
        <w:gridCol w:w="806"/>
        <w:gridCol w:w="263"/>
        <w:gridCol w:w="746"/>
        <w:gridCol w:w="146"/>
        <w:gridCol w:w="109"/>
        <w:gridCol w:w="109"/>
        <w:gridCol w:w="109"/>
        <w:gridCol w:w="263"/>
        <w:gridCol w:w="746"/>
        <w:gridCol w:w="146"/>
        <w:gridCol w:w="109"/>
        <w:gridCol w:w="109"/>
        <w:gridCol w:w="109"/>
        <w:gridCol w:w="196"/>
        <w:gridCol w:w="631"/>
        <w:gridCol w:w="109"/>
        <w:gridCol w:w="109"/>
        <w:gridCol w:w="109"/>
        <w:gridCol w:w="109"/>
        <w:gridCol w:w="204"/>
        <w:gridCol w:w="204"/>
        <w:gridCol w:w="568"/>
      </w:tblGrid>
      <w:tr>
        <w:trPr/>
        <w:tc>
          <w:tcPr>
            <w:tcW w:w="91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Off-balance-sheet credit exposure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provision for credit losses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40"/>
        <w:jc w:val="both"/>
        <w:rPr/>
      </w:pPr>
      <w:r>
        <w:rPr>
          <w:rFonts w:ascii="Times New Roman;sans-serif" w:hAnsi="Times New Roman;sans-serif"/>
          <w:b w:val="false"/>
          <w:color w:val="000000"/>
          <w:sz w:val="18"/>
          <w:shd w:fill="FFFFFF" w:val="clear"/>
        </w:rPr>
        <w:t xml:space="preserve">For the six months ended </w:t>
      </w:r>
      <w:r>
        <w:rPr>
          <w:rFonts w:ascii="Times New Roman;sans-serif" w:hAnsi="Times New Roman;sans-serif"/>
          <w:b w:val="false"/>
          <w:color w:val="000000"/>
          <w:sz w:val="18"/>
        </w:rPr>
        <w:t>June 30, 2024</w:t>
      </w:r>
      <w:r>
        <w:rPr>
          <w:rFonts w:ascii="Times New Roman;sans-serif" w:hAnsi="Times New Roman;sans-serif"/>
          <w:b w:val="false"/>
          <w:color w:val="000000"/>
          <w:sz w:val="18"/>
          <w:shd w:fill="FFFFFF" w:val="clear"/>
        </w:rPr>
        <w:t>, the "loans" portion of the provision for credit losses was the result of the following, in addition to net charge-offs of $4.9 million during the period:</w:t>
      </w:r>
    </w:p>
    <w:p>
      <w:pPr>
        <w:pStyle w:val="TextBody"/>
        <w:bidi w:val="0"/>
        <w:spacing w:lineRule="auto" w:line="288" w:before="0" w:after="40"/>
        <w:ind w:left="0" w:right="0" w:hanging="270"/>
        <w:jc w:val="both"/>
        <w:rPr/>
      </w:pPr>
      <w:r>
        <w:rPr>
          <w:color w:val="000000"/>
          <w:shd w:fill="FFFFFF" w:val="clear"/>
        </w:rPr>
        <w:t>•</w:t>
      </w:r>
      <w:r>
        <w:rPr>
          <w:rFonts w:ascii="Times New Roman;sans-serif" w:hAnsi="Times New Roman;sans-serif"/>
          <w:b w:val="false"/>
          <w:color w:val="000000"/>
          <w:sz w:val="18"/>
          <w:shd w:fill="FFFFFF" w:val="clear"/>
        </w:rPr>
        <w:t>$1.3 million benefit due to changes in the projected economic forecast, specifically the national unemployment rate,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ans-serif" w:hAnsi="Times New Roman;sans-serif"/>
          <w:b w:val="false"/>
          <w:color w:val="000000"/>
          <w:sz w:val="18"/>
          <w:shd w:fill="FFFFFF" w:val="clear"/>
        </w:rPr>
        <w:t>$1.8 million increase in specific reserves on individually evaluated loans which was proportional to the increase in the associated loan balances which increased from $8.1 million to $16.3 million during the six month period, concentrated in the equipment finance and SBA portfolios. Further information on the change in nonperforming loans may be found in the "Asset Quality" section.</w:t>
      </w:r>
    </w:p>
    <w:p>
      <w:pPr>
        <w:pStyle w:val="TextBody"/>
        <w:bidi w:val="0"/>
        <w:spacing w:lineRule="auto" w:line="288" w:before="0" w:after="40"/>
        <w:jc w:val="both"/>
        <w:rPr/>
      </w:pPr>
      <w:r>
        <w:rPr>
          <w:rFonts w:ascii="Times New Roman;sans-serif" w:hAnsi="Times New Roman;sans-serif"/>
          <w:b w:val="false"/>
          <w:color w:val="000000"/>
          <w:sz w:val="18"/>
          <w:shd w:fill="FFFFFF" w:val="clear"/>
        </w:rPr>
        <w:t xml:space="preserve">For the six months ended </w:t>
      </w:r>
      <w:r>
        <w:rPr>
          <w:rFonts w:ascii="Times New Roman;sans-serif" w:hAnsi="Times New Roman;sans-serif"/>
          <w:b w:val="false"/>
          <w:color w:val="000000"/>
          <w:sz w:val="18"/>
        </w:rPr>
        <w:t>June 30, 2023</w:t>
      </w:r>
      <w:r>
        <w:rPr>
          <w:rFonts w:ascii="Times New Roman;sans-serif" w:hAnsi="Times New Roman;sans-serif"/>
          <w:b w:val="false"/>
          <w:color w:val="000000"/>
          <w:sz w:val="18"/>
          <w:shd w:fill="FFFFFF" w:val="clear"/>
        </w:rPr>
        <w:t>, the "loans" portion of the provision for credit losses was the result of the following, in addition to net charge-offs of $1.3 million during the period:</w:t>
      </w:r>
    </w:p>
    <w:p>
      <w:pPr>
        <w:pStyle w:val="TextBody"/>
        <w:bidi w:val="0"/>
        <w:spacing w:lineRule="auto" w:line="288" w:before="0" w:after="40"/>
        <w:ind w:left="0" w:right="0" w:hanging="270"/>
        <w:jc w:val="both"/>
        <w:rPr/>
      </w:pPr>
      <w:r>
        <w:rPr>
          <w:color w:val="000000"/>
          <w:shd w:fill="FFFFFF" w:val="clear"/>
        </w:rPr>
        <w:t>•</w:t>
      </w:r>
      <w:r>
        <w:rPr>
          <w:rFonts w:ascii="Times New Roman;sans-serif" w:hAnsi="Times New Roman;sans-serif"/>
          <w:b w:val="false"/>
          <w:color w:val="000000"/>
          <w:sz w:val="18"/>
          <w:shd w:fill="FFFFFF" w:val="clear"/>
        </w:rPr>
        <w:t>$4.9 million provision to establish an allowance on Quantum's loan portfolio.</w:t>
      </w:r>
    </w:p>
    <w:p>
      <w:pPr>
        <w:pStyle w:val="TextBody"/>
        <w:bidi w:val="0"/>
        <w:spacing w:lineRule="auto" w:line="288" w:before="0" w:after="40"/>
        <w:ind w:left="0" w:right="0" w:hanging="270"/>
        <w:jc w:val="both"/>
        <w:rPr/>
      </w:pPr>
      <w:r>
        <w:rPr>
          <w:color w:val="000000"/>
          <w:shd w:fill="FFFFFF" w:val="clear"/>
        </w:rPr>
        <w:t>•</w:t>
      </w:r>
      <w:r>
        <w:rPr>
          <w:rFonts w:ascii="Times New Roman;sans-serif" w:hAnsi="Times New Roman;sans-serif"/>
          <w:b w:val="false"/>
          <w:color w:val="000000"/>
          <w:sz w:val="18"/>
          <w:shd w:fill="FFFFFF" w:val="clear"/>
        </w:rPr>
        <w:t>$2.1 million provision driven by loan growth and changes in the loan mix.</w:t>
      </w:r>
    </w:p>
    <w:p>
      <w:pPr>
        <w:pStyle w:val="TextBody"/>
        <w:bidi w:val="0"/>
        <w:spacing w:lineRule="auto" w:line="288" w:before="0" w:after="40"/>
        <w:ind w:left="0" w:right="0" w:hanging="270"/>
        <w:jc w:val="both"/>
        <w:rPr/>
      </w:pPr>
      <w:r>
        <w:rPr>
          <w:color w:val="000000"/>
          <w:shd w:fill="FFFFFF" w:val="clear"/>
        </w:rPr>
        <w:t>•</w:t>
      </w:r>
      <w:r>
        <w:rPr>
          <w:rFonts w:ascii="Times New Roman;sans-serif" w:hAnsi="Times New Roman;sans-serif"/>
          <w:b w:val="false"/>
          <w:color w:val="000000"/>
          <w:sz w:val="18"/>
          <w:shd w:fill="FFFFFF" w:val="clear"/>
        </w:rPr>
        <w:t>$0.9 million provision due to changes in the projected economic forecast, specifically the national unemployment rate,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ans-serif" w:hAnsi="Times New Roman;sans-serif"/>
          <w:b w:val="false"/>
          <w:color w:val="000000"/>
          <w:sz w:val="18"/>
          <w:shd w:fill="FFFFFF" w:val="clear"/>
        </w:rPr>
        <w:t>$0.1 million increase in specific reserves on individually evaluated credits.</w:t>
      </w:r>
    </w:p>
    <w:p>
      <w:pPr>
        <w:pStyle w:val="TextBody"/>
        <w:bidi w:val="0"/>
        <w:spacing w:lineRule="auto" w:line="288" w:before="0" w:after="60"/>
        <w:jc w:val="both"/>
        <w:rPr/>
      </w:pPr>
      <w:r>
        <w:rPr>
          <w:rFonts w:ascii="Times New Roman;sans-serif" w:hAnsi="Times New Roman;sans-serif"/>
          <w:b w:val="false"/>
          <w:color w:val="000000"/>
          <w:sz w:val="18"/>
          <w:shd w:fill="FFFFFF" w:val="clear"/>
        </w:rPr>
        <w:t xml:space="preserve">For the six months ended </w:t>
      </w:r>
      <w:r>
        <w:rPr>
          <w:rFonts w:ascii="Times New Roman;sans-serif" w:hAnsi="Times New Roman;sans-serif"/>
          <w:b w:val="false"/>
          <w:color w:val="000000"/>
          <w:sz w:val="18"/>
        </w:rPr>
        <w:t>June 30, 2024 and June 30, 2023</w:t>
      </w:r>
      <w:r>
        <w:rPr>
          <w:rFonts w:ascii="Times New Roman;sans-serif" w:hAnsi="Times New Roman;sans-serif"/>
          <w:b w:val="false"/>
          <w:color w:val="000000"/>
          <w:sz w:val="18"/>
          <w:shd w:fill="FFFFFF" w:val="clear"/>
        </w:rPr>
        <w:t>, the amounts recorded for off-balance-sheet credit exposure were the result of changes in the balance of loan commitments, loan mix and projected economic forecast as outlined above.</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ans-serif" w:hAnsi="Times New Roman;sans-serif"/>
          <w:b/>
          <w:i/>
          <w:color w:val="000000"/>
          <w:sz w:val="18"/>
        </w:rPr>
        <w:t>Noninterest Income.</w:t>
      </w:r>
      <w:r>
        <w:rPr>
          <w:color w:val="000000"/>
        </w:rPr>
        <w:t>  </w:t>
      </w:r>
      <w:r>
        <w:rPr>
          <w:rFonts w:ascii="Times New Roman;sans-serif" w:hAnsi="Times New Roman;sans-serif"/>
          <w:b w:val="false"/>
          <w:color w:val="000000"/>
          <w:sz w:val="18"/>
        </w:rPr>
        <w:t>Noninterest income for the six months ended June 30, 2024 increased $1.7 million, or 11.4%, when compared to the same period last year. Changes in the components of noninterest income are discussed below:</w:t>
      </w:r>
    </w:p>
    <w:tbl>
      <w:tblPr>
        <w:tblW w:w="8620" w:type="dxa"/>
        <w:jc w:val="left"/>
        <w:tblInd w:w="0" w:type="dxa"/>
        <w:tblLayout w:type="fixed"/>
        <w:tblCellMar>
          <w:top w:w="28" w:type="dxa"/>
          <w:left w:w="28" w:type="dxa"/>
          <w:bottom w:w="28" w:type="dxa"/>
          <w:right w:w="28" w:type="dxa"/>
        </w:tblCellMar>
      </w:tblPr>
      <w:tblGrid>
        <w:gridCol w:w="1230"/>
        <w:gridCol w:w="1086"/>
        <w:gridCol w:w="1089"/>
        <w:gridCol w:w="238"/>
        <w:gridCol w:w="785"/>
        <w:gridCol w:w="132"/>
        <w:gridCol w:w="109"/>
        <w:gridCol w:w="109"/>
        <w:gridCol w:w="109"/>
        <w:gridCol w:w="238"/>
        <w:gridCol w:w="785"/>
        <w:gridCol w:w="132"/>
        <w:gridCol w:w="109"/>
        <w:gridCol w:w="109"/>
        <w:gridCol w:w="109"/>
        <w:gridCol w:w="196"/>
        <w:gridCol w:w="556"/>
        <w:gridCol w:w="109"/>
        <w:gridCol w:w="109"/>
        <w:gridCol w:w="109"/>
        <w:gridCol w:w="109"/>
        <w:gridCol w:w="246"/>
        <w:gridCol w:w="249"/>
        <w:gridCol w:w="568"/>
      </w:tblGrid>
      <w:tr>
        <w:trPr/>
        <w:tc>
          <w:tcPr>
            <w:tcW w:w="123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charges and fees on deposit accounts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 income and fees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held for sale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 income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sale of premises and equipment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noninterest income</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shd w:fill="FFFFFF" w:val="clear"/>
        </w:rPr>
        <w:t>•</w:t>
      </w:r>
      <w:r>
        <w:rPr>
          <w:rFonts w:ascii="Times New Roman;sans-serif" w:hAnsi="Times New Roman;sans-serif"/>
          <w:b w:val="false"/>
          <w:i/>
          <w:color w:val="000000"/>
          <w:sz w:val="18"/>
        </w:rPr>
        <w:t>Gain on sale of loans held for sale:</w:t>
      </w:r>
      <w:r>
        <w:rPr>
          <w:color w:val="000000"/>
        </w:rPr>
        <w:t xml:space="preserve"> </w:t>
      </w:r>
      <w:r>
        <w:rPr>
          <w:rFonts w:ascii="Times New Roman;sans-serif" w:hAnsi="Times New Roman;sans-serif"/>
          <w:b w:val="false"/>
          <w:color w:val="000000"/>
          <w:sz w:val="18"/>
        </w:rPr>
        <w:t>The increase in the gain on sale of loans held for sale was primarily driven by HELOCs and SBA loans sold during the period.</w:t>
      </w:r>
      <w:r>
        <w:rPr>
          <w:color w:val="EE2724"/>
        </w:rPr>
        <w:t xml:space="preserve"> </w:t>
      </w:r>
      <w:r>
        <w:rPr>
          <w:rFonts w:ascii="Times New Roman;sans-serif" w:hAnsi="Times New Roman;sans-serif"/>
          <w:b w:val="false"/>
          <w:color w:val="000000"/>
          <w:sz w:val="18"/>
        </w:rPr>
        <w:t>During the six months ended June 30, 2024, there were $40.7 million of HELOCs sold for a gain of $473,000 compared to $35.2 million sold and gains of $354,000 for the corresponding period in the prior year. There were $25.6 million of sales of the guaranteed portion of SBA commercial loans with gains of $2.1 million compared to $28.8 million sold and gains of $1.9 million for the corresponding period in the prior year. There were $36.6 million of residential mortgage loans originated for sale which were sold during the current period with gains of $667,000 compared to $28.4 million sold with gains of $382,000 for the corresponding period in the prior year. Our hedging of mandatory commitments on the residential mortgage loan pipeline resulted in a loss of $3,000 for the six months ended June 30, 2024 versus a gain of $268,000 for the six months ended June 30, 2023 as a result of movement in interest rates during the hedged period.</w:t>
      </w:r>
    </w:p>
    <w:p>
      <w:pPr>
        <w:pStyle w:val="TextBody"/>
        <w:bidi w:val="0"/>
        <w:spacing w:lineRule="auto" w:line="288" w:before="0" w:after="40"/>
        <w:ind w:left="0" w:right="0" w:hanging="270"/>
        <w:jc w:val="both"/>
        <w:rPr/>
      </w:pPr>
      <w:r>
        <w:rPr>
          <w:color w:val="000000"/>
        </w:rPr>
        <w:t>•</w:t>
      </w:r>
      <w:r>
        <w:rPr>
          <w:rFonts w:ascii="Times New Roman;sans-serif" w:hAnsi="Times New Roman;sans-serif"/>
          <w:b w:val="false"/>
          <w:i/>
          <w:color w:val="000000"/>
          <w:sz w:val="18"/>
        </w:rPr>
        <w:t>BOLI income:</w:t>
      </w:r>
      <w:r>
        <w:rPr>
          <w:color w:val="000000"/>
        </w:rPr>
        <w:t xml:space="preserve"> </w:t>
      </w:r>
      <w:r>
        <w:rPr>
          <w:rFonts w:ascii="Times New Roman;sans-serif" w:hAnsi="Times New Roman;sans-serif"/>
          <w:b w:val="false"/>
          <w:color w:val="000000"/>
          <w:sz w:val="18"/>
        </w:rPr>
        <w:t>The increase was due to the combined effect of $1.1 million in tax-free gains on death benefit proceeds in excess of the cash surrender value of the policies recognized and higher yielding policies as a result of restructuring the portfolio at the end of the prior calendar year.</w:t>
      </w:r>
    </w:p>
    <w:p>
      <w:pPr>
        <w:pStyle w:val="TextBody"/>
        <w:bidi w:val="0"/>
        <w:spacing w:lineRule="auto" w:line="288" w:before="0" w:after="40"/>
        <w:ind w:left="0" w:right="0" w:hanging="270"/>
        <w:jc w:val="both"/>
        <w:rPr/>
      </w:pPr>
      <w:r>
        <w:rPr>
          <w:color w:val="000000"/>
        </w:rPr>
        <w:t>•</w:t>
      </w:r>
      <w:r>
        <w:rPr>
          <w:rFonts w:ascii="Times New Roman;sans-serif" w:hAnsi="Times New Roman;sans-serif"/>
          <w:b w:val="false"/>
          <w:i/>
          <w:color w:val="000000"/>
          <w:sz w:val="18"/>
        </w:rPr>
        <w:t xml:space="preserve">Operating lease income: </w:t>
      </w:r>
      <w:r>
        <w:rPr>
          <w:rFonts w:ascii="Times New Roman;sans-serif" w:hAnsi="Times New Roman;sans-serif"/>
          <w:b w:val="false"/>
          <w:color w:val="000000"/>
          <w:sz w:val="18"/>
        </w:rPr>
        <w:t>The increase was the result of $1.2 million in additional contractual earnings on a higher average outstanding balance of the associated contracts, partially offset by losses incurred on previously leased equipment, where we recognized net losses of $787,000 and $262,000 in the six months ended June 30, 2024 and June 30, 2023, respectively.</w:t>
      </w:r>
    </w:p>
    <w:p>
      <w:pPr>
        <w:pStyle w:val="TextBody"/>
        <w:bidi w:val="0"/>
        <w:spacing w:lineRule="auto" w:line="288" w:before="0" w:after="40"/>
        <w:ind w:left="0" w:right="0" w:hanging="270"/>
        <w:jc w:val="both"/>
        <w:rPr/>
      </w:pPr>
      <w:r>
        <w:rPr>
          <w:color w:val="000000"/>
        </w:rPr>
        <w:t>•</w:t>
      </w:r>
      <w:r>
        <w:rPr>
          <w:rFonts w:ascii="Times New Roman;sans-serif" w:hAnsi="Times New Roman;sans-serif"/>
          <w:b w:val="false"/>
          <w:i/>
          <w:color w:val="000000"/>
          <w:sz w:val="18"/>
        </w:rPr>
        <w:t>Gain (loss) on sale of premises and equipment:</w:t>
      </w:r>
      <w:r>
        <w:rPr>
          <w:color w:val="000000"/>
        </w:rPr>
        <w:t xml:space="preserve"> </w:t>
      </w:r>
      <w:r>
        <w:rPr>
          <w:rFonts w:ascii="Times New Roman;sans-serif" w:hAnsi="Times New Roman;sans-serif"/>
          <w:b w:val="false"/>
          <w:color w:val="000000"/>
          <w:sz w:val="18"/>
        </w:rPr>
        <w:t>During the six months ended June 30, 2023, two properties were sold for a combined gain of $982,000. No material disposal activity occurred during the six months ended June 30, 2024.</w:t>
      </w:r>
    </w:p>
    <w:p>
      <w:pPr>
        <w:pStyle w:val="TextBody"/>
        <w:bidi w:val="0"/>
        <w:spacing w:lineRule="auto" w:line="288" w:before="0" w:after="80"/>
        <w:ind w:left="0" w:right="0" w:hanging="270"/>
        <w:jc w:val="both"/>
        <w:rPr/>
      </w:pPr>
      <w:r>
        <w:rPr>
          <w:color w:val="000000"/>
        </w:rPr>
        <w:t>•</w:t>
      </w:r>
      <w:r>
        <w:rPr>
          <w:rFonts w:ascii="Times New Roman;sans-serif" w:hAnsi="Times New Roman;sans-serif"/>
          <w:b w:val="false"/>
          <w:i/>
          <w:color w:val="000000"/>
          <w:sz w:val="18"/>
        </w:rPr>
        <w:t>Other:</w:t>
      </w:r>
      <w:r>
        <w:rPr>
          <w:color w:val="000000"/>
        </w:rPr>
        <w:t xml:space="preserve"> </w:t>
      </w:r>
      <w:r>
        <w:rPr>
          <w:rFonts w:ascii="Times New Roman;sans-serif" w:hAnsi="Times New Roman;sans-serif"/>
          <w:b w:val="false"/>
          <w:color w:val="000000"/>
          <w:sz w:val="18"/>
        </w:rPr>
        <w:t>The increase was driven by a $270,000 increase in investment services income recognized period-over-period.</w:t>
      </w:r>
    </w:p>
    <w:p>
      <w:pPr>
        <w:pStyle w:val="TextBody"/>
        <w:bidi w:val="0"/>
        <w:spacing w:lineRule="auto" w:line="288" w:before="0" w:after="0"/>
        <w:jc w:val="both"/>
        <w:rPr/>
      </w:pPr>
      <w:r>
        <w:rPr>
          <w:rFonts w:ascii="Times New Roman;sans-serif" w:hAnsi="Times New Roman;sans-serif"/>
          <w:b/>
          <w:i/>
          <w:color w:val="000000"/>
          <w:sz w:val="18"/>
        </w:rPr>
        <w:t>Noninterest Expense.</w:t>
      </w:r>
      <w:r>
        <w:rPr>
          <w:color w:val="000000"/>
        </w:rPr>
        <w:t>  </w:t>
      </w:r>
      <w:r>
        <w:rPr>
          <w:rFonts w:ascii="Times New Roman;sans-serif" w:hAnsi="Times New Roman;sans-serif"/>
          <w:b w:val="false"/>
          <w:color w:val="000000"/>
          <w:sz w:val="18"/>
        </w:rPr>
        <w:t>Noninterest expense for the six months ended June 30, 2024 decreased $3.7 million, or 5.8%, when compared to the same period last year. Changes in the components of noninterest expense are discussed below:</w:t>
      </w:r>
    </w:p>
    <w:tbl>
      <w:tblPr>
        <w:tblW w:w="7960" w:type="dxa"/>
        <w:jc w:val="left"/>
        <w:tblInd w:w="0" w:type="dxa"/>
        <w:tblLayout w:type="fixed"/>
        <w:tblCellMar>
          <w:top w:w="28" w:type="dxa"/>
          <w:left w:w="28" w:type="dxa"/>
          <w:bottom w:w="28" w:type="dxa"/>
          <w:right w:w="28" w:type="dxa"/>
        </w:tblCellMar>
      </w:tblPr>
      <w:tblGrid>
        <w:gridCol w:w="965"/>
        <w:gridCol w:w="850"/>
        <w:gridCol w:w="854"/>
        <w:gridCol w:w="238"/>
        <w:gridCol w:w="785"/>
        <w:gridCol w:w="132"/>
        <w:gridCol w:w="109"/>
        <w:gridCol w:w="109"/>
        <w:gridCol w:w="109"/>
        <w:gridCol w:w="238"/>
        <w:gridCol w:w="785"/>
        <w:gridCol w:w="132"/>
        <w:gridCol w:w="109"/>
        <w:gridCol w:w="109"/>
        <w:gridCol w:w="109"/>
        <w:gridCol w:w="196"/>
        <w:gridCol w:w="631"/>
        <w:gridCol w:w="109"/>
        <w:gridCol w:w="109"/>
        <w:gridCol w:w="109"/>
        <w:gridCol w:w="109"/>
        <w:gridCol w:w="248"/>
        <w:gridCol w:w="248"/>
        <w:gridCol w:w="568"/>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expense,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Telephone, postage and supplies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advertising</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 insurance premiums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deposit intangible amortization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Merger-related expenses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noninterest expense</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rPr>
        <w:t>•</w:t>
      </w:r>
      <w:r>
        <w:rPr>
          <w:rFonts w:ascii="Times New Roman;sans-serif" w:hAnsi="Times New Roman;sans-serif"/>
          <w:b w:val="false"/>
          <w:i/>
          <w:color w:val="000000"/>
          <w:sz w:val="18"/>
        </w:rPr>
        <w:t>Marketing and advertising:</w:t>
      </w:r>
      <w:r>
        <w:rPr>
          <w:color w:val="000000"/>
        </w:rPr>
        <w:t xml:space="preserve"> </w:t>
      </w:r>
      <w:r>
        <w:rPr>
          <w:rFonts w:ascii="Times New Roman;sans-serif" w:hAnsi="Times New Roman;sans-serif"/>
          <w:b w:val="false"/>
          <w:color w:val="000000"/>
          <w:sz w:val="18"/>
        </w:rPr>
        <w:t>The increase was the result of differences in the timing of when expenses were incurred quarter-over-quarter.</w:t>
      </w:r>
    </w:p>
    <w:p>
      <w:pPr>
        <w:pStyle w:val="TextBody"/>
        <w:bidi w:val="0"/>
        <w:spacing w:lineRule="auto" w:line="288" w:before="0" w:after="40"/>
        <w:ind w:left="0" w:right="0" w:hanging="270"/>
        <w:jc w:val="both"/>
        <w:rPr/>
      </w:pPr>
      <w:r>
        <w:rPr>
          <w:color w:val="000000"/>
        </w:rPr>
        <w:t>•</w:t>
      </w:r>
      <w:r>
        <w:rPr>
          <w:rFonts w:ascii="Times New Roman;sans-serif" w:hAnsi="Times New Roman;sans-serif"/>
          <w:b w:val="false"/>
          <w:i/>
          <w:color w:val="000000"/>
          <w:sz w:val="18"/>
        </w:rPr>
        <w:t xml:space="preserve">Merger-related expenses: </w:t>
      </w:r>
      <w:r>
        <w:rPr>
          <w:rFonts w:ascii="Times New Roman;sans-serif" w:hAnsi="Times New Roman;sans-serif"/>
          <w:b w:val="false"/>
          <w:color w:val="000000"/>
          <w:sz w:val="18"/>
        </w:rPr>
        <w:t>The prior period included expenses associated with the Company's merger with Quantum. No such expenses were incurred in the six months ended June 30, 2024.</w:t>
      </w:r>
    </w:p>
    <w:p>
      <w:pPr>
        <w:pStyle w:val="TextBody"/>
        <w:bidi w:val="0"/>
        <w:spacing w:lineRule="auto" w:line="288" w:before="0" w:after="80"/>
        <w:ind w:left="0" w:right="0" w:hanging="270"/>
        <w:jc w:val="both"/>
        <w:rPr/>
      </w:pPr>
      <w:r>
        <w:rPr>
          <w:color w:val="000000"/>
        </w:rPr>
        <w:t>•</w:t>
      </w:r>
      <w:r>
        <w:rPr>
          <w:rFonts w:ascii="Times New Roman;sans-serif" w:hAnsi="Times New Roman;sans-serif"/>
          <w:b w:val="false"/>
          <w:i/>
          <w:color w:val="000000"/>
          <w:sz w:val="18"/>
        </w:rPr>
        <w:t>Other:</w:t>
      </w:r>
      <w:r>
        <w:rPr>
          <w:color w:val="000000"/>
        </w:rPr>
        <w:t xml:space="preserve"> </w:t>
      </w:r>
      <w:r>
        <w:rPr>
          <w:rFonts w:ascii="Times New Roman;sans-serif" w:hAnsi="Times New Roman;sans-serif"/>
          <w:b w:val="false"/>
          <w:color w:val="000000"/>
          <w:sz w:val="18"/>
        </w:rPr>
        <w:t>The increase period-over-period was primarily driven by $1.0 million of additional depreciation expense on equipment subject to operating leases, partially offset by a decrease of $314,000 in fraud losses.</w:t>
      </w:r>
    </w:p>
    <w:p>
      <w:pPr>
        <w:pStyle w:val="TextBody"/>
        <w:bidi w:val="0"/>
        <w:spacing w:lineRule="auto" w:line="288" w:before="0" w:after="120"/>
        <w:jc w:val="both"/>
        <w:rPr/>
      </w:pPr>
      <w:r>
        <w:rPr>
          <w:rFonts w:ascii="Times New Roman;sans-serif" w:hAnsi="Times New Roman;sans-serif"/>
          <w:b/>
          <w:i/>
          <w:color w:val="000000"/>
          <w:sz w:val="18"/>
        </w:rPr>
        <w:t>Income Taxes.</w:t>
      </w:r>
      <w:r>
        <w:rPr>
          <w:color w:val="000000"/>
        </w:rPr>
        <w:t>  </w:t>
      </w:r>
      <w:r>
        <w:rPr>
          <w:rFonts w:ascii="Times New Roman;sans-serif" w:hAnsi="Times New Roman;sans-serif"/>
          <w:b w:val="false"/>
          <w:color w:val="000000"/>
          <w:sz w:val="18"/>
        </w:rPr>
        <w:t>The amount of income tax expense is influenced by the amount of pre-tax income, tax-exempt income, changes in the statutory rate and the effect of changes in valuation allowances maintained against deferred tax benefits. The effective tax rates for the six months ended June 30, 2024 and June 30, 2023 were 21.1% and 21.3%,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both"/>
        <w:rPr/>
      </w:pPr>
      <w:r>
        <w:rPr>
          <w:rFonts w:ascii="Times New Roman;sans-serif" w:hAnsi="Times New Roman;sans-serif"/>
          <w:b/>
          <w:color w:val="000000"/>
          <w:sz w:val="18"/>
          <w:shd w:fill="FFFFFF" w:val="clear"/>
        </w:rPr>
        <w:t xml:space="preserve">Comparison of Financial Condition at </w:t>
      </w:r>
      <w:r>
        <w:rPr>
          <w:rFonts w:ascii="Times New Roman;sans-serif" w:hAnsi="Times New Roman;sans-serif"/>
          <w:b/>
          <w:color w:val="000000"/>
          <w:sz w:val="18"/>
        </w:rPr>
        <w:t>June 30, 2024</w:t>
      </w:r>
      <w:r>
        <w:rPr>
          <w:color w:val="000000"/>
          <w:shd w:fill="FFFFFF" w:val="clear"/>
        </w:rPr>
        <w:t xml:space="preserve"> </w:t>
      </w:r>
      <w:r>
        <w:rPr>
          <w:rFonts w:ascii="Times New Roman;sans-serif" w:hAnsi="Times New Roman;sans-serif"/>
          <w:b/>
          <w:color w:val="000000"/>
          <w:sz w:val="18"/>
          <w:shd w:fill="FFFFFF" w:val="clear"/>
        </w:rPr>
        <w:t>and December 31, 2023</w:t>
      </w:r>
    </w:p>
    <w:p>
      <w:pPr>
        <w:pStyle w:val="TextBody"/>
        <w:bidi w:val="0"/>
        <w:spacing w:lineRule="auto" w:line="288" w:before="0" w:after="80"/>
        <w:jc w:val="both"/>
        <w:rPr/>
      </w:pPr>
      <w:r>
        <w:rPr>
          <w:rFonts w:ascii="Times New Roman;sans-serif" w:hAnsi="Times New Roman;sans-serif"/>
          <w:b/>
          <w:i/>
          <w:color w:val="000000"/>
          <w:sz w:val="18"/>
          <w:shd w:fill="FFFFFF" w:val="clear"/>
        </w:rPr>
        <w:t xml:space="preserve">General.  </w:t>
      </w:r>
      <w:r>
        <w:rPr>
          <w:rFonts w:ascii="Times New Roman;sans-serif" w:hAnsi="Times New Roman;sans-serif"/>
          <w:b w:val="false"/>
          <w:color w:val="000000"/>
          <w:sz w:val="18"/>
        </w:rPr>
        <w:t>Total assets decreased by $1.8 million to $4.7 billion and total liabilities decreased by $25.5 million to $4.1 billion, respectively, at June 30, 2024 as compared to December 31, 2023. The majority of these changes were the result of the use of liquidity to pay down borrowings, partially offset by an increase in deposits and the funding of loan growth.</w:t>
      </w:r>
    </w:p>
    <w:p>
      <w:pPr>
        <w:pStyle w:val="TextBody"/>
        <w:bidi w:val="0"/>
        <w:spacing w:lineRule="auto" w:line="288" w:before="0" w:after="80"/>
        <w:jc w:val="both"/>
        <w:rPr/>
      </w:pPr>
      <w:r>
        <w:rPr>
          <w:rFonts w:ascii="Times New Roman;sans-serif" w:hAnsi="Times New Roman;sans-serif"/>
          <w:b/>
          <w:i/>
          <w:color w:val="000000"/>
          <w:sz w:val="18"/>
        </w:rPr>
        <w:t>Cash and Cash Equivalents.</w:t>
      </w:r>
      <w:r>
        <w:rPr>
          <w:color w:val="000000"/>
        </w:rPr>
        <w:t xml:space="preserve">  </w:t>
      </w:r>
      <w:r>
        <w:rPr>
          <w:rFonts w:ascii="Times New Roman;sans-serif" w:hAnsi="Times New Roman;sans-serif"/>
          <w:b w:val="false"/>
          <w:color w:val="000000"/>
          <w:sz w:val="18"/>
        </w:rPr>
        <w:t>Total cash and cash equivalents decreased $53.0 million, or 15.3%, to $294.2 million at June 30, 2024 from $347.1 million at December 31, 2023.</w:t>
      </w:r>
    </w:p>
    <w:p>
      <w:pPr>
        <w:pStyle w:val="TextBody"/>
        <w:bidi w:val="0"/>
        <w:spacing w:lineRule="auto" w:line="288" w:before="0" w:after="80"/>
        <w:jc w:val="both"/>
        <w:rPr/>
      </w:pPr>
      <w:r>
        <w:rPr>
          <w:rFonts w:ascii="Times New Roman;sans-serif" w:hAnsi="Times New Roman;sans-serif"/>
          <w:b/>
          <w:i/>
          <w:color w:val="000000"/>
          <w:sz w:val="18"/>
        </w:rPr>
        <w:t>Debt Securities Available for Sale. </w:t>
      </w:r>
      <w:r>
        <w:rPr>
          <w:color w:val="000000"/>
        </w:rPr>
        <w:t xml:space="preserve"> </w:t>
      </w:r>
      <w:r>
        <w:rPr>
          <w:rFonts w:ascii="Times New Roman;sans-serif" w:hAnsi="Times New Roman;sans-serif"/>
          <w:b w:val="false"/>
          <w:color w:val="000000"/>
          <w:sz w:val="18"/>
        </w:rPr>
        <w:t>Debt securities available for sale increased $7.2 million, or 5.7%, to $134.1 million at June 30, 2024 from $127.0 million at December 31, 2023. Outside of changes in value, the changes between periods were the result of $27.5 million in purchases, partially offset by $19.8 million in proceeds from the maturity, call and paydown of securities.</w:t>
      </w:r>
    </w:p>
    <w:p>
      <w:pPr>
        <w:pStyle w:val="TextBody"/>
        <w:bidi w:val="0"/>
        <w:spacing w:lineRule="auto" w:line="288" w:before="0" w:after="80"/>
        <w:jc w:val="both"/>
        <w:rPr/>
      </w:pPr>
      <w:r>
        <w:rPr>
          <w:rFonts w:ascii="Times New Roman;sans-serif" w:hAnsi="Times New Roman;sans-serif"/>
          <w:b/>
          <w:i/>
          <w:color w:val="000000"/>
          <w:sz w:val="18"/>
        </w:rPr>
        <w:t xml:space="preserve">Loans Held for Sale. </w:t>
      </w:r>
      <w:r>
        <w:rPr>
          <w:rFonts w:ascii="Times New Roman;sans-serif" w:hAnsi="Times New Roman;sans-serif"/>
          <w:b w:val="false"/>
          <w:color w:val="000000"/>
          <w:sz w:val="18"/>
        </w:rPr>
        <w:t>Loans held for sale increased $24.8 million, or 12.3%, to $226.6 million at June 30, 2024 from $201.8 million at December 31, 2023. This was driven by an increase of $36.3 million, or 21.5%, in HELOCs held for sale, partially offset by a $10.4 million, or 33.9%, decrease in SBA loans held for sale.</w:t>
      </w:r>
    </w:p>
    <w:p>
      <w:pPr>
        <w:pStyle w:val="TextBody"/>
        <w:bidi w:val="0"/>
        <w:spacing w:lineRule="auto" w:line="288" w:before="0" w:after="0"/>
        <w:jc w:val="both"/>
        <w:rPr/>
      </w:pPr>
      <w:r>
        <w:rPr>
          <w:rFonts w:ascii="Times New Roman;sans-serif" w:hAnsi="Times New Roman;sans-serif"/>
          <w:b/>
          <w:i/>
          <w:color w:val="000000"/>
          <w:sz w:val="18"/>
        </w:rPr>
        <w:t>Loans, Net of Deferred Loan Fees and Costs.</w:t>
      </w:r>
      <w:r>
        <w:rPr>
          <w:color w:val="000000"/>
        </w:rPr>
        <w:t xml:space="preserve">  </w:t>
      </w:r>
      <w:r>
        <w:rPr>
          <w:rFonts w:ascii="Times New Roman;sans-serif" w:hAnsi="Times New Roman;sans-serif"/>
          <w:b w:val="false"/>
          <w:color w:val="000000"/>
          <w:sz w:val="18"/>
        </w:rPr>
        <w:t>Total loans increased $61.4 million, or 1.7%, to $3.7 billion at June 30, 2024. The following table illustrates the changes within the portfolio:</w:t>
      </w:r>
    </w:p>
    <w:tbl>
      <w:tblPr>
        <w:tblW w:w="10205" w:type="dxa"/>
        <w:jc w:val="left"/>
        <w:tblInd w:w="0" w:type="dxa"/>
        <w:tblLayout w:type="fixed"/>
        <w:tblCellMar>
          <w:top w:w="28" w:type="dxa"/>
          <w:left w:w="28" w:type="dxa"/>
          <w:bottom w:w="28" w:type="dxa"/>
          <w:right w:w="28" w:type="dxa"/>
        </w:tblCellMar>
      </w:tblPr>
      <w:tblGrid>
        <w:gridCol w:w="899"/>
        <w:gridCol w:w="695"/>
        <w:gridCol w:w="699"/>
        <w:gridCol w:w="196"/>
        <w:gridCol w:w="871"/>
        <w:gridCol w:w="109"/>
        <w:gridCol w:w="109"/>
        <w:gridCol w:w="109"/>
        <w:gridCol w:w="109"/>
        <w:gridCol w:w="225"/>
        <w:gridCol w:w="1001"/>
        <w:gridCol w:w="125"/>
        <w:gridCol w:w="109"/>
        <w:gridCol w:w="109"/>
        <w:gridCol w:w="109"/>
        <w:gridCol w:w="196"/>
        <w:gridCol w:w="646"/>
        <w:gridCol w:w="109"/>
        <w:gridCol w:w="109"/>
        <w:gridCol w:w="109"/>
        <w:gridCol w:w="109"/>
        <w:gridCol w:w="184"/>
        <w:gridCol w:w="189"/>
        <w:gridCol w:w="256"/>
        <w:gridCol w:w="109"/>
        <w:gridCol w:w="109"/>
        <w:gridCol w:w="109"/>
        <w:gridCol w:w="265"/>
        <w:gridCol w:w="207"/>
        <w:gridCol w:w="432"/>
        <w:gridCol w:w="110"/>
        <w:gridCol w:w="110"/>
        <w:gridCol w:w="110"/>
        <w:gridCol w:w="278"/>
        <w:gridCol w:w="259"/>
        <w:gridCol w:w="726"/>
      </w:tblGrid>
      <w:tr>
        <w:trPr/>
        <w:tc>
          <w:tcPr>
            <w:tcW w:w="89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of Total</w:t>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 loans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1,806,131 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loans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853,120 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 loans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866,929 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Consumer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 net of deferred loan fees and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3,640,022 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80"/>
        <w:jc w:val="both"/>
        <w:rPr/>
      </w:pPr>
      <w:r>
        <w:rPr>
          <w:rFonts w:ascii="Times New Roman;sans-serif" w:hAnsi="Times New Roman;sans-serif"/>
          <w:b/>
          <w:i/>
          <w:color w:val="000000"/>
          <w:sz w:val="18"/>
        </w:rPr>
        <w:t>Asset Quality.</w:t>
      </w:r>
      <w:r>
        <w:rPr>
          <w:color w:val="EE2724"/>
        </w:rPr>
        <w:t xml:space="preserve"> </w:t>
      </w:r>
      <w:r>
        <w:rPr>
          <w:rFonts w:ascii="Times New Roman;sans-serif" w:hAnsi="Times New Roman;sans-serif"/>
          <w:b w:val="false"/>
          <w:color w:val="000000"/>
          <w:sz w:val="18"/>
        </w:rPr>
        <w:t>Nonperforming assets, made up entirely of nonaccrual loans for both periods, increased by $5.9 million, or 30.7%, to $25.3 million, or 0.54% of total assets, at June 30, 2024 compared to $19.3 million, or 0.41% of total assets, at December 31, 2023. Consistent with the change in net charge-offs discussed below, equipment finance loans made up the largest portion of nonperforming assets at $10.7 million and $6.5 million, respectively, at these same dates; however, the increase between these two dates was mainly the result of a $3.1 million medical equipment relationship where a loss is not currently anticipated. The ratio of nonperforming loans to total loans was 0.68% at June 30, 2024 compared to 0.53% at December 31, 2023.</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ratio of classified assets to total assets increased to 0.91% at June 30, 2024 from 0.90% at December 31, 2023 as classified assets increased $696,000, or 1.7%, to $42.7 million at June 30, 2024 compared to $42.0 million at December 31, 2023. The largest portfolios of classified assets at June 30, 2024 included $11.8 million of non-owner occupied commercial real estate (NOO CRE) loans, $10.6 million of equipment finance loans, $8.1 million of SBA loans, and $5.2 million of 1-4 family residential real estate loans.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Our individually evaluated loans are comprised of loans meeting certain dollar thresholds and those on nonaccrual status, and may be evaluated for reserve purposes using either the cash flow or collateral valuation method. As of June 30, 2024, there were $16.3 million in individually evaluated loans compared to $8.8 million at December 31, 2023. The reason for the change between periods is consistent with the change in nonperforming assets previously discussed.</w:t>
      </w:r>
    </w:p>
    <w:p>
      <w:pPr>
        <w:pStyle w:val="TextBody"/>
        <w:bidi w:val="0"/>
        <w:spacing w:lineRule="auto" w:line="288" w:before="0" w:after="80"/>
        <w:jc w:val="both"/>
        <w:rPr/>
      </w:pPr>
      <w:r>
        <w:rPr>
          <w:rFonts w:ascii="Times New Roman;sans-serif" w:hAnsi="Times New Roman;sans-serif"/>
          <w:b/>
          <w:i/>
          <w:color w:val="000000"/>
          <w:sz w:val="18"/>
        </w:rPr>
        <w:t>Allowance for Credit Losses on Loans.</w:t>
      </w:r>
      <w:r>
        <w:rPr>
          <w:color w:val="000000"/>
        </w:rPr>
        <w:t xml:space="preserve">  </w:t>
      </w:r>
      <w:r>
        <w:rPr>
          <w:rFonts w:ascii="Times New Roman;sans-serif" w:hAnsi="Times New Roman;sans-serif"/>
          <w:b w:val="false"/>
          <w:color w:val="000000"/>
          <w:sz w:val="18"/>
        </w:rPr>
        <w:t xml:space="preserve">The ACL on loans was $49.2 million, or 1.33% of total loans, at June 30, 2024 compared to $48.6 million, or 1.34% of total loans, at December 31, 2023. The drivers of the changes between periods are discussed in the "Comparison of Results of Operations for the Six Months Ended June 30, 2024 and June 30, 2023 </w:t>
      </w:r>
      <w:r>
        <w:rPr>
          <w:color w:val="000000"/>
        </w:rPr>
        <w:t xml:space="preserve">– </w:t>
      </w:r>
      <w:r>
        <w:rPr>
          <w:rFonts w:ascii="Times New Roman;sans-serif" w:hAnsi="Times New Roman;sans-serif"/>
          <w:b w:val="false"/>
          <w:color w:val="000000"/>
          <w:sz w:val="18"/>
        </w:rPr>
        <w:t>Provision for Credit Losses" section above.</w:t>
      </w:r>
    </w:p>
    <w:p>
      <w:pPr>
        <w:pStyle w:val="TextBody"/>
        <w:bidi w:val="0"/>
        <w:spacing w:lineRule="auto" w:line="288" w:before="0" w:after="80"/>
        <w:jc w:val="both"/>
        <w:rPr/>
      </w:pPr>
      <w:r>
        <w:rPr>
          <w:rFonts w:ascii="Times New Roman;sans-serif" w:hAnsi="Times New Roman;sans-serif"/>
          <w:b w:val="false"/>
          <w:color w:val="000000"/>
          <w:sz w:val="18"/>
        </w:rPr>
        <w:t xml:space="preserve">Net loan charge-offs totaled $4.9 million for the </w:t>
      </w:r>
      <w:r>
        <w:rPr>
          <w:rFonts w:ascii="Times New Roman;sans-serif" w:hAnsi="Times New Roman;sans-serif"/>
          <w:b w:val="false"/>
          <w:color w:val="000000"/>
          <w:sz w:val="18"/>
          <w:shd w:fill="FFFFFF" w:val="clear"/>
        </w:rPr>
        <w:t>six</w:t>
      </w:r>
      <w:r>
        <w:rPr>
          <w:color w:val="000000"/>
        </w:rPr>
        <w:t xml:space="preserve"> </w:t>
      </w:r>
      <w:r>
        <w:rPr>
          <w:rFonts w:ascii="Times New Roman;sans-serif" w:hAnsi="Times New Roman;sans-serif"/>
          <w:b w:val="false"/>
          <w:color w:val="000000"/>
          <w:sz w:val="18"/>
        </w:rPr>
        <w:t xml:space="preserve">months ended June 30, 2024 compared to $1.3 million for the same period last year. As discussed in previous quarters, the increase in net charge-offs has been concentrated in our equipment finance portfolio, primarily smaller over-the-road truck loans, with net charge-offs of $3.4 million during the identified period. In response, during the first quarter of calendar year 2024 the Company elected to cease further originations within the transportation sector of equipment finance loans. In spite of the increase, annualized net charge-offs as a percentage of average assets were 0.25% for the six months ended June 30, 2024, in line with the Company's historical experience, as compared to 0.07% for the </w:t>
      </w:r>
      <w:r>
        <w:rPr>
          <w:rFonts w:ascii="Times New Roman;sans-serif" w:hAnsi="Times New Roman;sans-serif"/>
          <w:b w:val="false"/>
          <w:color w:val="000000"/>
          <w:sz w:val="18"/>
          <w:shd w:fill="FFFFFF" w:val="clear"/>
        </w:rPr>
        <w:t>six</w:t>
      </w:r>
      <w:r>
        <w:rPr>
          <w:color w:val="000000"/>
        </w:rPr>
        <w:t xml:space="preserve"> </w:t>
      </w:r>
      <w:r>
        <w:rPr>
          <w:rFonts w:ascii="Times New Roman;sans-serif" w:hAnsi="Times New Roman;sans-serif"/>
          <w:b w:val="false"/>
          <w:color w:val="000000"/>
          <w:sz w:val="18"/>
        </w:rPr>
        <w:t>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pPr>
      <w:r>
        <w:rPr>
          <w:rFonts w:ascii="Times New Roman;sans-serif" w:hAnsi="Times New Roman;sans-serif"/>
          <w:b/>
          <w:i/>
          <w:color w:val="000000"/>
          <w:sz w:val="18"/>
        </w:rPr>
        <w:t>Other Assets. </w:t>
      </w:r>
      <w:r>
        <w:rPr>
          <w:color w:val="000000"/>
        </w:rPr>
        <w:t xml:space="preserve"> </w:t>
      </w:r>
      <w:r>
        <w:rPr>
          <w:rFonts w:ascii="Times New Roman;sans-serif" w:hAnsi="Times New Roman;sans-serif"/>
          <w:b w:val="false"/>
          <w:color w:val="000000"/>
          <w:sz w:val="18"/>
        </w:rPr>
        <w:t>Other assets decreased by $40.7 million, or 37.9%, to $66.7 million at June 30, 2024 from $107.4 million at December 31, 2023. During the quarter ended December 31, 2023, we had established a $47.9 million receivable for proceeds from the redemption of BOLI policies. The decrease between periods was due to the collection of $43.6 million of this receivable.</w:t>
      </w:r>
    </w:p>
    <w:p>
      <w:pPr>
        <w:pStyle w:val="TextBody"/>
        <w:bidi w:val="0"/>
        <w:spacing w:lineRule="auto" w:line="288" w:before="0" w:after="40"/>
        <w:jc w:val="both"/>
        <w:rPr/>
      </w:pPr>
      <w:r>
        <w:rPr>
          <w:rFonts w:ascii="Times New Roman;sans-serif" w:hAnsi="Times New Roman;sans-serif"/>
          <w:b/>
          <w:i/>
          <w:color w:val="000000"/>
          <w:sz w:val="18"/>
        </w:rPr>
        <w:t>Deposits. </w:t>
      </w:r>
      <w:r>
        <w:rPr>
          <w:color w:val="000000"/>
        </w:rPr>
        <w:t xml:space="preserve"> </w:t>
      </w:r>
      <w:r>
        <w:rPr>
          <w:rFonts w:ascii="Times New Roman;sans-serif" w:hAnsi="Times New Roman;sans-serif"/>
          <w:b w:val="false"/>
          <w:color w:val="000000"/>
          <w:sz w:val="18"/>
        </w:rPr>
        <w:t>The following table summarizes the composition of our deposit portfolio as of the dates indicated:</w:t>
      </w:r>
    </w:p>
    <w:tbl>
      <w:tblPr>
        <w:tblW w:w="8419" w:type="dxa"/>
        <w:jc w:val="left"/>
        <w:tblInd w:w="0" w:type="dxa"/>
        <w:tblLayout w:type="fixed"/>
        <w:tblCellMar>
          <w:top w:w="28" w:type="dxa"/>
          <w:left w:w="28" w:type="dxa"/>
          <w:bottom w:w="28" w:type="dxa"/>
          <w:right w:w="28" w:type="dxa"/>
        </w:tblCellMar>
      </w:tblPr>
      <w:tblGrid>
        <w:gridCol w:w="791"/>
        <w:gridCol w:w="698"/>
        <w:gridCol w:w="700"/>
        <w:gridCol w:w="196"/>
        <w:gridCol w:w="871"/>
        <w:gridCol w:w="109"/>
        <w:gridCol w:w="109"/>
        <w:gridCol w:w="109"/>
        <w:gridCol w:w="109"/>
        <w:gridCol w:w="257"/>
        <w:gridCol w:w="1145"/>
        <w:gridCol w:w="143"/>
        <w:gridCol w:w="109"/>
        <w:gridCol w:w="109"/>
        <w:gridCol w:w="109"/>
        <w:gridCol w:w="196"/>
        <w:gridCol w:w="811"/>
        <w:gridCol w:w="109"/>
        <w:gridCol w:w="109"/>
        <w:gridCol w:w="109"/>
        <w:gridCol w:w="109"/>
        <w:gridCol w:w="214"/>
        <w:gridCol w:w="214"/>
        <w:gridCol w:w="503"/>
        <w:gridCol w:w="109"/>
        <w:gridCol w:w="109"/>
        <w:gridCol w:w="109"/>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Core deposits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591,270 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1,246,807 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core deposits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2,817,513 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3,661,373 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Liquidity Management</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pStyle w:val="TextBody"/>
        <w:bidi w:val="0"/>
        <w:spacing w:lineRule="auto" w:line="288" w:before="0" w:after="80"/>
        <w:jc w:val="both"/>
        <w:rPr/>
      </w:pPr>
      <w:r>
        <w:rPr>
          <w:rFonts w:ascii="Times New Roman;sans-serif" w:hAnsi="Times New Roman;sans-serif"/>
          <w:b w:val="false"/>
          <w:color w:val="000000"/>
          <w:sz w:val="18"/>
        </w:rPr>
        <w:t xml:space="preserve">In addition to these primary sources of funds, management has several secondary sources available to meet potential funding requirements. All qualifying one-to-four family loans, HELOCs, commercial real estate loans, multifamily loans and FHLB of Atlanta stock are pledged as collateral to secure outstanding FHLB advances while commercial construction, indirect auto, and equipment and municipal leases are pledged as collateral to secure outstanding FRB advances. At June 30, 2024, the Company had the ability to borrow $122.8 million through FHLB advances and $118.0 million through the unused portion of a line of credit with the FRB. At this same date, the Company maintained revolving lines of credit with three unaffiliated banks, the unused portion of which totaled $152.5 million. HomeTrust had drawn $12.5 million on a $40.0 million revolving line of credit which bears interest at </w:t>
      </w:r>
      <w:r>
        <w:rPr>
          <w:rFonts w:ascii="Times New Roman;sans-serif" w:hAnsi="Times New Roman;sans-serif"/>
          <w:b w:val="false"/>
          <w:i/>
          <w:color w:val="000000"/>
          <w:sz w:val="18"/>
        </w:rPr>
        <w:t>The Wall Street Journal</w:t>
      </w:r>
      <w:r>
        <w:rPr>
          <w:color w:val="000000"/>
        </w:rPr>
        <w:t xml:space="preserve"> </w:t>
      </w:r>
      <w:r>
        <w:rPr>
          <w:rFonts w:ascii="Times New Roman;sans-serif" w:hAnsi="Times New Roman;sans-serif"/>
          <w:b w:val="false"/>
          <w:color w:val="000000"/>
          <w:sz w:val="18"/>
        </w:rPr>
        <w:t>prime rate plus 50 basis points, maturing on January 28, 2025, although the term may be extended for an additional year if no events of default have occurred.</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we 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June 30, 2024, brokered deposits totaled $403.1 million, or 10.9% of total deposits.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June 30, 2024, we (on an unconsolidated basis) had liquid assets of $506,000.</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At the Bank level, we use our sources of funds primarily to meet our ongoing commitments, pay maturing deposits and fund withdrawals and to fund loan commitments. At June 30, 2024, the total approved loan commitments and unused lines of credit outstanding amounted to $245.3 million and $698.1 million, respectively, as compared to $240.9 million and $690.6 million as of December 31, 2023. Certificates of deposit scheduled to mature in one year or less at June 30, 2024 totaled $845.2 million. It is management's policy to manage deposit rates that are competitive with other local financial institutions. Based on this strategy, we believe that a majority of maturing deposits will be retained.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Off-Balance Sheet Activities</w:t>
      </w:r>
    </w:p>
    <w:p>
      <w:pPr>
        <w:pStyle w:val="TextBody"/>
        <w:bidi w:val="0"/>
        <w:spacing w:lineRule="auto" w:line="288" w:before="0" w:after="80"/>
        <w:jc w:val="both"/>
        <w:rPr/>
      </w:pPr>
      <w:r>
        <w:rPr>
          <w:rFonts w:ascii="Times New Roman;sans-serif" w:hAnsi="Times New Roman;sans-serif"/>
          <w:b w:val="false"/>
          <w:color w:val="000000"/>
          <w:sz w:val="18"/>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12 </w:t>
      </w:r>
      <w:r>
        <w:rPr>
          <w:color w:val="000000"/>
        </w:rPr>
        <w:t xml:space="preserve">– </w:t>
      </w:r>
      <w:r>
        <w:rPr>
          <w:rFonts w:ascii="Times New Roman;sans-serif" w:hAnsi="Times New Roman;sans-serif"/>
          <w:b w:val="false"/>
          <w:color w:val="000000"/>
          <w:sz w:val="18"/>
        </w:rPr>
        <w:t>Commitments and Contingencies"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Capital Resources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discretionary actions by bank regulators that, if undertaken, could have a direct material effect on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At June 30, 2024,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June 30, 2024 under applicable regulatory requirements.</w:t>
      </w:r>
    </w:p>
    <w:p>
      <w:pPr>
        <w:pStyle w:val="TextBody"/>
        <w:bidi w:val="0"/>
        <w:spacing w:lineRule="auto" w:line="288" w:before="0" w:after="0"/>
        <w:jc w:val="both"/>
        <w:rPr/>
      </w:pPr>
      <w:r>
        <w:rPr>
          <w:rFonts w:ascii="Times New Roman;sans-serif" w:hAnsi="Times New Roman;sans-serif"/>
          <w:b w:val="false"/>
          <w:color w:val="000000"/>
          <w:sz w:val="18"/>
        </w:rPr>
        <w:t>HomeTrust Bancshares, Inc.'s and the Bank's actual and required minimum capital amounts and ratios</w:t>
      </w:r>
      <w:r>
        <w:rPr>
          <w:color w:val="000000"/>
        </w:rPr>
        <w:t> </w:t>
      </w:r>
      <w:r>
        <w:rPr>
          <w:rFonts w:ascii="Times New Roman;sans-serif" w:hAnsi="Times New Roman;sans-serif"/>
          <w:b w:val="false"/>
          <w:color w:val="000000"/>
          <w:sz w:val="18"/>
        </w:rPr>
        <w:t>are as follows:</w:t>
      </w:r>
    </w:p>
    <w:tbl>
      <w:tblPr>
        <w:tblW w:w="10205" w:type="dxa"/>
        <w:jc w:val="left"/>
        <w:tblInd w:w="0" w:type="dxa"/>
        <w:tblLayout w:type="fixed"/>
        <w:tblCellMar>
          <w:top w:w="28" w:type="dxa"/>
          <w:left w:w="28" w:type="dxa"/>
          <w:bottom w:w="28" w:type="dxa"/>
          <w:right w:w="28" w:type="dxa"/>
        </w:tblCellMar>
      </w:tblPr>
      <w:tblGrid>
        <w:gridCol w:w="1114"/>
        <w:gridCol w:w="922"/>
        <w:gridCol w:w="926"/>
        <w:gridCol w:w="196"/>
        <w:gridCol w:w="736"/>
        <w:gridCol w:w="109"/>
        <w:gridCol w:w="109"/>
        <w:gridCol w:w="109"/>
        <w:gridCol w:w="109"/>
        <w:gridCol w:w="278"/>
        <w:gridCol w:w="278"/>
        <w:gridCol w:w="286"/>
        <w:gridCol w:w="109"/>
        <w:gridCol w:w="109"/>
        <w:gridCol w:w="109"/>
        <w:gridCol w:w="196"/>
        <w:gridCol w:w="736"/>
        <w:gridCol w:w="109"/>
        <w:gridCol w:w="109"/>
        <w:gridCol w:w="109"/>
        <w:gridCol w:w="109"/>
        <w:gridCol w:w="233"/>
        <w:gridCol w:w="233"/>
        <w:gridCol w:w="286"/>
        <w:gridCol w:w="109"/>
        <w:gridCol w:w="109"/>
        <w:gridCol w:w="109"/>
        <w:gridCol w:w="196"/>
        <w:gridCol w:w="736"/>
        <w:gridCol w:w="109"/>
        <w:gridCol w:w="109"/>
        <w:gridCol w:w="109"/>
        <w:gridCol w:w="109"/>
        <w:gridCol w:w="278"/>
        <w:gridCol w:w="278"/>
        <w:gridCol w:w="335"/>
      </w:tblGrid>
      <w:tr>
        <w:trPr/>
        <w:tc>
          <w:tcPr>
            <w:tcW w:w="111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Regulatory Requirements</w:t>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for Capital</w:t>
              <w:br/>
              <w:t>Adequacy Purposes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to Be</w:t>
              <w:br/>
              <w:t>Well Capitalized</w:t>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Ratio</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HomeTrust Bancshares, Inc.</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HomeTrust Bank</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Starting July 1, 2022, the cumulative amount of the transition adjustments became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June 30, 2024, the Company's and Bank's risk-based capital exceeded the required capital contribution buffer.</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Dividends paid by HomeTrust Bank are limited, without regulatory approval, to current year earnings and earnings less dividends paid during the preceding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There has not been any material change in the market risk disclosures contained in our 2023 Form 10-KT.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Item 4. Controls and Procedures</w:t>
      </w:r>
    </w:p>
    <w:p>
      <w:pPr>
        <w:pStyle w:val="TextBody"/>
        <w:bidi w:val="0"/>
        <w:spacing w:lineRule="auto" w:line="288" w:before="0" w:after="80"/>
        <w:jc w:val="both"/>
        <w:rPr/>
      </w:pPr>
      <w:r>
        <w:rPr>
          <w:rFonts w:ascii="Times New Roman;sans-serif" w:hAnsi="Times New Roman;sans-serif"/>
          <w:b w:val="false"/>
          <w:i/>
          <w:color w:val="000000"/>
          <w:sz w:val="18"/>
          <w:u w:val="single"/>
        </w:rPr>
        <w:t>Evaluation of Disclosure Controls and Procedures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An evaluation of our disclosure controls and procedures (as defined in Rule 13a-15(e) of the Securities Exchange Act of 1934 (the "Act")) as of June 30, 2024, was carried out under the supervision and with the participation of the Company's Chief Executive Officer, Chief Financial Officer</w:t>
      </w:r>
      <w:r>
        <w:rPr>
          <w:color w:val="000000"/>
        </w:rPr>
        <w:t> </w:t>
      </w:r>
      <w:r>
        <w:rPr>
          <w:rFonts w:ascii="Times New Roman;sans-serif" w:hAnsi="Times New Roman;sans-serif"/>
          <w:b w:val="false"/>
          <w:color w:val="000000"/>
          <w:sz w:val="18"/>
        </w:rPr>
        <w:t>and several other members of the Company's senior management.</w:t>
      </w:r>
      <w:r>
        <w:rPr>
          <w:color w:val="000000"/>
        </w:rPr>
        <w:t> </w:t>
      </w:r>
      <w:r>
        <w:rPr>
          <w:rFonts w:ascii="Times New Roman;sans-serif" w:hAnsi="Times New Roman;sans-serif"/>
          <w:b w:val="false"/>
          <w:color w:val="000000"/>
          <w:sz w:val="18"/>
        </w:rPr>
        <w:t xml:space="preserve">The Company's Chief Executive Officer and Chief Financial Officer concluded that the Company's disclosure controls and procedures in effect as of June 30, 2024, were effective in ensuring that the information required to be disclosed by the Company in the reports it files or submits under the Act is: (i) accumulated and communicated to the Company's management (including the Chief Executive Officer and Chief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Financial Officer) in a timely manner and (ii) recorded, processed, summarized and reported within the time periods specified in the SEC's rules and forms.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pStyle w:val="TextBody"/>
        <w:bidi w:val="0"/>
        <w:spacing w:lineRule="auto" w:line="288" w:before="0" w:after="120"/>
        <w:jc w:val="both"/>
        <w:rPr/>
      </w:pPr>
      <w:r>
        <w:rPr>
          <w:rFonts w:ascii="Times New Roman;sans-serif" w:hAnsi="Times New Roman;sans-serif"/>
          <w:b w:val="false"/>
          <w:i/>
          <w:color w:val="000000"/>
          <w:sz w:val="18"/>
          <w:u w:val="single"/>
        </w:rPr>
        <w:t>Changes in Internal Controls</w:t>
      </w:r>
      <w:r>
        <w:rPr>
          <w:rFonts w:ascii="Times New Roman;sans-serif" w:hAnsi="Times New Roman;sans-serif"/>
          <w:b w:val="false"/>
          <w:color w:val="000000"/>
          <w:sz w:val="18"/>
        </w:rPr>
        <w:t>: There have been no changes in the Company’s internal control over financial reporting during the quarter ended June 30, 2024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both"/>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both"/>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lineRule="auto" w:line="288" w:before="0" w:after="120"/>
        <w:jc w:val="both"/>
        <w:rPr/>
      </w:pPr>
      <w:r>
        <w:rPr>
          <w:rFonts w:ascii="Times New Roman;sans-serif" w:hAnsi="Times New Roman;sans-serif"/>
          <w:b w:val="false"/>
          <w:color w:val="000000"/>
          <w:sz w:val="18"/>
        </w:rPr>
        <w:t>The "Litigation" section of "Note 12</w:t>
      </w:r>
      <w:r>
        <w:rPr>
          <w:color w:val="000000"/>
        </w:rPr>
        <w:t xml:space="preserve"> – </w:t>
      </w:r>
      <w:r>
        <w:rPr>
          <w:rFonts w:ascii="Times New Roman;sans-serif" w:hAnsi="Times New Roman;sans-serif"/>
          <w:b w:val="false"/>
          <w:color w:val="000000"/>
          <w:sz w:val="18"/>
        </w:rPr>
        <w:t>Commitments and Contingencies" to the Consolidated Financial Statements included in Part I, Item 1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both"/>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There have been no material changes in the Risk Factors previously disclosed in Item 1A of the 2023 Form 10-KT.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bidi w:val="0"/>
        <w:spacing w:lineRule="auto" w:line="288" w:before="0" w:after="4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(a)    Not applicable</w:t>
      </w:r>
    </w:p>
    <w:p>
      <w:pPr>
        <w:pStyle w:val="TextBody"/>
        <w:bidi w:val="0"/>
        <w:spacing w:lineRule="auto" w:line="288" w:before="0" w:after="4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(b) Not applicable</w:t>
      </w:r>
    </w:p>
    <w:p>
      <w:pPr>
        <w:pStyle w:val="TextBody"/>
        <w:bidi w:val="0"/>
        <w:spacing w:lineRule="auto" w:line="288"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 The following table provides information about repurchases of common stock by the Company during the quarter ended June 30, 2024:</w:t>
      </w:r>
    </w:p>
    <w:tbl>
      <w:tblPr>
        <w:tblW w:w="10205" w:type="dxa"/>
        <w:jc w:val="left"/>
        <w:tblInd w:w="0" w:type="dxa"/>
        <w:tblLayout w:type="fixed"/>
        <w:tblCellMar>
          <w:top w:w="28" w:type="dxa"/>
          <w:left w:w="28" w:type="dxa"/>
          <w:bottom w:w="28" w:type="dxa"/>
          <w:right w:w="28" w:type="dxa"/>
        </w:tblCellMar>
      </w:tblPr>
      <w:tblGrid>
        <w:gridCol w:w="420"/>
        <w:gridCol w:w="369"/>
        <w:gridCol w:w="371"/>
        <w:gridCol w:w="511"/>
        <w:gridCol w:w="490"/>
        <w:gridCol w:w="491"/>
        <w:gridCol w:w="109"/>
        <w:gridCol w:w="109"/>
        <w:gridCol w:w="109"/>
        <w:gridCol w:w="334"/>
        <w:gridCol w:w="950"/>
        <w:gridCol w:w="186"/>
        <w:gridCol w:w="109"/>
        <w:gridCol w:w="109"/>
        <w:gridCol w:w="109"/>
        <w:gridCol w:w="900"/>
        <w:gridCol w:w="900"/>
        <w:gridCol w:w="903"/>
        <w:gridCol w:w="109"/>
        <w:gridCol w:w="109"/>
        <w:gridCol w:w="109"/>
        <w:gridCol w:w="749"/>
        <w:gridCol w:w="678"/>
        <w:gridCol w:w="972"/>
      </w:tblGrid>
      <w:tr>
        <w:trPr/>
        <w:tc>
          <w:tcPr>
            <w:tcW w:w="4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 of</w:t>
              <w:br/>
              <w:t>Shares that May</w:t>
              <w:br/>
              <w:t>Yet Be Purchased Under Publicly Announced Plans</w:t>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 April 30, 2024</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266,639 </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 May 31, 2024</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266,639 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 June 30, 2024</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23,483 </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243,156 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0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23,483 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23,483 </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243,156 </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Over the years as a public company, the Company's Board of Directors has, from time to time, authorized the repurchase of its common stock. Most recently, on February 28, 2022, 806,000 shares of common stock were authorized for repurchase representing approximately 5% of the Company's outstanding shares at the time of the announcement. As of June 30, 2024, 562,844 of these shares had been purchased at an average price of $28.83 per share, 23,483 of which were repurchased during the six months ended June 30, 2024. The shares may be purchased in the open market or in privately negotiated transactions, from time to time depending upon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left"/>
        <w:rPr>
          <w:rFonts w:ascii="Times New Roman;sans-serif" w:hAnsi="Times New Roman;sans-serif"/>
          <w:b/>
          <w:color w:val="000000"/>
          <w:sz w:val="18"/>
        </w:rPr>
      </w:pPr>
      <w:r>
        <w:rPr>
          <w:rFonts w:ascii="Times New Roman;sans-serif" w:hAnsi="Times New Roman;sans-serif"/>
          <w:b/>
          <w:color w:val="000000"/>
          <w:sz w:val="18"/>
        </w:rPr>
        <w:t>Item 3. Defaults Upon Senior Securities</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Nothing to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left"/>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left"/>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lineRule="auto" w:line="288" w:before="0" w:after="120"/>
        <w:jc w:val="both"/>
        <w:rPr/>
      </w:pPr>
      <w:r>
        <w:rPr>
          <w:rFonts w:ascii="Times New Roman;sans-serif" w:hAnsi="Times New Roman;sans-serif"/>
          <w:b w:val="false"/>
          <w:i/>
          <w:color w:val="000000"/>
          <w:sz w:val="18"/>
          <w:u w:val="single"/>
        </w:rPr>
        <w:t>Trading Plans</w:t>
      </w:r>
      <w:r>
        <w:rPr>
          <w:rFonts w:ascii="Times New Roman;sans-serif" w:hAnsi="Times New Roman;sans-serif"/>
          <w:b w:val="false"/>
          <w:color w:val="000000"/>
          <w:sz w:val="18"/>
        </w:rPr>
        <w:t>: During the quarter ended June 30, 2024, no director or officer (as defined in Rule 16a-1(f) under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1080"/>
        <w:jc w:val="left"/>
        <w:rPr>
          <w:rFonts w:ascii="Times New Roman;sans-serif" w:hAnsi="Times New Roman;sans-serif"/>
          <w:b/>
          <w:color w:val="000000"/>
          <w:sz w:val="18"/>
        </w:rPr>
      </w:pPr>
      <w:r>
        <w:rPr>
          <w:rFonts w:ascii="Times New Roman;sans-serif" w:hAnsi="Times New Roman;sans-serif"/>
          <w:b/>
          <w:color w:val="000000"/>
          <w:sz w:val="18"/>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851"/>
        <w:gridCol w:w="1851"/>
        <w:gridCol w:w="1875"/>
        <w:gridCol w:w="109"/>
        <w:gridCol w:w="109"/>
        <w:gridCol w:w="109"/>
        <w:gridCol w:w="846"/>
        <w:gridCol w:w="846"/>
        <w:gridCol w:w="120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Regulation</w:t>
              <w:br/>
              <w:t>S-K 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Reference to Prior Filing or Exhibit # Attached Hereto</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Charter of HomeTrust Bancshares,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Amended and Restated Bylaws of HomeTrust Bancshares,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HomeTrust Bancshares, Inc. Senior Leadership Incentive Plan (formerly known as Operating Committee Incentive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4"/>
        <w:gridCol w:w="337"/>
        <w:gridCol w:w="339"/>
        <w:gridCol w:w="109"/>
        <w:gridCol w:w="109"/>
        <w:gridCol w:w="109"/>
        <w:gridCol w:w="2015"/>
        <w:gridCol w:w="1944"/>
        <w:gridCol w:w="1967"/>
        <w:gridCol w:w="109"/>
        <w:gridCol w:w="109"/>
        <w:gridCol w:w="109"/>
        <w:gridCol w:w="749"/>
        <w:gridCol w:w="749"/>
        <w:gridCol w:w="1067"/>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Regulation</w:t>
              <w:br/>
              <w:t>S-K 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Reference to Prior Filing or Exhibit # Attached Hereto</w:t>
            </w:r>
          </w:p>
        </w:tc>
      </w:tr>
      <w:tr>
        <w:trPr/>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Amended and Restated Employment and Transition Agreement between HomeTrust Bancshares, Inc. and Dana L. Stonestreet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Amendment No. 1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Amendment No. 2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Amendment No. 3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8"/>
                  <w:u w:val="single"/>
                </w:rPr>
                <w:t>Amendment No. 4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8"/>
                  <w:u w:val="single"/>
                </w:rPr>
                <w:t>Amended and Restated Employment Agreement between HomeTrust Bancshares, Inc. and Tony J. VunCannon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8"/>
                  <w:u w:val="single"/>
                </w:rPr>
                <w:t>Amendment No. 1 to Amended and Restated Employment Agreement between HomeTrust Bancshares, Inc. and Tony VunCannon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8"/>
                  <w:u w:val="single"/>
                </w:rPr>
                <w:t>HomeTrust Bank Executive Supplemental Retirement Income Master Agreement (“SERP”)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8"/>
                  <w:u w:val="single"/>
                </w:rPr>
                <w:t>Amendment No. 1 to SERP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8"/>
                  <w:u w:val="single"/>
                </w:rPr>
                <w:t>Amendment No. 2 to SERP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8"/>
                  <w:u w:val="single"/>
                </w:rPr>
                <w:t>SERP Joinder Agreement for F. Edward Broadwell,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SERP Joinder Agreement for Dana L. Stonestreet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SERP Joinder Agreement for Tony J. VunCannon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SERP Joinder Agreement for Howard L. Sellinger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SERP Joinder Agreement for Stan Allen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SERP Joinder Agreement for Sidney A. Biesecker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8"/>
                  <w:u w:val="single"/>
                </w:rPr>
                <w:t>SERP Joinder Agreement for Peggy C. Melville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8"/>
                  <w:u w:val="single"/>
                </w:rPr>
                <w:t>SERP Joinder Agreement for William T. Flynt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8"/>
                  <w:u w:val="single"/>
                </w:rPr>
                <w:t>Amended and Restated Supplemental Income Agreement between HomeTrust Bank, as successor to Industrial Federal Savings Bank, and Sidney Biesecker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8"/>
                  <w:u w:val="single"/>
                </w:rPr>
                <w:t>HomeTrust Bank Director Emeritus Plan (“Director Emeritus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Director Emeritus Plan Joinder Agreement for William T. Flynt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8"/>
                  <w:u w:val="single"/>
                </w:rPr>
                <w:t>Director Emeritus Plan Joinder Agreement for J. Steven Goforth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8"/>
                  <w:u w:val="single"/>
                </w:rPr>
                <w:t>Director Emeritus Plan Joinder Agreement for Craig C. Koontz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8"/>
                  <w:u w:val="single"/>
                </w:rPr>
                <w:t>Director Emeritus Plan Joinder Agreement for Larry S. McDevitt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8"/>
                  <w:u w:val="single"/>
                </w:rPr>
                <w:t>Director Emeritus Plan Joinder Agreement for F.K. McFarland,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18"/>
                  <w:u w:val="single"/>
                </w:rPr>
                <w:t>Director Emeritus Plan Joinder Agreement for Peggy C. Melville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8"/>
                  <w:u w:val="single"/>
                </w:rPr>
                <w:t>Director Emeritus Plan Joinder Agreement for Robert E. Shepherd, Sr.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8"/>
                  <w:u w:val="single"/>
                </w:rPr>
                <w:t>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8"/>
                  <w:u w:val="single"/>
                </w:rPr>
                <w:t>Amendment No. 1 to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18"/>
                  <w:u w:val="single"/>
                </w:rPr>
                <w:t>Form of Joinder Agreement Under the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8"/>
                  <w:u w:val="single"/>
                </w:rPr>
                <w:t>Amendment No. 2 to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8"/>
                  <w:u w:val="single"/>
                </w:rPr>
                <w:t>Amendment No. 3 to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8"/>
                  <w:u w:val="single"/>
                </w:rPr>
                <w:t>HomeTrust Bank 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8"/>
                  <w:u w:val="single"/>
                </w:rPr>
                <w:t>Amendment No. 1 to HomeTrust Bank 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18"/>
                  <w:u w:val="single"/>
                </w:rPr>
                <w:t>HomeTrust Bank Pre-2005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18"/>
                  <w:u w:val="single"/>
                </w:rPr>
                <w:t>Amendment No. 1 to HomeTrust Bank Pre-2005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18"/>
                  <w:u w:val="single"/>
                </w:rPr>
                <w:t>HomeTrust Bancshares, Inc. 2013 Omnibus Incentive Plan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18"/>
                  <w:u w:val="single"/>
                </w:rPr>
                <w:t>Form of Incentive Stock Option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18"/>
                  <w:u w:val="single"/>
                </w:rPr>
                <w:t>Form of Non-Qualified Stock Option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18"/>
                  <w:u w:val="single"/>
                </w:rPr>
                <w:t>Form of Stock Appreciation Right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18"/>
                  <w:u w:val="single"/>
                </w:rPr>
                <w:t>Form of Restricted Stock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18"/>
                  <w:u w:val="single"/>
                </w:rPr>
                <w:t>Form of Restricted Stock Unit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18"/>
                  <w:u w:val="single"/>
                </w:rPr>
                <w:t>HomeTrust Bancshares, Inc. 2022 Omnibus Incentive Plan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(q)</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0"/>
        <w:gridCol w:w="316"/>
        <w:gridCol w:w="318"/>
        <w:gridCol w:w="109"/>
        <w:gridCol w:w="109"/>
        <w:gridCol w:w="109"/>
        <w:gridCol w:w="2390"/>
        <w:gridCol w:w="2303"/>
        <w:gridCol w:w="2326"/>
        <w:gridCol w:w="109"/>
        <w:gridCol w:w="109"/>
        <w:gridCol w:w="109"/>
        <w:gridCol w:w="449"/>
        <w:gridCol w:w="449"/>
        <w:gridCol w:w="640"/>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Regulation</w:t>
              <w:br/>
              <w:t>S-K 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Reference to Prior Filing or Exhibit # Attached Hereto</w:t>
            </w:r>
          </w:p>
        </w:tc>
      </w:tr>
      <w:tr>
        <w:trPr/>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18"/>
                  <w:u w:val="single"/>
                </w:rPr>
                <w:t>Form of Non-Qualified Stock Option Award Agreement under the Registrant’s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18"/>
                  <w:u w:val="single"/>
                </w:rPr>
                <w:t>Form of Restricted Stock Award Agreement for Employees under the Registrant’s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18"/>
                  <w:u w:val="single"/>
                </w:rPr>
                <w:t>Form of Restricted Stock Award Agreement for Directors under the Registrant’s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18"/>
                  <w:u w:val="single"/>
                </w:rPr>
                <w:t>Change in Control Severance Agreement between HomeTrust Bancshares, Inc. and Marty Caywood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18"/>
                  <w:u w:val="single"/>
                </w:rPr>
                <w:t>Amendment No. 1 to Change in Control Severance Agreement between HomeTrust Bancshares, Inc. and Marty Caywood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18"/>
                  <w:u w:val="single"/>
                </w:rPr>
                <w:t>Amended and Restated Change in Control Severance Agreement between HomeTrust Bancshares, Inc. and Keith J. Houghton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18"/>
                  <w:u w:val="single"/>
                </w:rPr>
                <w:t>Amendment No. 1 to Amended and Restated Change in Control Severance Agreement between HomeTrust Bancshares, Inc. and Keith J. Houghton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18"/>
                  <w:u w:val="single"/>
                </w:rPr>
                <w:t>Amended and Restated Change in Control Severance Agreement between HomeTrust Bancshares, Inc. and John Sprink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18"/>
                  <w:u w:val="single"/>
                </w:rPr>
                <w:t>Change in Control Severance Agreement between HomeTrust Bancshares, Inc. and Kristin Powell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18"/>
                  <w:u w:val="single"/>
                </w:rPr>
                <w:t>Amendment No. 1 to Change in Control Severance Agreement between HomeTrust Bancshares, Inc. and Kristin Powell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18"/>
                  <w:u w:val="single"/>
                </w:rPr>
                <w:t>Change in Control Severance Agreement between HomeTrust Bancshares, Inc. and Megan Pelletier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18"/>
                  <w:u w:val="single"/>
                </w:rPr>
                <w:t>Change in Control Severance Agreement between HomeTrust Bancshares, Inc. and Lora Jex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icagreement-chucksivley.htm">
              <w:r>
                <w:rPr>
                  <w:rStyle w:val="InternetLink"/>
                  <w:rFonts w:ascii="Times New Roman;sans-serif" w:hAnsi="Times New Roman;sans-serif"/>
                  <w:b w:val="false"/>
                  <w:color w:val="0000FF"/>
                  <w:sz w:val="18"/>
                  <w:u w:val="single"/>
                </w:rPr>
                <w:t>Change in Control Severance Agreement between HomeTrust Bancshares, Inc. and Chuck Sivley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6x30xhtbix10qxex311.htm">
              <w:r>
                <w:rPr>
                  <w:rStyle w:val="InternetLink"/>
                  <w:rFonts w:ascii="Times New Roman;sans-serif" w:hAnsi="Times New Roman;sans-serif"/>
                  <w:b w:val="false"/>
                  <w:color w:val="0000FF"/>
                  <w:sz w:val="18"/>
                  <w:u w:val="single"/>
                </w:rPr>
                <w:t>Certification of Chief Executive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6x30xhtbix10qxex312.htm">
              <w:r>
                <w:rPr>
                  <w:rStyle w:val="InternetLink"/>
                  <w:rFonts w:ascii="Times New Roman;sans-serif" w:hAnsi="Times New Roman;sans-serif"/>
                  <w:b w:val="false"/>
                  <w:color w:val="0000FF"/>
                  <w:sz w:val="18"/>
                  <w:u w:val="single"/>
                </w:rPr>
                <w:t>Certification of Chief Financial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6x30xhtbix10qxex32.htm">
              <w:r>
                <w:rPr>
                  <w:rStyle w:val="InternetLink"/>
                  <w:rFonts w:ascii="Times New Roman;sans-serif" w:hAnsi="Times New Roman;sans-serif"/>
                  <w:b w:val="false"/>
                  <w:color w:val="0000FF"/>
                  <w:sz w:val="18"/>
                  <w:u w:val="single"/>
                </w:rPr>
                <w:t>Certificate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18"/>
                  <w:u w:val="single"/>
                </w:rPr>
                <w:t>Policy Relating to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materials from HomeTrust Bancshares’ Transition Report on Form 10-KT for the six-month transition period ended December 31, 2023, formatted in Extensible Business Reporting Language (XBRL): (a) Consolidated Balance Sheets; (b) Consolidated Statements of Income; (c) Consolidated Statements of Comprehensive Income; (d) Consolidated Statements of Changes in Stockholders' Equity; (e) Consolidated Statements of Cash Flows; and (f) Notes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r>
    </w:tbl>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(a)Filed as an exhibit to HomeTrust Bancshares's Annual Report on Form 10-K for the fiscal year ended June 30,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(b)Filed as an exhibit to HomeTrust Bancshares’s Current Report on Form 8-K filed on September 25, 2018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(c)Filed as an exhibit to HomeTrust Bancshares's Quarterly Report on Form 10-Q for the quarter ended March 31, 2019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(d)Filed as an exhibit to HomeTrust Bancshares’s Registration Statement on Form S-1 (File No. 333-178817) filed on December 29, 2011.</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(e)Filed as an exhibit to HomeTrust Bancshares's Current Report on Form 8-K filed on May 24,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(f)Filed as an exhibit to HomeTrust Bancshares's Transition Report on Form 10-KT for the-six month transition period ended December 31, 2023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(g)Filed as an exhibit to HomeTrust Bancshares’s Current Report on Form 8-K filed on September 11, 2018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(h)Filed as an exhibit to HomeTrust Bancshares's Current Report on Form 8-K filed on October 28, 2020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(i)Filed as an exhibit to Amendment No. 1 to HomeTrust Bancshares’s Registration Statement on Form S-1 (File No. 333-178817) filed on March 9, 2012.</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(j)Attached as Appendix A to HomeTrust Bancshares’s definitive proxy statement filed on December 5, 2012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(k)Filed as an exhibit to HomeTrust Bancshares’s Registration Statement on Form S-8 (File No. 333-186666) filed on February 13, 2013.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(l)Filed as an exhibit to HomeTrust Bancshares's Current Report on Form 8-K filed on February 15,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(m)Filed as an exhibit to HomeTrust Bancshares's Quarterly Report on Form 10-Q for the quarter ended March 31,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(n)Filed as an exhibit to HomeTrust Bancshares's Annual Report on Form 10-K for the fiscal year ended June 30, 2014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(o)Filed as an exhibit to HomeTrust Bancshares's Current Report on Form 8-K filed on July 28, 2021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(p)Filed as an exhibit to HomeTrust Bancshares's Quarterly Report on Form 10-Q for the quarter ended September 30, 2023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(q)Attached as Appendix A to HomeTrust Bancshares’s definitive proxy statement filed on October 3,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(r)Filed as an exhibit to HomeTrust Bancshares's Quarterly Report on Form 10-Q for the quarter ended September 30,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(s)Filed as an exhibit to HomeTrust Bancshares's Annual Report on Form 10-K for the fiscal year ended June 30, 2023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(t)Filed as an exhibit to HomeTrust Bancshares's Current Report on Form 8-K filed on August 28, 2023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(u)Filed as an exhibit to HomeTrust Bancshares's Registration Statement on Form S-8 (File No. 333-186666) filed on February 6,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bidi w:val="0"/>
        <w:spacing w:lineRule="auto" w:line="288"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tbl>
      <w:tblPr>
        <w:tblW w:w="7990" w:type="dxa"/>
        <w:jc w:val="left"/>
        <w:tblInd w:w="0" w:type="dxa"/>
        <w:tblLayout w:type="fixed"/>
        <w:tblCellMar>
          <w:top w:w="28" w:type="dxa"/>
          <w:left w:w="28" w:type="dxa"/>
          <w:bottom w:w="28" w:type="dxa"/>
          <w:right w:w="28" w:type="dxa"/>
        </w:tblCellMar>
      </w:tblPr>
      <w:tblGrid>
        <w:gridCol w:w="595"/>
        <w:gridCol w:w="525"/>
        <w:gridCol w:w="529"/>
        <w:gridCol w:w="484"/>
        <w:gridCol w:w="484"/>
        <w:gridCol w:w="484"/>
        <w:gridCol w:w="1433"/>
        <w:gridCol w:w="1433"/>
        <w:gridCol w:w="2023"/>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HOMETRUST BANCSHARES, INC.</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Date: August 9, 2024</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 C. Hunter Westbrook</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 Hunter Westbrook</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(Duly Authorized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Date: August 9, 2024</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 Tony J. VunCannon</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Tony J. VunCannon</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CFO, Corporate Secretary and Treasurer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and Accounting Officer)</w:t>
            </w:r>
          </w:p>
        </w:tc>
      </w:tr>
    </w:tbl>
    <w:p>
      <w:pPr>
        <w:pStyle w:val="TextBody"/>
        <w:bidi w:val="0"/>
        <w:spacing w:before="0" w:after="180"/>
        <w:jc w:val="left"/>
        <w:rPr/>
      </w:pPr>
      <w:r>
        <w:rPr/>
      </w:r>
    </w:p>
    <w:p>
      <w:pPr>
        <w:pStyle w:val="TextBody"/>
        <w:bidi w:val="0"/>
        <w:spacing w:before="0" w:after="0"/>
        <w:jc w:val="center"/>
        <w:rPr/>
      </w:pPr>
      <w:bookmarkStart w:id="0" w:name="cicagreement-chucksivley.htm"/>
      <w:bookmarkStart w:id="1" w:name="kscicagreementchucksivley"/>
      <w:bookmarkEnd w:id="0"/>
      <w:bookmarkEnd w:id="1"/>
      <w:r>
        <w:rPr/>
        <w:drawing>
          <wp:inline distT="0" distB="0" distL="0" distR="0">
            <wp:extent cx="10048875" cy="13001625"/>
            <wp:effectExtent l="0" t="0" r="0" b="0"/>
            <wp:docPr id="4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jc w:val="center"/>
        <w:rPr>
          <w:color w:val="FFFFFF"/>
          <w:sz w:val="2"/>
        </w:rPr>
      </w:pPr>
      <w:r>
        <w:rPr>
          <w:color w:val="FFFFFF"/>
          <w:sz w:val="2"/>
        </w:rPr>
        <w:t xml:space="preserve">CHANGE IN CONTROL SEVERANCE AGREEMENT OF CHUCK SIVLEY THIS CHANGE IN CONTROL SEVERANCE AGREEMENT (“Agreement”) is made and entered into as of this tenth day of June 2024, by and between HomeTrust Bancshares, Inc, Asheville, North Carolina (hereinafter referred to as the “Company”) and Chuck Sivley (the “Employee”). WHEREAS, the Employee serves as the EVP/Chief Technology Officer of HomeTrust Bank, Asheville, North Carolina (the “Bank”); and WHEREAS, the Board of Directors of the Company believes it is in the best interests of the Company and the Bank to enter into this Agreement with the Employee; and WHEREAS, the Board of Directors has approved and authorized the execution of this Agreement with the Employee; NOW, THEREFORE, in consideration of the foregoing and of the respective covenants and agreements of the parties herein contained, it is AGREED as follows: 1. Definitions. (a) The term “Cash Compensation” shall mean the highest annual base salary rate paid to the Employee at any time during their employment by the Company and its Consolidated Subsidiaries, plus the higher of (i) the Employee’s annual bonus paid during the year immediately preceding the Date of Termination, or (ii) the Employee’s target bonus for the year in which the Date of Termination occurs, in each case including any salary or bonus amounts deferred by the Employee. (b) The term "Change in Control" means any of the following events: (1) any person or persons acting as a group (within the meaning of Section 409A of the Code) acquires (or has acquired during the 12-month period ending on the date of the most recent acquisition by such person or persons) ownership of stock of the Company or the Bank possessing 30% or more of the total voting power of the outstanding stock of the Company or the Bank; (2) individuals who are members of the Board of Directors of the Company on the date hereof (the "Incumbent Board") cease for any reason during any 12-month period to constitute at least a majority thereof, provided that any person becoming a director subsequent to the date hereof whose election was approved by a vote of at least a majority of the directors comprising the Incumbent Board, or whose nomination for election by the Company’s stockholders was approved by the nominating committee serving under an Incumbent Board, shall be considered a member of the Incumbent Board; (3) any person or persons acting as a group (within the meaning of Section 409A of the Code) acquires (or has acquired during the 12-month period ending on the date of the most recent acquisition by such person or persons) assets of the Company or the Bank that have a gross fair market value of 40% or more of the total gross fair market value of all of the assets of the Company or the Bank immediately before such acquisition or acquisitions; or (4)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event which is not covered by the foregoing subsections but which the Board of Directors determines to affect control of the Company or the Bank and with respect to which the Board of Directors adopts a resolution that the event constitutes a Change in Control for purposes of this Agreement; provided that with respect to each of the events covered by clauses (1) through (4) above, the event must also be deemed to be either a change in the ownership of the Company or the Bank, a change in the effective control of the Company or the Bank or a change in the ownership of a substantial portion of the assets of the Company or the Bank within the meaning of Section 409A of the Code. (c) The term “Code” means the Internal Revenue Code of 1986, as amended, or any successor code thereto. (d) The term “Consolidated Subsidiaries” means any subsidiary or subsidiaries of the Company (or its successors) that are part of the consolidated group of the Company (or its successors) for federal income tax reporting. (e) The term “Date of Termination” means the date upon which the Employee's employment with the Company and its Consolidated Subsidiaries ceases, as specified in a written notice of termination, provided that all references in this Agreement to a Date of Termination that results in the payment of severance shall mean the date of the Executive’s involuntary Separation from Service. (f) The term “Effective Date” means the date first written above. (g) The term “Health Insurance Benefits” shall mean the following benefits to be provided pursuant to Section 3(a) of this Agreement to the Employee and their dependents who are covered by the Company or any of its Consolidated Subsidiaries at the time of the Employee’s Involuntary Termination (each such person, including the Employee, a “Covered Person” and collectively the “Covered Persons”): (i) the Company or the Bank shall pay 100% of the premiums for COBRA coverage for each such Covered Person until the earlier of (A) the expiration of the COBRA period or (B) the death of such person; or (ii) in the event that the continued participation of the Covered Person in any insurance plan as provided in clause (i) above is barred or would trigger the payment of an excise tax under Section 4980D of the Code, or during the COBRA Period any such insurance plan is discontinued, then the Company and the Bank shall at their election either (A) arrange to provide the Covered Person with alternative benefits substantially similar to those which the Covered Person was entitled to receive under such insurance plan immediately prior to the Date of Termination, provided that the alternative benefits do not trigger the payment of an excise tax under Section 4980D of the Code, or (B) in the event that the continuation of any insurance coverage as specified above would trigger the payment of an excise tax under Section 4980D of the Code or in the event such continued coverage is unable to be provided by the Company or the Bank, pay to the Employee within 30 days following the Date of Termination (or within 30 days following the discontinuation of the benefits if later) a lump sum cash amount equal to the projected cost to the Company and the Bank of providing continued coverage to the Covered Person until the expiration of the COBRA Period, with the projected cost to be based on the costs being incurred immediately prior to the Involuntary Termination (or the discontinuation of the benefits if later), as increased by 15% on each scheduled renewal date. Any insurance premiums payable by the Company or the Bank as specified above shall be payable at such times and in such amounts (except that the Company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Bank shall also pay any employee portion of the premiums) as if the Employee was still an employee of the Company or its Consolidated Subsidiaries, subject to any increases in such amounts imposed by the insurance company or COBRA, and the amount of insurance premiums required to be paid by the Company or the Bank in any taxable year shall not affect the amount of insurance premiums required to be paid by the Company or the Bank in any other taxable year. (h) The term “Involuntary Termination” means a termination of the employment of the Employee (i) by the Company without their express written consent; or (ii) by the Employee by reason of a material diminution of or interference with their duties, titles, responsibilities or benefits, including any of the following actions unless consented to in writing by the Employee: (1) a requirement that the Employee be based at any place other than Greenville, South Carolina, or within 20 miles thereof, except for reasonable travel on Company or Bank business; (2) a material demotion of the Employee; or (3) a material reduction in the Employee’s salary, other than prior to a Change in Control as part of an overall program applied uniformly and with equitable effect to all members of the senior management of the Company or the Bank; provided in each case that Involuntary Termination shall mean a cessation or reduction in the Employee’s services for the Company and the Bank (and any other affiliated entities that are deemed to constitute a “service recipient” as defined in Treasury Regulation §1.409A- 1(h)(3)) that constitutes a “Separation from Service” as determined under Section 409A of the Code, taking into account all of the facts, circumstances, rules and presumptions set forth in Treasury Regulation §1.409A-1(h) and that also constitutes an involuntary Separation from Service under Treasury Regulation §1.409A-1(n). In addition, before the Employee terminates their employment pursuant to clauses (1) through (3) of the preceding sentence, the Employee must first provide written notice to the Company within ninety (90) days of the initial existence of the condition, describing the existence of such condition, and the Company shall thereafter have the right to remedy the condition within thirty (30) days following the date it received the written notice from the Employee. If the Company remedies the condition within such thirty (30) day cure period, then the Employee shall not have the right to terminate their employment as the result of such event. If the Company does not remedy the condition within such thirty (30) day cure period, then the Employee may terminate their employment as the result of such event at any time within sixty (60) days following the expiration of such cure period. All references in this Agreement to an Involuntary Termination that results in the payment of severance shall mean an involuntary Separation from Service under Treasury Regulation §1.409A-1(n). The term “Involuntary Termination” does not include Termination for Cause, termination of employment due to death or permanent disability, or suspension or temporary or permanent prohibition from participation in the conduct of the affairs of a depository institution under Section 8 of the Federal Deposit Insurance Act. (i) The term “Section 409A” means Section 409A of the Code and the regulations and guidance of general applicability issued thereunder. (j) The terms “Termination for Cause” and “Terminated for Cause” mean any of the following: (i) the commission by the Employee of a willful act (including, without limitation, a dishonest or fraudulent act) or a grossly negligent act, or the willful or grossly negligent omission to act by the Employee, which is intended to cause, does cause or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reasonably likely to cause material harm to the Company or any of its Consolidated Subsidiaries (including harm to its business reputation); (ii) the indictment of the Employee for the commission or perpetration by the Employee of any felony or any crime involving dishonesty, moral turpitude or fraud; (iii) the material breach by the Employee of this Agreement; (iv) the receipt of any formal written notice that any regulatory agency having jurisdiction over the Company or the Bank intends to institute any formal regulatory action against the Employee, the Company or the Bank (provided that the Board determines in good faith, with the Employee abstaining from participating in the vote on the matter, that the subject matter of such action involves acts or omissions by the Employee); (v) the exhibition by the Employee of a standard of behavior within the scope of their employment that is materially disruptive to the orderly conduct of the business operations of the Company or any of its Consolidated Subsidiaries (including, without limitation, substance abuse or sexual misconduct) to a level which, in the Board’s good faith and reasonable judgment, with the Employee abstaining from participating in the vote on the matter, is materially detrimental to the best interests of the Company or any of its Consolidated Subsidiaries; (vi) the failure of the Employee to devote their full business time and attention to their employment as provided under this Agreement; or (vii) the failure of the Employee to adhere to any policy or code of conduct of the Company or any of its Consolidated Subsidiaries which causes, or is reasonably likely to cause, material harm to the Company or any of its Consolidated Subsidiaries; provided that, if the Board of Directors determines in its good faith discretion that the breach, behavior or failure specified in clauses (iii), (v) or (vi) above is capable of being cured by the Employee, then Cause shall not be deemed to exist with respect to such matter if the Employee cures the breach, behavior or failure to the satisfaction of the Board of Directors within 10 days following written notice to the Employee of such breach, behavior or failure. No act or failure to act by the Employee shall be considered willful unless the Employee acted or failed to act with an absence of good faith and without a reasonable belief that their action or failure to act was in the best interest of the Company or the Bank. The Employee shall not be deemed to have been Terminated for Cause unless and until there shall have been delivered to the Employee a copy of a resolution, duly adopted by the affirmative vote of not less than a majority of the entire membership of the Board of Directors at a meeting of the Board duly called and held for such purpose (after reasonable notice to the Employee and an opportunity for the Employee to present their views on the matter to the Board either in person without counsel or in writing), stating that in the good faith opinion of the Board of Directors the Employee has engaged in conduct described in the preceding sentence and specifying the particulars thereof in detail. The opportunity of the Employee to be heard before the Board shall not affect the right of the Employee to arbitration as set forth in Section 13 of this Agreement. The Board reserves the right to suspend the Employee with pay pending the determination of Cause under this Section 1(j), as appropriate. 2. Term. The initial term of this Agreement shall be from the Effective Date until September 11, 2025, subject to earlier termination as provided herein. On September 11 each year, beginning September 11, 2024, the term shall be extended for a period of one year in addition to the then-remaining term, provided that the Company has not given notice to the Employee in writing at least 30 days prior to such annual anniversary date that the term of this Agreement shall not be extended further, and provided further that the Employee has not received an unsatisfactory performance review by either their manager, the Board of Directors or the board of directors of the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3. Severance Benefits. (a) In the event of the Involuntary Termination of the Employee at the time of or within 12 months following a Change in Control, the Company or the Bank shall, subject to the Employee executing and not revoking a general release of claims pursuant to Section 3(b) below, (i) pay to the Employee a lump sum cash amount equal to two times the Employee’s Cash Compensation, with such lump sum payment to be made within 30 days following the date the general release of claims is executed and the revocation period expires without the release being revoked, except as otherwise set forth in Section 3(b) below, and (ii) provide Health Insurance Benefits to each Covered Person. If the Employee is a “Specified Employee” (as defined in Section 409A) at the time of their Separation from Service, then payments under this Section 3(a) which are not covered by either the separation pay plan exemption or the short-term deferral exemption from Section 409A set forth in Treasury Regulations §1.409A-1(b)(9)(iii) and §1.409A-1(b)(4), respectively, and as such constitute deferred compensation under Section 409A, shall not be paid until the 185th day following the Employee’s Separation from Service, or their earlier death (the “Delayed Distribution Date”). Any payments deferred on account of the preceding sentence shall be accumulated without interest and paid with the first payment that is payable in accordance with the preceding sentence and Section 409A. To the extent permitted by Section 409A, amounts payable under this Section 3(a) which are considered deferred compensation shall be treated as payable after amounts which are not considered deferred compensation (i.e., which are considered payable on account of an involuntary Separation from Service as herein defined herein pursuant to a separation pay plan or pursuant to the short-term deferral exemption). (b) The obligations of the Company and the Bank to pay severance or provide benefits under Section 3(a) above is expressly conditioned upon the Employee executing a general release of claims within the time period set forth in the release to be provided to him by the Company and not revoking such release, with such general release to release any and all claims, charges and complaints which the Employee may have against the Company and its Consolidated Subsidiaries, as well as the directors, officers and employees of such entities, in connection with the Employee’s employment with the Company and its Consolidated Subsidiaries and the termination of such employment. Notwithstanding any other provision contained in this Agreement, in the event the time period that the Employee has to consider the terms of such general release (including any revocation period under such release) commences in one calendar year and ends in the succeeding calendar year, then the payments shall not commence or be paid until the succeeding calendar year. (c) Certain Reduction of Payments by the Bank. (i) In the event that the aggregate payments or benefits to be provided to the Employee pursuant to this Agreement, together with other payments and benefits which the Employee has a right to receive from the Company or its Consolidated Subsidiaries or any their successors are deemed to be parachute payments as defined in Section 280G of the Code or any successor thereto (the “Severance Benefits”), then the aggregate present value of amounts payable or distributable to or for the benefit of the Employee pursuant to this Agreement (such amounts payable or distributable pursuant to this Agreement are hereinafter referred to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“Agreement Payments”) shall be reduced to the Reduced Amount. The “Reduced Amount” shall be an amount, not less than zero, expressed in present value which maximizes the aggregate present value of Agreement Payments without causing any Severance Benefits to be nondeductible by the Company because of Section 280G of the Code. For purposes of this Section 3(b), present value shall be determined in accordance with Section 280G(d)(4) of the Code. (ii) All determinations required to be made under this Section 3(b)) related to the application of Section 280G of the Code shall be made by the Company’s independent auditors or by such other firm with recognized expertise as may be selected by the Company (such auditors or, if applicable, such other firm are hereinafter referred to as the “Advisory Firm”). The Advisory Firm shall, within ten business days of the Date of Termination or at such earlier time as is requested by the Company, provide to both the Company and the Employee an opinion (and detailed supporting calculations) that the Company has substantial authority to deduct for purposes of Section 280G of the Code (before taking into account any amount not deductible under Section 162(m) of the Code) the full amount of the Agreement Payments to be paid and that the Employee has substantial authority not to report on their federal income tax return any excise tax imposed by Section 4999 of the Code with respect to the Agreement Payments to be paid. Any such determination and opinion by the Advisory Firm shall be binding upon the Company and the Employee. If the Agreement Payments are required to be reduced to the Reduced Amount, then the cash severance payable pursuant to Section 3(a) of this Agreement shall be reduced first. The Company and the Employee shall cooperate fully with the Advisory Firm, including without limitation providing to the Advisory Firm all information and materials reasonably requested by it, in connection with the making of the determinations required under this Section 3(c). (iii) As a result of uncertainty in the application of Section 280G of the Code at the time of the initial determination by the Advisory Firm hereunder, it is possible that Agreement Payments will have been made by the Company which should not have been made (“Overpayment”) or that additional Agreement Payments will not have been made by the Company which should have been made (“Underpayment”), in each case, consistent with the calculations required to be made hereunder. In the event that the Advisory Firm, based upon the assertion by the Internal Revenue Service against the Employee of a deficiency which the Advisory Firm believes has a high probability of success, determines that an Overpayment has been made, any such Overpayment paid or distributed by the Company to or for the benefit of the Employee shall be repaid by the Employee to the Company together with interest at the applicable federal rate provided for in Section 1274 of the Code, with such repayment to be made within 60 days following the date the amount of the Overpayment has been communicated to the Employee. In the event that the Advisory Firm, based upon controlling precedent or other substantial authority, determines that an Underpayment has occurred, any such Underpayment shall be promptly paid by the Company to or for the benefit of the Employee together with interest at the applicable federal rate provided for in Section 1274 of the Code, with such payment to be made within 60 days following the date the amount of the Underpayment has been communicated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(iv) Any payments made to the Employee pursuant to this Agreement, or otherwise, are subject to and conditioned upon their compliance with 12 U.S.C. 1828(k) and any regulations promulgated thereunder. (d) Termination for Cause. In the event of Termination for Cause, the Company shall have no further obligation to the Employee under this Agreement after the Date of Termination. 4. Attorneys Fees. In the event of a dispute arising out of this Agreement, reasonable legal fees and related expenses incurred by the Employee resulting from such dispute shall be paid by the Company only if the Employee prevails in such dispute. 5. Non-Disclosure, Non-Competition and Non-Solicitation Provisions. (a) Non-Disclosure. The Employee acknowledges that he has acquired, and will continue to acquire while employed by the Company and/or performing services for the Consolidated Subsidiaries, special knowledge of the business, affairs, strategies and plans of the Company and the Consolidated Subsidiaries which has not been disclosed to the public and which constitutes confidential and proprietary business information owned by the Company and the Consolidated Subsidiaries, including but not limited to, information about the customers, customer lists, software, data, formulae, processes, inventions, trade secrets, marketing information and plans, and business strategies of the Company and the Consolidated Subsidiaries, and other information about the products and services offered or developed or planned to be offered or developed by the Company and/or the Consolidated Subsidiaries (“Confidential Information”). The Employee agrees that, without the prior written consent of the Company, he shall not, during the term of their employment or at any time thereafter, in any manner directly or indirectly disclose any Confidential Information to any person or entity other than the Company and the Consolidated Subsidiaries. Notwithstanding the foregoing, if the Employee is requested or required (including but not limited to by oral questions, interrogatories, requests for information or documents in legal proceeding, subpoena, civil investigative demand or other similar process) to disclose any Confidential Information, the Employee shall provide the Company with prompt written notice of any such request or requirement so that the Company and/or a Consolidated Subsidiary may seek a protective order or other appropriate remedy and/or waive compliance with the provisions of this Section 5(a). If, in the absence of a protective order or other remedy or the receipt of a waiver from the Company, the Employee is nonetheless legally compelled to disclose Confidential Information to any tribunal or else stand liable for contempt or suffer other censure or penalty, the Employee may, without liability hereunder, disclose to such tribunal only that portion of the Confidential Information which is legally required to be disclosed, provided that the Employee exercise their best efforts to preserve the confidentiality of the Confidential Information, including without limitation by cooperating with the Company and/or a Consolidated Subsidiary to obtain an appropriate protective order or other reliable assurance that confidential treatment will be accorded the Confidential Information by such tribunal. Notwithstanding anything to the contrary herein, the parties hereto agree that nothing contained in this Agreement limits the Employee’s ability to report information to or file a charge or complaint with the Equal Employment Opportunity Commission, the Securities and Exchange Commission, the Federal Deposit Insurance Corporation, the Board of Governors of the Federal Reserve System or any other federal, state or local governmental agency or commission that has jurisdiction over the Company or any Consolidated Subsidiary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“Government Agencies”). The Employee further understands that this Agreement does not limit their ability to communicate with any Government Agencies or otherwise participate in any investigation or proceeding that may be conducted by any Government Agency, including providing documents or other information, without notice to the Company and/or any Consolidated Subsidiary. This Agreement does not limit the Employee’s right to receive an award for information provided to any Government Agencies. In addition, pursuant to the Defend Trade Secrets Act of 2016, the Employee understands that an individual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(y) files any document containing the trade secret under seal; and (z) does not disclose the trade secret, except pursuant to court order. On the Date of Termination, the Employee shall promptly deliver to the Company all copies of documents or other records (including without limitation electronic records) containing any Confidential Information that is in their possession or under their control, and shall retain no written or electronic record of any Confidential Information. (b) Non-Competition. As partial consideration for the severance payments and benefits to be provided to the Employee pursuant to Section 3 of this Agreement, the Employee agrees that during the one-year period next following the Date of Termination (the “Non- Competition Period”), the Employee shall not engage in, become interested in, directly or indirectly, as a sole proprietor, as a partner in a partnership, or as a shareholder in a corporation, or become associated with, in the capacity of employee, director, officer, principal, agent, consultant, trustee or in any other capacity whatsoever, any enterprise or entity with an office located within 50 miles of any office of the Company or any Consolidated Subsidiary during the Non-Competition Period, which proprietorship, partnership, corporation, enterprise or other entity is engaged in any line of business conducted by the Company or any banking subsidiary of the Company during the Non-Competition Period, including but not limited to entities which lend money and take deposits (in each case, a “Competing Business”), provided, however, that this provision shall not prohibit the Employee from owning bonds, non-voting preferred stock or up to five percent (5%) of the outstanding common stock of any Competing Business if such common stock is publicly traded. (c) Non-Solicitation. As partial consideration for the severance payments and benefits to be provided to the Employee pursuant to Section 3 of this Agreement, the Employee agrees that during the two-year period next following the Date of Termination, the Employee shall not directly or indirectly (i) solicit or induce, or cause others to solicit or induce, any employee of the Company or any Consolidated Subsidiary to leave the employment of such entities, or (ii) solicit (whether by mail, telephone, personal meeting or any other means, excluding general solicitations of the public that are not based in whole or in part on any list of customers of the Company or any Consolidated Subsidiary) any customer of the Company or any Consolidated Subsidiary to transact business with any Competing Business, or to reduce or refrain from doing any business with the Company or any Consolidated Subsidiary, or interfere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with or damage (or attempt to interfere with or damage) any relationship between the Company or any Consolidated Subsidiary and any such customers. The provisions of this Section 5 shall survive any termination of the Employee’s employment and any termination of this Agreement. 6. No Assignments. (a) This Agreement is personal to each of the parties hereto, and neither party may assign or delegate any of its rights or obligations hereunder without first obtaining the written consent of the other party; provided, however, that the Company shall require any successor or assign (whether direct or indirect, by purchase, merger, consolidation or otherwise) by an assumption agreement in form and substance satisfactory to the Employee, to expressly assume and agree to perform this Agreement in the same manner and to the same extent that the Company would be required to perform it if no such succession or assignment had taken place. Failure of the Company to obtain such an assumption agreement prior to the effectiveness of any such succession or assignment shall be a breach of this Agreement and shall entitle the Employee to compensation and benefits from the Company in the same amount and on the same terms as provided for upon an Involuntary Termination under Section 3 hereof. For purposes of implementing the provisions of this Section 6(a), the date on which any such succession becomes effective shall be deemed the Date of Termination. (b) This Agreement and all rights of the Employee hereunder shall inure to the benefit of and be enforceable by the Employee’s personal and legal representatives, executors, administrators, successors, heirs, distributees, devisees and legatees. 7. No Mitigation. The Employee shall not be required to mitigate the amount of any payment or benefit provided for in this Agreement by seeking other employment or otherwise, nor shall the amount of any payment or benefit provided for in this Agreement be reduced by any compensation earned by the Employee as the result of employment by another employer, by retirement benefits after the Date of Termination or otherwise. 8. Notice. For the purposes of this Agreement, notices and all other communications provided for in this Agreement shall be in writing and shall be deemed to have been duly given when personally delivered or sent by certified mail, return receipt requested, postage prepaid, to the Company at its principal office, to the attention of the Board of Directors with a copy to the Secretary of the Company, or, if to the Employee, to such home or other address as the Employee has most recently provided in writing to the Company. 9. Amendments. No amendments or additions to this Agreement shall be binding unless in writing and signed by both parties, except as herein otherwise provided. 10. Headings. The headings used in this Agreement are included solely for convenience and shall not affect, or be used in connection with, the interpretation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11. Severability. The provisions of this Agreement shall be deemed severable and the invalidity or unenforceability of any provision shall not affect the validity or enforceability of the other provisions hereof. 12. Governing Law. This Agreement shall be governed by the laws of the State of North Carolina. 13. Arbitration. Any dispute or controversy arising under or in connection with this Agreement (other than relating to the enforcement of the provisions of Section 5) shall be settled exclusively by arbitration before a single arbitrator in Asheville, North Carolina under the commercial arbitration rules of the American Arbitration Association (the “AAA”) then in effect. Judgment may be entered on the arbitrator's award in any court having jurisdiction. The arbitrator shall be selected by the mutual agreement of the parties within ten (10) business days of the date when the parties shall first have the opportunity to select an arbitrator (the “Selection Period”); provided, however, that if the parties fail to agree upon an arbitrator by the expiration of the Selection Period, each party shall, within five (5) business days after the expiration of the Selection Period, select an arbitrator from the list of arbitrators provided by the AAA and the two arbitrators so selected by each party, acting independently, shall, as soon as practicable and within thirty (30) days of both being selected, agree upon the selection of the arbitrator to arbitrate the controversy or claim. 14. Equitable and Other Judicial Relief. (a) It is the intention of the parties hereto that the provisions of this Agreement shall be enforced to the fullest extent permissible under all applicable laws and public policies, but that the unenforceability or the modification to conform with such laws or public policies of any provision hereof shall not render unenforceable or impair the remainder of this Agreement. The covenants in Section 5(b) with respect to the geographic area surrounding each office shall be deemed to be separate covenants with respect to each office, and should any court of competent jurisdiction conclude or find that this Agreement or any portion is not enforceable with respect to a particular office, such conclusion or finding shall in no way render invalid or unenforceable the covenants herein with respect to any other office. Accordingly, if any provision shall be determined to be invalid or unenforceable either in whole or in part, including without limitation the geographic scope or duration of such provision, the parties hereto agree that the court or authority making such determination shall have the power to reduce the scope or duration of such provision or to delete specific words or phrases as necessary (but only to the minimum extent necessary) to cause such provision or part to be valid and enforceable. If such court or authority does not have the legal authority to take the actions described in the preceding sentence, the parties agree to negotiate in good faith a modified provision that would, in so far as possible, reflect the original intent of this Agreement, including without limitation Section 5 hereof, without violating applicable law. (b) The Employee acknowledges that any breach of Section 5 will result in irreparable damage to the Company for which the Company will not have an adequate remedy at law, especially in light of the impossibility of ascertaining exact money damages. In addition to any other remedies and damages available to the Company, the Employee further acknowledges that the Company shall be entitled to seek a temporary restraining order as well as preliminary and permanent injunctive relief hereunder to enjoin any breach or threatened breach of Section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of this Agreement, and the Employee hereby consents to any restraining order or injunction issued in favor of the Company by any court of competent jurisdiction, without prejudice to any other right or remedy to which the Company may be entitled. In addition, in the event of a breach of Section 5 of this Agreement by the Employee, the Employee acknowledges that in addition to or in lieu of the Company seeking injunctive relief, the Company may also seek a forfeiture of the cash severance payments paid or payable to the Employee pursuant to Section 3 of this Agreement with respect to the period of the breach in an amount equal to (i) the value ascribed to the non-competition or non-solicitation provision in Section 5 that was breached, multiplied by (ii) a fraction, the numerator of which is the period of time that the Employee was in breach of such provision and the denominator of which is the total duration of such provision in Section 5. Each of the remedies available to the Company in the event of a breach by the Employee shall be cumulative and not mutually exclusive. 15. Counterparts. This Agreement may be executed in one or more counterparts, each of which shall be deemed to be an original and all of which together will constitute one and the same instrument. 16. Changes in Statutes or Regulations. If any statutory or regulatory provision referenced herein is subsequently changed or re-numbered, or is replaced by a separate provision, then the references in this Agreement to such statutory or regulatory provision shall be deemed to be a reference to such section as amended, re-numbered or replaced. 17. Entire Agreement. This Agreement embodies the entire agreement between the Company and the Employee with respect to the matters agreed to herein. All prior agreements between the Company and the Employee with respect to the matters agreed to herein, including the Prior Agreement, are hereby superseded and shall have no force or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 WITNESS WHEREOF, the parties have executed this Agreement as of the day and year first written above. THIS AGREEMENT CONTAINS A BINDING ARBITRATION PROVISION WHICH MAY BE ENFORCED BY THE PARTIES. HOMETRUST BANCSHARES, INC. /s/ Hunter Westbrook By: Hunter Westbrook Its: President and CEO EMPLOYEE /s/ Chuck Sivley Chuck Sivley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RULE 13a-14(a) CERTIFICATION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 C. Hunter Westbrook, certify that:</w:t>
      </w:r>
    </w:p>
    <w:p>
      <w:pPr>
        <w:pStyle w:val="TextBody"/>
        <w:bidi w:val="0"/>
        <w:spacing w:lineRule="auto" w:line="288" w:before="0" w:after="18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HomeTrust Bancshares, Inc. (the "Company");</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4.The Company's other certifying officer and I are responsible for establishing and maintaining disclosure controls and procedures (as defined in Exchange Act Rules 13a-15(e) and 15d-15(e)) for the Company and have:</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Company's internal control over financial reporting.</w:t>
      </w:r>
    </w:p>
    <w:tbl>
      <w:tblPr>
        <w:tblW w:w="4424" w:type="dxa"/>
        <w:jc w:val="left"/>
        <w:tblInd w:w="0" w:type="dxa"/>
        <w:tblLayout w:type="fixed"/>
        <w:tblCellMar>
          <w:top w:w="28" w:type="dxa"/>
          <w:left w:w="28" w:type="dxa"/>
          <w:bottom w:w="28" w:type="dxa"/>
          <w:right w:w="28" w:type="dxa"/>
        </w:tblCellMar>
      </w:tblPr>
      <w:tblGrid>
        <w:gridCol w:w="445"/>
        <w:gridCol w:w="390"/>
        <w:gridCol w:w="394"/>
        <w:gridCol w:w="120"/>
        <w:gridCol w:w="120"/>
        <w:gridCol w:w="120"/>
        <w:gridCol w:w="828"/>
        <w:gridCol w:w="828"/>
        <w:gridCol w:w="1179"/>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August 9,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C. Hunter Westbrook</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 Hunter Westbrook</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RULE 13a-14(a) CERTIFICATION</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I, Tony J. VunCannon, certify that: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HomeTrust Bancshares, Inc. (the "Company");</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4.The Company's other certifying officer and I are responsible for establishing and maintaining disclosure controls and procedures (as defined in Exchange Act Rules 13a-15(e) and 15d-15(e)) for the Company and have:</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Company's internal control over financial reporting.</w:t>
      </w:r>
    </w:p>
    <w:tbl>
      <w:tblPr>
        <w:tblW w:w="5023" w:type="dxa"/>
        <w:jc w:val="left"/>
        <w:tblInd w:w="0" w:type="dxa"/>
        <w:tblLayout w:type="fixed"/>
        <w:tblCellMar>
          <w:top w:w="28" w:type="dxa"/>
          <w:left w:w="28" w:type="dxa"/>
          <w:bottom w:w="28" w:type="dxa"/>
          <w:right w:w="28" w:type="dxa"/>
        </w:tblCellMar>
      </w:tblPr>
      <w:tblGrid>
        <w:gridCol w:w="445"/>
        <w:gridCol w:w="390"/>
        <w:gridCol w:w="394"/>
        <w:gridCol w:w="120"/>
        <w:gridCol w:w="120"/>
        <w:gridCol w:w="120"/>
        <w:gridCol w:w="1005"/>
        <w:gridCol w:w="1005"/>
        <w:gridCol w:w="1424"/>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August 9,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 Tony J. VunCannon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Tony J. VunCannon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CFO, and Treasurer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18"/>
        </w:rPr>
      </w:pPr>
      <w:r>
        <w:rPr>
          <w:rFonts w:ascii="Times New Roman;sans-serif" w:hAnsi="Times New Roman;sans-serif"/>
          <w:b/>
          <w:color w:val="000000"/>
          <w:sz w:val="18"/>
        </w:rPr>
        <w:t>Exhibit 32</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SECTION 1350 CERTIFICATION</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Each of the undersigned hereby certifies in his capacity as an officer of HomeTrust Bancshares, Inc. (the "Company") that the Quarterly Report of the Company on Form 10-Q for the period ended June 30, 2024,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tbl>
      <w:tblPr>
        <w:tblW w:w="5024" w:type="dxa"/>
        <w:jc w:val="left"/>
        <w:tblInd w:w="0" w:type="dxa"/>
        <w:tblLayout w:type="fixed"/>
        <w:tblCellMar>
          <w:top w:w="28" w:type="dxa"/>
          <w:left w:w="28" w:type="dxa"/>
          <w:bottom w:w="28" w:type="dxa"/>
          <w:right w:w="28" w:type="dxa"/>
        </w:tblCellMar>
      </w:tblPr>
      <w:tblGrid>
        <w:gridCol w:w="445"/>
        <w:gridCol w:w="390"/>
        <w:gridCol w:w="394"/>
        <w:gridCol w:w="120"/>
        <w:gridCol w:w="120"/>
        <w:gridCol w:w="120"/>
        <w:gridCol w:w="1006"/>
        <w:gridCol w:w="1006"/>
        <w:gridCol w:w="1423"/>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9,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C. Hunter Westbrook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 Hunter Westbrook</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9,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 Tony J. VunCannon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Tony J. VunCannon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CFO, and Treasurer</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8263/000119312511355607/0001193125-11-355607-index.htm" TargetMode="External"/><Relationship Id="rId3" Type="http://schemas.openxmlformats.org/officeDocument/2006/relationships/hyperlink" Target="https://www.sec.gov/ix?doc=/Archives/edgar/data/1538263/000153826323000047/htbi-20230630.htm" TargetMode="External"/><Relationship Id="rId4" Type="http://schemas.openxmlformats.org/officeDocument/2006/relationships/hyperlink" Target="https://www.sec.gov/ix?doc=/Archives/edgar/data/1538263/000153826324000029/htbi-20231231.htm" TargetMode="External"/><Relationship Id="rId5" Type="http://schemas.openxmlformats.org/officeDocument/2006/relationships/hyperlink" Target="https://www.sec.gov/ix?doc=/Archives/edgar/data/0001538263/000153826322000047/htbi-20220630.htm" TargetMode="External"/><Relationship Id="rId6" Type="http://schemas.openxmlformats.org/officeDocument/2006/relationships/hyperlink" Target="https://www.sec.gov/Archives/edgar/data/1538263/000153826318000044/htbi-20180911x8k.htm" TargetMode="External"/><Relationship Id="rId7" Type="http://schemas.openxmlformats.org/officeDocument/2006/relationships/hyperlink" Target="https://www.sec.gov/Archives/edgar/data/1538263/000153826318000049/htbi-20180925x8k.htm" TargetMode="External"/><Relationship Id="rId8" Type="http://schemas.openxmlformats.org/officeDocument/2006/relationships/hyperlink" Target="https://www.sec.gov/ix?doc=/Archives/edgar/data/0001538263/000153826320000039/htbi-20201027.htm" TargetMode="External"/><Relationship Id="rId9" Type="http://schemas.openxmlformats.org/officeDocument/2006/relationships/hyperlink" Target="https://www.sec.gov/ix?doc=/Archives/edgar/data/0001538263/000153826321000053/htbi-20210726.htm" TargetMode="External"/><Relationship Id="rId10" Type="http://schemas.openxmlformats.org/officeDocument/2006/relationships/hyperlink" Target="https://www.sec.gov/ix?doc=/Archives/edgar/data/0001538263/000153826322000024/htbi-20220523.htm" TargetMode="External"/><Relationship Id="rId11" Type="http://schemas.openxmlformats.org/officeDocument/2006/relationships/hyperlink" Target="https://www.sec.gov/Archives/edgar/data/1538263/000153826318000044/htbi-20180911x8k.htm" TargetMode="External"/><Relationship Id="rId12" Type="http://schemas.openxmlformats.org/officeDocument/2006/relationships/hyperlink" Target="https://www.sec.gov/ix?doc=/Archives/edgar/data/0001538263/000153826322000047/htbi-20220630.htm" TargetMode="External"/><Relationship Id="rId13" Type="http://schemas.openxmlformats.org/officeDocument/2006/relationships/hyperlink" Target="https://www.sec.gov/Archives/edgar/data/1538263/000119312511355607/0001193125-11-355607-index.htm" TargetMode="External"/><Relationship Id="rId14" Type="http://schemas.openxmlformats.org/officeDocument/2006/relationships/hyperlink" Target="https://www.sec.gov/ix?doc=/Archives/edgar/data/0001538263/000153826322000021/htbi-20220331.htm" TargetMode="External"/><Relationship Id="rId15" Type="http://schemas.openxmlformats.org/officeDocument/2006/relationships/hyperlink" Target="https://www.sec.gov/ix?doc=/Archives/edgar/data/0001538263/000153826322000009/htbi-20220211.htm" TargetMode="External"/><Relationship Id="rId16" Type="http://schemas.openxmlformats.org/officeDocument/2006/relationships/hyperlink" Target="https://www.sec.gov/Archives/edgar/data/1538263/000119312511355607/0001193125-11-355607-index.htm" TargetMode="External"/><Relationship Id="rId17" Type="http://schemas.openxmlformats.org/officeDocument/2006/relationships/hyperlink" Target="https://www.sec.gov/Archives/edgar/data/1538263/000119312511355607/0001193125-11-355607-index.htm" TargetMode="External"/><Relationship Id="rId18" Type="http://schemas.openxmlformats.org/officeDocument/2006/relationships/hyperlink" Target="https://www.sec.gov/Archives/edgar/data/1538263/000119312511355607/0001193125-11-355607-index.htm" TargetMode="External"/><Relationship Id="rId19" Type="http://schemas.openxmlformats.org/officeDocument/2006/relationships/hyperlink" Target="https://www.sec.gov/Archives/edgar/data/1538263/000119312511355607/0001193125-11-355607-index.htm" TargetMode="External"/><Relationship Id="rId20" Type="http://schemas.openxmlformats.org/officeDocument/2006/relationships/hyperlink" Target="https://www.sec.gov/Archives/edgar/data/1538263/000119312511355607/0001193125-11-355607-index.htm" TargetMode="External"/><Relationship Id="rId21" Type="http://schemas.openxmlformats.org/officeDocument/2006/relationships/hyperlink" Target="https://www.sec.gov/Archives/edgar/data/1538263/000119312511355607/0001193125-11-355607-index.htm" TargetMode="External"/><Relationship Id="rId22" Type="http://schemas.openxmlformats.org/officeDocument/2006/relationships/hyperlink" Target="https://www.sec.gov/Archives/edgar/data/1538263/000119312511355607/0001193125-11-355607-index.htm" TargetMode="External"/><Relationship Id="rId23" Type="http://schemas.openxmlformats.org/officeDocument/2006/relationships/hyperlink" Target="https://www.sec.gov/Archives/edgar/data/1538263/000119312511355607/0001193125-11-355607-index.htm" TargetMode="External"/><Relationship Id="rId24" Type="http://schemas.openxmlformats.org/officeDocument/2006/relationships/hyperlink" Target="https://www.sec.gov/Archives/edgar/data/1538263/000119312512107294/0001193125-12-107294-index.htm" TargetMode="External"/><Relationship Id="rId25" Type="http://schemas.openxmlformats.org/officeDocument/2006/relationships/hyperlink" Target="https://www.sec.gov/Archives/edgar/data/1538263/000119312511355607/0001193125-11-355607-index.htm" TargetMode="External"/><Relationship Id="rId26" Type="http://schemas.openxmlformats.org/officeDocument/2006/relationships/hyperlink" Target="https://www.sec.gov/Archives/edgar/data/1538263/000119312511355607/0001193125-11-355607-index.htm" TargetMode="External"/><Relationship Id="rId27" Type="http://schemas.openxmlformats.org/officeDocument/2006/relationships/hyperlink" Target="https://www.sec.gov/Archives/edgar/data/1538263/000119312511355607/0001193125-11-355607-index.htm" TargetMode="External"/><Relationship Id="rId28" Type="http://schemas.openxmlformats.org/officeDocument/2006/relationships/hyperlink" Target="https://www.sec.gov/Archives/edgar/data/1538263/000119312511355607/0001193125-11-355607-index.htm" TargetMode="External"/><Relationship Id="rId29" Type="http://schemas.openxmlformats.org/officeDocument/2006/relationships/hyperlink" Target="https://www.sec.gov/Archives/edgar/data/1538263/000119312511355607/0001193125-11-355607-index.htm" TargetMode="External"/><Relationship Id="rId30" Type="http://schemas.openxmlformats.org/officeDocument/2006/relationships/hyperlink" Target="https://www.sec.gov/Archives/edgar/data/1538263/000119312511355607/0001193125-11-355607-index.htm" TargetMode="External"/><Relationship Id="rId31" Type="http://schemas.openxmlformats.org/officeDocument/2006/relationships/hyperlink" Target="https://www.sec.gov/Archives/edgar/data/1538263/000119312511355607/0001193125-11-355607-index.htm" TargetMode="External"/><Relationship Id="rId32" Type="http://schemas.openxmlformats.org/officeDocument/2006/relationships/hyperlink" Target="https://www.sec.gov/Archives/edgar/data/1538263/000119312511355607/0001193125-11-355607-index.htm" TargetMode="External"/><Relationship Id="rId33" Type="http://schemas.openxmlformats.org/officeDocument/2006/relationships/hyperlink" Target="https://www.sec.gov/Archives/edgar/data/1538263/000119312511355607/0001193125-11-355607-index.htm" TargetMode="External"/><Relationship Id="rId34" Type="http://schemas.openxmlformats.org/officeDocument/2006/relationships/hyperlink" Target="https://www.sec.gov/ix?doc=/Archives/edgar/data/0001538263/000153826322000021/htbi-20220331.htm" TargetMode="External"/><Relationship Id="rId35" Type="http://schemas.openxmlformats.org/officeDocument/2006/relationships/hyperlink" Target="https://www.sec.gov/ix?doc=/Archives/edgar/data/0001538263/000153826322000021/htbi-20220331.htm" TargetMode="External"/><Relationship Id="rId36" Type="http://schemas.openxmlformats.org/officeDocument/2006/relationships/hyperlink" Target="https://www.sec.gov/Archives/edgar/data/1538263/000153826322000058/0001538263-22-000058-index.htm" TargetMode="External"/><Relationship Id="rId37" Type="http://schemas.openxmlformats.org/officeDocument/2006/relationships/hyperlink" Target="https://www.sec.gov/ix?doc=/Archives/edgar/data/0001538263/000153826323000038/htbi-20230828.htm" TargetMode="External"/><Relationship Id="rId38" Type="http://schemas.openxmlformats.org/officeDocument/2006/relationships/hyperlink" Target="https://www.sec.gov/Archives/edgar/data/1538263/000119312511355607/0001193125-11-355607-index.htm" TargetMode="External"/><Relationship Id="rId39" Type="http://schemas.openxmlformats.org/officeDocument/2006/relationships/hyperlink" Target="https://www.sec.gov/ix?doc=/Archives/edgar/data/0001538263/000153826322000021/htbi-20220331.htm" TargetMode="External"/><Relationship Id="rId40" Type="http://schemas.openxmlformats.org/officeDocument/2006/relationships/hyperlink" Target="https://www.sec.gov/Archives/edgar/data/1538263/000119312511355607/0001193125-11-355607-index.htm" TargetMode="External"/><Relationship Id="rId41" Type="http://schemas.openxmlformats.org/officeDocument/2006/relationships/hyperlink" Target="https://www.sec.gov/ix?doc=/Archives/edgar/data/0001538263/000153826322000021/htbi-20220331.htm" TargetMode="External"/><Relationship Id="rId42" Type="http://schemas.openxmlformats.org/officeDocument/2006/relationships/hyperlink" Target="https://www.sec.gov/Archives/edgar/data/1538263/000092708912000332/htbi-def14a2012.htm" TargetMode="External"/><Relationship Id="rId43" Type="http://schemas.openxmlformats.org/officeDocument/2006/relationships/hyperlink" Target="https://www.sec.gov/Archives/edgar/data/1538263/000092708913000038/0000927089-13-000038-index.htm" TargetMode="External"/><Relationship Id="rId44" Type="http://schemas.openxmlformats.org/officeDocument/2006/relationships/hyperlink" Target="https://www.sec.gov/Archives/edgar/data/1538263/000092708913000038/0000927089-13-000038-index.htm" TargetMode="External"/><Relationship Id="rId45" Type="http://schemas.openxmlformats.org/officeDocument/2006/relationships/hyperlink" Target="https://www.sec.gov/Archives/edgar/data/1538263/000092708913000038/0000927089-13-000038-index.htm" TargetMode="External"/><Relationship Id="rId46" Type="http://schemas.openxmlformats.org/officeDocument/2006/relationships/hyperlink" Target="https://www.sec.gov/Archives/edgar/data/1538263/000092708913000038/0000927089-13-000038-index.htm" TargetMode="External"/><Relationship Id="rId47" Type="http://schemas.openxmlformats.org/officeDocument/2006/relationships/hyperlink" Target="https://www.sec.gov/Archives/edgar/data/1538263/000092708913000038/0000927089-13-000038-index.htm" TargetMode="External"/><Relationship Id="rId48" Type="http://schemas.openxmlformats.org/officeDocument/2006/relationships/hyperlink" Target="https://www.sec.gov/Archives/edgar/data/1538263/000110465922104918/tm2226697d1_def14a.htm" TargetMode="External"/><Relationship Id="rId49" Type="http://schemas.openxmlformats.org/officeDocument/2006/relationships/hyperlink" Target="https://www.sec.gov/Archives/edgar/data/1538263/000110465923011174/tm235386d1_s8.htm" TargetMode="External"/><Relationship Id="rId50" Type="http://schemas.openxmlformats.org/officeDocument/2006/relationships/hyperlink" Target="https://www.sec.gov/Archives/edgar/data/1538263/000110465923011174/tm235386d1_s8.htm" TargetMode="External"/><Relationship Id="rId51" Type="http://schemas.openxmlformats.org/officeDocument/2006/relationships/hyperlink" Target="https://www.sec.gov/Archives/edgar/data/1538263/000110465923011174/tm235386d1_s8.htm" TargetMode="External"/><Relationship Id="rId52" Type="http://schemas.openxmlformats.org/officeDocument/2006/relationships/hyperlink" Target="https://www.sec.gov/Archives/edgar/data/1538263/000153826319000024/a2019-03x31xhtbix10q.htm" TargetMode="External"/><Relationship Id="rId53" Type="http://schemas.openxmlformats.org/officeDocument/2006/relationships/hyperlink" Target="https://www.sec.gov/ix?doc=/Archives/edgar/data/0001538263/000153826322000047/htbi-20220630.htm" TargetMode="External"/><Relationship Id="rId54" Type="http://schemas.openxmlformats.org/officeDocument/2006/relationships/hyperlink" Target="https://www.sec.gov/Archives/edgar/data/1538263/000153826318000044/htbi-20180911x8k.htm" TargetMode="External"/><Relationship Id="rId55" Type="http://schemas.openxmlformats.org/officeDocument/2006/relationships/hyperlink" Target="https://www.sec.gov/ix?doc=/Archives/edgar/data/0001538263/000153826322000047/htbi-20220630.htm" TargetMode="External"/><Relationship Id="rId56" Type="http://schemas.openxmlformats.org/officeDocument/2006/relationships/hyperlink" Target="https://www.sec.gov/ix?doc=/Archives/edgar/data/1538263/000153826323000047/htbi-20230630.htm" TargetMode="External"/><Relationship Id="rId57" Type="http://schemas.openxmlformats.org/officeDocument/2006/relationships/hyperlink" Target="https://www.sec.gov/Archives/edgar/data/1538263/000153826322000058/0001538263-22-000058-index.htm" TargetMode="External"/><Relationship Id="rId58" Type="http://schemas.openxmlformats.org/officeDocument/2006/relationships/hyperlink" Target="https://www.sec.gov/ix?doc=/Archives/edgar/data/0001538263/000153826322000047/htbi-20220630.htm" TargetMode="External"/><Relationship Id="rId59" Type="http://schemas.openxmlformats.org/officeDocument/2006/relationships/hyperlink" Target="https://www.sec.gov/ix?doc=/Archives/edgar/data/0001538263/000153826322000047/htbi-20220630.htm" TargetMode="External"/><Relationship Id="rId60" Type="http://schemas.openxmlformats.org/officeDocument/2006/relationships/hyperlink" Target="https://www.sec.gov/ix?doc=/Archives/edgar/data/0001538263/000153826323000056/htbi-20230930.htm" TargetMode="External"/><Relationship Id="rId61" Type="http://schemas.openxmlformats.org/officeDocument/2006/relationships/hyperlink" Target="https://www.sec.gov/Archives/edgar/data/1538263/000153826324000029/hometrustbancsharesclawb.htm" TargetMode="External"/><Relationship Id="rId62" Type="http://schemas.openxmlformats.org/officeDocument/2006/relationships/image" Target="media/image1.jpeg"/><Relationship Id="rId63" Type="http://schemas.openxmlformats.org/officeDocument/2006/relationships/image" Target="media/image2.jpeg"/><Relationship Id="rId64" Type="http://schemas.openxmlformats.org/officeDocument/2006/relationships/image" Target="media/image3.jpeg"/><Relationship Id="rId65" Type="http://schemas.openxmlformats.org/officeDocument/2006/relationships/image" Target="media/image4.jpeg"/><Relationship Id="rId66" Type="http://schemas.openxmlformats.org/officeDocument/2006/relationships/image" Target="media/image5.jpeg"/><Relationship Id="rId67" Type="http://schemas.openxmlformats.org/officeDocument/2006/relationships/image" Target="media/image6.jpeg"/><Relationship Id="rId68" Type="http://schemas.openxmlformats.org/officeDocument/2006/relationships/image" Target="media/image7.jpeg"/><Relationship Id="rId69" Type="http://schemas.openxmlformats.org/officeDocument/2006/relationships/image" Target="media/image8.jpeg"/><Relationship Id="rId70" Type="http://schemas.openxmlformats.org/officeDocument/2006/relationships/image" Target="media/image9.jpeg"/><Relationship Id="rId71" Type="http://schemas.openxmlformats.org/officeDocument/2006/relationships/image" Target="media/image10.jpeg"/><Relationship Id="rId72" Type="http://schemas.openxmlformats.org/officeDocument/2006/relationships/image" Target="media/image11.jpeg"/><Relationship Id="rId73" Type="http://schemas.openxmlformats.org/officeDocument/2006/relationships/image" Target="media/image12.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32634</Words>
  <Characters>175775</Characters>
  <CharactersWithSpaces>205983</CharactersWithSpaces>
  <Paragraphs>8117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cicagreement-chucksivley</dc:title>
</cp:coreProperties>
</file>