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69" w:lineRule="exact"/>
        <w:rPr>
          <w:sz w:val="24"/>
          <w:szCs w:val="24"/>
          <w:color w:val="auto"/>
        </w:rPr>
      </w:pPr>
    </w:p>
    <w:p>
      <w:pPr>
        <w:ind w:left="4140" w:right="3340" w:hanging="4132"/>
        <w:spacing w:after="0" w:line="548" w:lineRule="auto"/>
        <w:tabs>
          <w:tab w:leader="none" w:pos="63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QUARTERLY REPORT UNDER SECTION 13 OR 15(d) OF THE SECURITIES EXCHANGE ACT OF 1934 For the quarterly period ended </w:t>
      </w:r>
      <w:r>
        <w:rPr>
          <w:rFonts w:ascii="Times New Roman" w:cs="Times New Roman" w:eastAsia="Times New Roman" w:hAnsi="Times New Roman"/>
          <w:sz w:val="16"/>
          <w:szCs w:val="16"/>
          <w:b w:val="1"/>
          <w:bCs w:val="1"/>
          <w:u w:val="single" w:color="auto"/>
          <w:color w:val="auto"/>
        </w:rPr>
        <w:t>June 30, 2025</w:t>
      </w:r>
    </w:p>
    <w:p>
      <w:pPr>
        <w:spacing w:after="0" w:line="37" w:lineRule="exact"/>
        <w:rPr>
          <w:sz w:val="24"/>
          <w:szCs w:val="24"/>
          <w:color w:val="auto"/>
        </w:rPr>
      </w:pPr>
    </w:p>
    <w:p>
      <w:pPr>
        <w:ind w:left="3940" w:right="3320" w:hanging="3932"/>
        <w:spacing w:after="0" w:line="562"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HOMETRUST BANCSHARES,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540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45-5055422</w:t>
            </w:r>
          </w:p>
        </w:tc>
      </w:tr>
      <w:tr>
        <w:trPr>
          <w:trHeight w:val="207"/>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of organization)</w:t>
            </w:r>
          </w:p>
        </w:tc>
        <w:tc>
          <w:tcPr>
            <w:tcW w:w="440" w:type="dxa"/>
            <w:vAlign w:val="bottom"/>
          </w:tcPr>
          <w:p>
            <w:pPr>
              <w:spacing w:after="0"/>
              <w:rPr>
                <w:sz w:val="17"/>
                <w:szCs w:val="17"/>
                <w:color w:val="auto"/>
              </w:rPr>
            </w:pPr>
          </w:p>
        </w:tc>
        <w:tc>
          <w:tcPr>
            <w:tcW w:w="540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10 Woodfin Street, Asheville, North Carolina 28801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(828) 259-3939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50" w:type="dxa"/>
        <w:tblCellMar>
          <w:top w:w="0" w:type="dxa"/>
          <w:left w:w="0" w:type="dxa"/>
          <w:bottom w:w="0" w:type="dxa"/>
          <w:right w:w="0" w:type="dxa"/>
        </w:tblCellMar>
      </w:tblPr>
      <w:tr>
        <w:trPr>
          <w:trHeight w:val="228"/>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HTB</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New York Stock Exchange LLC</w:t>
            </w:r>
          </w:p>
        </w:tc>
      </w:tr>
    </w:tbl>
    <w:p>
      <w:pPr>
        <w:spacing w:after="0" w:line="310"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17,500,943 shares of common stock, par value of $0.01 per share, issued and outstanding as of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HOMETRUST BANCSHARES,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1040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76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 at June 30, 2025 (Unaudited) and December 31, 2024</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Income (Unaudited) for the Three and Six Months Ended June 30, 2025 and 2024</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4</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for the Three and Six Months Ended June 30, 2025 and 2024</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5</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(Unaudited) for the Three and Six Months Ended June 30, 2025 and 2024</w:t>
            </w:r>
          </w:p>
        </w:tc>
        <w:tc>
          <w:tcPr>
            <w:tcW w:w="5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for the Six Months Ended June 30, 2025 and 2024</w:t>
            </w:r>
          </w:p>
        </w:tc>
        <w:tc>
          <w:tcPr>
            <w:tcW w:w="20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560" w:type="dxa"/>
            <w:vAlign w:val="bottom"/>
            <w:gridSpan w:val="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gridSpan w:val="2"/>
          </w:tcPr>
          <w:p>
            <w:pPr>
              <w:spacing w:after="0"/>
              <w:rPr>
                <w:sz w:val="24"/>
                <w:szCs w:val="24"/>
                <w:color w:val="auto"/>
              </w:rPr>
            </w:pPr>
          </w:p>
        </w:tc>
        <w:tc>
          <w:tcPr>
            <w:tcW w:w="3580" w:type="dxa"/>
            <w:vAlign w:val="bottom"/>
            <w:gridSpan w:val="5"/>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45</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80" w:type="dxa"/>
            <w:vAlign w:val="bottom"/>
            <w:gridSpan w:val="7"/>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45</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520"/>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79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480" w:type="dxa"/>
            <w:vAlign w:val="bottom"/>
            <w:gridSpan w:val="7"/>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5"/>
            <w:shd w:val="clear" w:color="auto" w:fill="0000FF"/>
          </w:tcPr>
          <w:p>
            <w:pPr>
              <w:spacing w:after="0" w:line="20" w:lineRule="exact"/>
              <w:rPr>
                <w:sz w:val="1"/>
                <w:szCs w:val="1"/>
                <w:color w:val="auto"/>
              </w:rPr>
            </w:pPr>
          </w:p>
        </w:tc>
        <w:tc>
          <w:tcPr>
            <w:tcW w:w="7280" w:type="dxa"/>
            <w:vAlign w:val="bottom"/>
            <w:gridSpan w:val="9"/>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20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280" w:type="dxa"/>
            <w:vAlign w:val="bottom"/>
            <w:gridSpan w:val="9"/>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Glossary of Defined Terms</w:t>
      </w:r>
    </w:p>
    <w:p>
      <w:pPr>
        <w:spacing w:after="0" w:line="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10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CD</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Deposit</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 Dependent Asset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CECL</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Equity Tier 1</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Coronavirus Disease 2019</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ECL</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Stock Ownership Plan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Federal Reserve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Board of Governors of the Federal Reserve System</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or FHLB of Atlanta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Home Loan Bank of Atlanta</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FRB</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Federal Reserve Bank of Richmond</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Government-Sponsored Enterprises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Home Equity Line of Credit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IRLC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MBS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Security</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NCCOB</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 Office of the Commissioner of Banks</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PCD</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Quantum</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Quantum Capital Corp. and its wholly owned subsidiary, Quantum National Bank</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ROA</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Return on Assets</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Right of Use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U.S. Small Business Administration</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SBIC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Small Business Investment Companies</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Overnight Financing Rate</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To-be-announced</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9"/>
                <w:szCs w:val="19"/>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260,441</w:t>
            </w:r>
          </w:p>
        </w:tc>
        <w:tc>
          <w:tcPr>
            <w:tcW w:w="0" w:type="dxa"/>
            <w:vAlign w:val="bottom"/>
          </w:tcPr>
          <w:p>
            <w:pPr>
              <w:spacing w:after="0"/>
              <w:rPr>
                <w:sz w:val="1"/>
                <w:szCs w:val="1"/>
                <w:color w:val="auto"/>
              </w:rPr>
            </w:pP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0" w:type="dxa"/>
            <w:vAlign w:val="bottom"/>
          </w:tcPr>
          <w:p>
            <w:pPr>
              <w:spacing w:after="0"/>
              <w:rPr>
                <w:sz w:val="1"/>
                <w:szCs w:val="1"/>
                <w:color w:val="auto"/>
              </w:rPr>
            </w:pPr>
          </w:p>
        </w:tc>
      </w:tr>
      <w:tr>
        <w:trPr>
          <w:trHeight w:val="162"/>
        </w:trPr>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Debt securities available for sale, at fair value (amortized cost of $144,301 and $154,199 at June 30, 2025 and</w:t>
            </w:r>
          </w:p>
        </w:tc>
        <w:tc>
          <w:tcPr>
            <w:tcW w:w="2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SBIC investments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 of deferred loan fees and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3,648,299</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(45,285)</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3,627,812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3,603,014</w:t>
            </w:r>
          </w:p>
        </w:tc>
        <w:tc>
          <w:tcPr>
            <w:tcW w:w="0" w:type="dxa"/>
            <w:vAlign w:val="bottom"/>
          </w:tcPr>
          <w:p>
            <w:pPr>
              <w:spacing w:after="0"/>
              <w:rPr>
                <w:sz w:val="1"/>
                <w:szCs w:val="1"/>
                <w:color w:val="auto"/>
              </w:rPr>
            </w:pP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Premises and equipment, at the lower of cost or fair value</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Core deposit intangibles,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66,606</w:t>
            </w:r>
          </w:p>
        </w:tc>
        <w:tc>
          <w:tcPr>
            <w:tcW w:w="0" w:type="dxa"/>
            <w:vAlign w:val="bottom"/>
          </w:tcPr>
          <w:p>
            <w:pPr>
              <w:spacing w:after="0"/>
              <w:rPr>
                <w:sz w:val="1"/>
                <w:szCs w:val="1"/>
                <w:color w:val="auto"/>
              </w:rPr>
            </w:pPr>
          </w:p>
        </w:tc>
      </w:tr>
      <w:tr>
        <w:trPr>
          <w:trHeight w:val="212"/>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4,578,053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4,595,430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3,779,203</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66,349</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3,998,779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4,043,672</w:t>
            </w:r>
          </w:p>
        </w:tc>
        <w:tc>
          <w:tcPr>
            <w:tcW w:w="0" w:type="dxa"/>
            <w:vAlign w:val="bottom"/>
          </w:tcPr>
          <w:p>
            <w:pPr>
              <w:spacing w:after="0"/>
              <w:rPr>
                <w:sz w:val="1"/>
                <w:szCs w:val="1"/>
                <w:color w:val="auto"/>
              </w:rPr>
            </w:pPr>
          </w:p>
        </w:tc>
      </w:tr>
      <w:tr>
        <w:trPr>
          <w:trHeight w:val="19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 See Note 13</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or outstanding</w:t>
            </w:r>
          </w:p>
        </w:tc>
        <w:tc>
          <w:tcPr>
            <w:tcW w:w="2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Common stock, $0.01 par value, 60,000,000 shares authorized, 17,492,143 shares issued and outstanding at June</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30, 2025; 17,527,709 at December 31, 2024</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380,541</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551,758</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4,578,053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4,595,430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24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119,053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122,113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investments and interest-bearing deposits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127,276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128,769</w:t>
            </w:r>
          </w:p>
        </w:tc>
        <w:tc>
          <w:tcPr>
            <w:tcW w:w="0" w:type="dxa"/>
            <w:vAlign w:val="bottom"/>
          </w:tcPr>
          <w:p>
            <w:pPr>
              <w:spacing w:after="0"/>
              <w:rPr>
                <w:sz w:val="1"/>
                <w:szCs w:val="1"/>
                <w:color w:val="auto"/>
              </w:rPr>
            </w:pPr>
          </w:p>
        </w:tc>
      </w:tr>
      <w:tr>
        <w:trPr>
          <w:trHeight w:val="26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41,456</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 expense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44,828</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78,516</w:t>
            </w:r>
          </w:p>
        </w:tc>
        <w:tc>
          <w:tcPr>
            <w:tcW w:w="0" w:type="dxa"/>
            <w:vAlign w:val="bottom"/>
          </w:tcPr>
          <w:p>
            <w:pPr>
              <w:spacing w:after="0"/>
              <w:rPr>
                <w:sz w:val="1"/>
                <w:szCs w:val="1"/>
                <w:color w:val="auto"/>
              </w:rPr>
            </w:pPr>
          </w:p>
        </w:tc>
      </w:tr>
      <w:tr>
        <w:trPr>
          <w:trHeight w:val="26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branches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0" w:type="dxa"/>
            <w:vAlign w:val="bottom"/>
          </w:tcPr>
          <w:p>
            <w:pPr>
              <w:spacing w:after="0"/>
              <w:rPr>
                <w:sz w:val="1"/>
                <w:szCs w:val="1"/>
                <w:color w:val="auto"/>
              </w:rPr>
            </w:pPr>
          </w:p>
        </w:tc>
      </w:tr>
      <w:tr>
        <w:trPr>
          <w:trHeight w:val="26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33,584</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60,619</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67"/>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17,006,141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16,883,028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17,008,699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16,871,383</w:t>
            </w:r>
          </w:p>
        </w:tc>
        <w:tc>
          <w:tcPr>
            <w:tcW w:w="0" w:type="dxa"/>
            <w:vAlign w:val="bottom"/>
          </w:tcPr>
          <w:p>
            <w:pPr>
              <w:spacing w:after="0"/>
              <w:rPr>
                <w:sz w:val="1"/>
                <w:szCs w:val="1"/>
                <w:color w:val="auto"/>
              </w:rPr>
            </w:pPr>
          </w:p>
        </w:tc>
      </w:tr>
      <w:tr>
        <w:trPr>
          <w:trHeight w:val="210"/>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17,106,448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16,904,098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17,109,842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16,888,550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r>
      <w:tr>
        <w:trPr>
          <w:trHeight w:val="219"/>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24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0"/>
        </w:trPr>
        <w:tc>
          <w:tcPr>
            <w:tcW w:w="5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27,485</w:t>
            </w:r>
          </w:p>
        </w:tc>
      </w:tr>
      <w:tr>
        <w:trPr>
          <w:trHeight w:val="26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3"/>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on debt securities available for sale</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3"/>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7"/>
              </w:rPr>
              <w:t>(420)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07"/>
        </w:trPr>
        <w:tc>
          <w:tcPr>
            <w:tcW w:w="5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ind w:left="6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1"/>
                <w:szCs w:val="11"/>
                <w:color w:val="auto"/>
              </w:rPr>
            </w:pPr>
          </w:p>
        </w:tc>
        <w:tc>
          <w:tcPr>
            <w:tcW w:w="112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17,552,626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176,682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393,026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565,449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$0.12/common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17,492,143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174,900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408,178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579,274</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17,444,787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172,919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513,173</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$0.11/common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17,437,326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523,628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ind w:left="6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1"/>
                <w:szCs w:val="11"/>
                <w:color w:val="auto"/>
              </w:rPr>
            </w:pPr>
          </w:p>
        </w:tc>
        <w:tc>
          <w:tcPr>
            <w:tcW w:w="112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17,527,709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176,693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551,758</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$0.24/common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17,492,143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174,900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408,178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579,274</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499,893</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$0.22/common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17,437,326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523,628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848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848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8480" w:type="dxa"/>
            <w:vAlign w:val="bottom"/>
          </w:tcPr>
          <w:p>
            <w:pPr>
              <w:jc w:val="center"/>
              <w:ind w:left="2479"/>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8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19"/>
                <w:szCs w:val="19"/>
                <w:color w:val="auto"/>
              </w:rPr>
            </w:pPr>
          </w:p>
        </w:tc>
      </w:tr>
      <w:tr>
        <w:trPr>
          <w:trHeight w:val="219"/>
        </w:trPr>
        <w:tc>
          <w:tcPr>
            <w:tcW w:w="8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27,485</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premises and equipment and equipment for operating leases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accretion of purchase accounting adjustments on loans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amortization and accretion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SBIC investments income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branches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(gain) on sale of premises and equipment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repossessed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previously leased equipment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BOLI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(139,054)</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106,824</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deferred loan origination fees,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(increase) in accrued interest receivable and other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r>
      <w:tr>
        <w:trPr>
          <w:trHeight w:val="21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1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3"/>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Decrease in accrued interest payable and other liabilities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w:t>
            </w:r>
          </w:p>
        </w:tc>
      </w:tr>
      <w:tr>
        <w:trPr>
          <w:trHeight w:val="212"/>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01"/>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debt securities available for sale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(27,475)</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calls and paydowns of debt securities available for sale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CDs in other banks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CDs in other banks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purchases of FHLB and FRB stock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capital contributions in SBIC investments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in loans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(54,713)</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BOLI</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redemption of BOLI policies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43,584</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Death benefit proceeds from BOLI policies</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equipment for operating leases - lessor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equipment for operating leases - lessor</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premises and equipment and assets held for sale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repossessed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(22,536)</w:t>
            </w:r>
          </w:p>
        </w:tc>
      </w:tr>
    </w:tbl>
    <w:p>
      <w:pPr>
        <w:spacing w:after="0" w:line="200" w:lineRule="exact"/>
        <w:rPr>
          <w:sz w:val="20"/>
          <w:szCs w:val="20"/>
          <w:color w:val="auto"/>
        </w:rPr>
      </w:pPr>
    </w:p>
    <w:p>
      <w:pPr>
        <w:sectPr>
          <w:pgSz w:w="11900" w:h="16838" w:orient="portrait"/>
          <w:cols w:equalWidth="0" w:num="1">
            <w:col w:w="11060"/>
          </w:cols>
          <w:pgMar w:left="420" w:top="89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895" w:right="4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20" w:type="dxa"/>
            <w:vAlign w:val="bottom"/>
          </w:tcPr>
          <w:p>
            <w:pPr>
              <w:spacing w:after="0"/>
              <w:rPr>
                <w:sz w:val="18"/>
                <w:szCs w:val="18"/>
                <w:color w:val="auto"/>
              </w:rPr>
            </w:pPr>
          </w:p>
        </w:tc>
      </w:tr>
      <w:tr>
        <w:trPr>
          <w:trHeight w:val="219"/>
        </w:trPr>
        <w:tc>
          <w:tcPr>
            <w:tcW w:w="8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Deposits assumed by third parties through branch sales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46,406</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decrease in revolving line of credit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dividends paid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7"/>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(43,582)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(27,302)</w:t>
            </w: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(52,950)</w:t>
            </w:r>
          </w:p>
        </w:tc>
      </w:tr>
      <w:tr>
        <w:trPr>
          <w:trHeight w:val="214"/>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347,140</w:t>
            </w:r>
          </w:p>
        </w:tc>
      </w:tr>
      <w:tr>
        <w:trPr>
          <w:trHeight w:val="23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297,209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294,190</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8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43,014</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r>
      <w:tr>
        <w:trPr>
          <w:trHeight w:val="25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gain (loss) in value of debt securities available for sale, net of income taxes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Transfers of loans held for sale to loans held for investment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w:t>
            </w:r>
          </w:p>
        </w:tc>
      </w:tr>
      <w:tr>
        <w:trPr>
          <w:trHeight w:val="213"/>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Transfers of loans held for investment to repossessed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 of premises and equipment to assets held for sale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ROU asset and lease liabilities for operating lease accounting</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and Morristown), Southwest Virginia (the Roanoke Valley) and Georgia (Greater Atlanta). The Company operates under a single set of corporate policies and procedures and its operations are considered to be aggregated in one reportable operating segment for financial reporting purposes.</w:t>
      </w:r>
    </w:p>
    <w:p>
      <w:pPr>
        <w:spacing w:after="0" w:line="4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December 31, 2024 ("2024 Form 10-K") filed with the SEC on March 13, 2025. The results of operations for the six months ended June 30, 2025 are not necessarily indicative of results that may be expected for the fiscal year ending December 31, 2025, the period which will be covered on a Report on Form 10-K.</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2024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pacing w:after="0" w:line="4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Reclassifications and corrections. </w:t>
      </w:r>
      <w:r>
        <w:rPr>
          <w:rFonts w:ascii="Times New Roman" w:cs="Times New Roman" w:eastAsia="Times New Roman" w:hAnsi="Times New Roman"/>
          <w:sz w:val="16"/>
          <w:szCs w:val="16"/>
          <w:color w:val="auto"/>
        </w:rPr>
        <w:t>To maintain consistency and comparability, certain amounts from prior periods have been reclassified to conform to current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presentation with no effect on net income or stockholders’ equity as previously reported.</w:t>
      </w:r>
    </w:p>
    <w:p>
      <w:pPr>
        <w:spacing w:after="0" w:line="25"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Recent Accounting Pronouncements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Newly Issued but Not Yet Effective Accounting Standards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ASU 2023-09, "Income Taxes (Topic 740): Improvements to Income Tax Disclosures." </w:t>
      </w:r>
      <w:r>
        <w:rPr>
          <w:rFonts w:ascii="Times New Roman" w:cs="Times New Roman" w:eastAsia="Times New Roman" w:hAnsi="Times New Roman"/>
          <w:sz w:val="16"/>
          <w:szCs w:val="16"/>
          <w:color w:val="auto"/>
        </w:rPr>
        <w:t>In December 2023, the FASB issued ASU 2023-09 which requires entities to disclose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more detailed information in the reconciliation 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The Company will update its income tax disclosures upon adoption of the ASU.</w:t>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ASU 2024-03, "Income Statement—Reporting Comprehensive Income—Expense Disaggregation Disclosures (Subtopic 220-40): Disaggregation of Income Statement Expenses." </w:t>
      </w:r>
      <w:r>
        <w:rPr>
          <w:rFonts w:ascii="Times New Roman" w:cs="Times New Roman" w:eastAsia="Times New Roman" w:hAnsi="Times New Roman"/>
          <w:sz w:val="16"/>
          <w:szCs w:val="16"/>
          <w:color w:val="auto"/>
        </w:rPr>
        <w:t>In November 2024, the FASB issued ASU 2024-03 which requires entities to disclose more detailed information about certain costs and expenses related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purchases of inventory, employee compensation, depreciation and intangible asset amortization among other items. This ASU is effective for public business entities for annual reporting periods beginning after December 15, 2026 and interim periods beginning after December 15, 2027. The adoption of the provisions of ASU 2024-03 is not expected to have an impact on the Company's financial results, but will impact disclosures.</w:t>
      </w:r>
    </w:p>
    <w:p>
      <w:pPr>
        <w:spacing w:after="0" w:line="1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Branch Sales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May 23, 2025, the Company completed the sale of the Bank's two branches located in Knoxville, Tennessee, to a third party financial institution. Through the transaction, the Company sold $34.3 million of deposits along with $6.3 million in branch premises and equipment, while HomeTrust retained all loans associated with the branches. The Company recorded a $1.4 million pre-tax gain associated with the transaction.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Debt Securities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securities available for sale consist of the following at the dates indicated: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137,585</w:t>
            </w:r>
          </w:p>
        </w:tc>
        <w:tc>
          <w:tcPr>
            <w:tcW w:w="0" w:type="dxa"/>
            <w:vAlign w:val="bottom"/>
          </w:tcPr>
          <w:p>
            <w:pPr>
              <w:spacing w:after="0"/>
              <w:rPr>
                <w:sz w:val="1"/>
                <w:szCs w:val="1"/>
                <w:color w:val="auto"/>
              </w:rPr>
            </w:pPr>
          </w:p>
        </w:tc>
      </w:tr>
      <w:tr>
        <w:trPr>
          <w:trHeight w:val="21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19"/>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0" w:type="dxa"/>
            <w:vAlign w:val="bottom"/>
          </w:tcPr>
          <w:p>
            <w:pPr>
              <w:spacing w:after="0"/>
              <w:rPr>
                <w:sz w:val="1"/>
                <w:szCs w:val="1"/>
                <w:color w:val="auto"/>
              </w:rPr>
            </w:pPr>
          </w:p>
        </w:tc>
      </w:tr>
      <w:tr>
        <w:trPr>
          <w:trHeight w:val="207"/>
        </w:trPr>
        <w:tc>
          <w:tcPr>
            <w:tcW w:w="5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0" w:type="dxa"/>
            <w:vAlign w:val="bottom"/>
          </w:tcPr>
          <w:p>
            <w:pPr>
              <w:spacing w:after="0"/>
              <w:rPr>
                <w:sz w:val="1"/>
                <w:szCs w:val="1"/>
                <w:color w:val="auto"/>
              </w:rPr>
            </w:pPr>
          </w:p>
        </w:tc>
      </w:tr>
      <w:tr>
        <w:trPr>
          <w:trHeight w:val="23"/>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144,147</w:t>
            </w:r>
          </w:p>
        </w:tc>
        <w:tc>
          <w:tcPr>
            <w:tcW w:w="0" w:type="dxa"/>
            <w:vAlign w:val="bottom"/>
          </w:tcPr>
          <w:p>
            <w:pPr>
              <w:spacing w:after="0"/>
              <w:rPr>
                <w:sz w:val="1"/>
                <w:szCs w:val="1"/>
                <w:color w:val="auto"/>
              </w:rPr>
            </w:pPr>
          </w:p>
        </w:tc>
      </w:tr>
      <w:tr>
        <w:trPr>
          <w:trHeight w:val="21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0" w:type="dxa"/>
            <w:vAlign w:val="bottom"/>
          </w:tcPr>
          <w:p>
            <w:pPr>
              <w:spacing w:after="0"/>
              <w:rPr>
                <w:sz w:val="1"/>
                <w:szCs w:val="1"/>
                <w:color w:val="auto"/>
              </w:rPr>
            </w:pPr>
          </w:p>
        </w:tc>
      </w:tr>
      <w:tr>
        <w:trPr>
          <w:trHeight w:val="219"/>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0" w:type="dxa"/>
            <w:vAlign w:val="bottom"/>
          </w:tcPr>
          <w:p>
            <w:pPr>
              <w:spacing w:after="0"/>
              <w:rPr>
                <w:sz w:val="1"/>
                <w:szCs w:val="1"/>
                <w:color w:val="auto"/>
              </w:rPr>
            </w:pPr>
          </w:p>
        </w:tc>
      </w:tr>
      <w:tr>
        <w:trPr>
          <w:trHeight w:val="207"/>
        </w:trPr>
        <w:tc>
          <w:tcPr>
            <w:tcW w:w="5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0" w:type="dxa"/>
            <w:vAlign w:val="bottom"/>
          </w:tcPr>
          <w:p>
            <w:pPr>
              <w:spacing w:after="0"/>
              <w:rPr>
                <w:sz w:val="1"/>
                <w:szCs w:val="1"/>
                <w:color w:val="auto"/>
              </w:rPr>
            </w:pPr>
          </w:p>
        </w:tc>
      </w:tr>
      <w:tr>
        <w:trPr>
          <w:trHeight w:val="23"/>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by contractual maturity at June 30, 2025 and December 31, 2024 are shown below. MBS are not included in the maturity categories because the borrowers in the underlying pools may prepay without penalty; therefore, it is unlikely that the securities will pay at their stated maturity schedule.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159"/>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137,585</w:t>
            </w:r>
          </w:p>
        </w:tc>
      </w:tr>
      <w:tr>
        <w:trPr>
          <w:trHeight w:val="20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143,942</w:t>
            </w: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59"/>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144,147</w:t>
            </w:r>
          </w:p>
        </w:tc>
      </w:tr>
      <w:tr>
        <w:trPr>
          <w:trHeight w:val="20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152,011</w:t>
            </w: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sales of debt securities available for sale and no gross realized gains or losses were recognized during the six months ended June 30, 2025 or 2024.</w:t>
      </w:r>
    </w:p>
    <w:p>
      <w:pPr>
        <w:spacing w:after="0" w:line="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with amortized costs totaling $29,036 and $24,718 and market values of $28,889 and $24,358 at June 30, 2025 and December 31, 2024, respectively, were pledged as collateral to secure various public deposits and other borrowings.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gross unrealized losses and the fair value for debt securities available for sale aggregated by the length of time that individual securities have been in a continuous unrealized loss position as of June 30, 2025 and December 31,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w w:val="97"/>
              </w:rPr>
              <w:t>(78)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20" w:type="dxa"/>
            <w:vAlign w:val="bottom"/>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0" w:type="dxa"/>
            <w:vAlign w:val="bottom"/>
          </w:tcPr>
          <w:p>
            <w:pPr>
              <w:spacing w:after="0"/>
              <w:rPr>
                <w:sz w:val="19"/>
                <w:szCs w:val="19"/>
                <w:color w:val="auto"/>
              </w:rPr>
            </w:pP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w w:val="97"/>
              </w:rPr>
              <w:t>(78)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20" w:type="dxa"/>
            <w:vAlign w:val="bottom"/>
          </w:tcPr>
          <w:p>
            <w:pPr>
              <w:spacing w:after="0"/>
              <w:rPr>
                <w:sz w:val="17"/>
                <w:szCs w:val="17"/>
                <w:color w:val="auto"/>
              </w:rPr>
            </w:pPr>
          </w:p>
        </w:tc>
      </w:tr>
      <w:tr>
        <w:trPr>
          <w:trHeight w:val="23"/>
        </w:trPr>
        <w:tc>
          <w:tcPr>
            <w:tcW w:w="4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55"/>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1"/>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gridSpan w:val="2"/>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(515)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(1,973)</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(2,488)</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(532)</w:t>
            </w: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tcPr>
          <w:p>
            <w:pPr>
              <w:jc w:val="center"/>
              <w:ind w:left="499"/>
              <w:spacing w:after="0"/>
              <w:rPr>
                <w:sz w:val="20"/>
                <w:szCs w:val="20"/>
                <w:color w:val="auto"/>
              </w:rPr>
            </w:pPr>
            <w:r>
              <w:rPr>
                <w:rFonts w:ascii="Times New Roman" w:cs="Times New Roman" w:eastAsia="Times New Roman" w:hAnsi="Times New Roman"/>
                <w:sz w:val="16"/>
                <w:szCs w:val="16"/>
                <w:color w:val="auto"/>
              </w:rPr>
              <w:t>(515)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68,629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99,624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(3,075)</w:t>
            </w:r>
          </w:p>
        </w:tc>
      </w:tr>
      <w:tr>
        <w:trPr>
          <w:trHeight w:val="23"/>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securities with unrealized losses at June 30, 2025 and December 31, 2024 were 135 and 168, respectively.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June 30, 2025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2024 Form 10-K for further discussion.</w:t>
      </w:r>
    </w:p>
    <w:p>
      <w:pPr>
        <w:spacing w:after="0" w:line="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3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Management excludes the accrued interest receivable balance from the amortized cost basis in measuring ECLs on investment securities and does not record an ACL on accrued interest receivable. As of June 30, 2025 and December 31, 2024, the accrued interest receivable for debt securities available for sale was $548 and $606,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Loans Held For Sale</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44"/>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Loans held for sale, at the lower of cost or fair value, consist of the following as of the dates indicated:</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3"/>
        </w:trPr>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3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One-to-four family</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7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22,867</w:t>
            </w:r>
          </w:p>
        </w:tc>
      </w:tr>
      <w:tr>
        <w:trPr>
          <w:trHeight w:val="219"/>
        </w:trPr>
        <w:tc>
          <w:tcPr>
            <w:tcW w:w="7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178,743</w:t>
            </w:r>
          </w:p>
        </w:tc>
      </w:tr>
      <w:tr>
        <w:trPr>
          <w:trHeight w:val="207"/>
        </w:trPr>
        <w:tc>
          <w:tcPr>
            <w:tcW w:w="73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 loans held for sale, at the lower of cost or fair value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169,835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202,018</w:t>
            </w:r>
          </w:p>
        </w:tc>
      </w:tr>
      <w:tr>
        <w:trPr>
          <w:trHeight w:val="23"/>
        </w:trPr>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carrying balance of loans held for sale, at fair value, was $1,106 and $4,144 at June 30, 2025 and December 31, 2024, respectively, while the amortized cost of these loans was $1,104 and $4,062, respectively, at the same dates.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right="7560" w:firstLine="8"/>
        <w:spacing w:after="0" w:line="256" w:lineRule="auto"/>
        <w:tabs>
          <w:tab w:leader="none" w:pos="283"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Loans and Allowance for Credit Losses on Loans </w:t>
      </w:r>
      <w:r>
        <w:rPr>
          <w:rFonts w:ascii="Times New Roman" w:cs="Times New Roman" w:eastAsia="Times New Roman" w:hAnsi="Times New Roman"/>
          <w:sz w:val="16"/>
          <w:szCs w:val="16"/>
          <w:color w:val="auto"/>
        </w:rPr>
        <w:t>Loans consist of the following at the dates indicated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545,490</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866,094</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1,819,973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1,806,365</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316,159</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406,400</w:t>
            </w: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165,984</w:t>
            </w: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888,543</w:t>
            </w: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879,362</w:t>
            </w:r>
          </w:p>
        </w:tc>
      </w:tr>
      <w:tr>
        <w:trPr>
          <w:trHeight w:val="219"/>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3,671,951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3,648,299</w:t>
            </w:r>
          </w:p>
        </w:tc>
      </w:tr>
      <w:tr>
        <w:trPr>
          <w:trHeight w:val="219"/>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(45,285)</w:t>
            </w: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3,627,812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3,603,014</w:t>
            </w:r>
          </w:p>
        </w:tc>
      </w:tr>
      <w:tr>
        <w:trPr>
          <w:trHeight w:val="23"/>
        </w:trPr>
        <w:tc>
          <w:tcPr>
            <w:tcW w:w="7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At June 30, 2025 and December 31, 2024 accrued interest receivable of $15,893 and $17,569, respectively, was accounted for separately from the amortized cost basis.</w:t>
      </w:r>
    </w:p>
    <w:p>
      <w:pPr>
        <w:spacing w:after="0" w:line="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loans, HELOCs, multifamily, commercial real estate loans and FHLB of Atlanta stock are pledged as collateral by a blanket pledge to secure outstanding FHLB advances.</w:t>
      </w:r>
    </w:p>
    <w:p>
      <w:pPr>
        <w:spacing w:after="0" w:line="3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Loans are made to the Company's executive officers, directors and their associates during the ordinary course of business. No balance was outstanding on loans to these related parties as of either June 30, 2025 or December 31, 2024. In relation to these loans, unfunded commitments totaled approximately $3 at both June 30, 2025 and December 31, 2024, respectively.</w:t>
      </w:r>
    </w:p>
    <w:p>
      <w:pPr>
        <w:spacing w:after="0" w:line="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ind w:left="180"/>
        <w:spacing w:after="0"/>
        <w:rPr>
          <w:sz w:val="20"/>
          <w:szCs w:val="20"/>
          <w:color w:val="auto"/>
        </w:rPr>
      </w:pPr>
      <w:r>
        <w:rPr>
          <w:rFonts w:ascii="Times New Roman" w:cs="Times New Roman" w:eastAsia="Times New Roman" w:hAnsi="Times New Roman"/>
          <w:sz w:val="16"/>
          <w:szCs w:val="16"/>
          <w:u w:val="single" w:color="auto"/>
          <w:color w:val="auto"/>
        </w:rPr>
        <w:t>Pass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pass rated loan is not adversely classified because it does not display any of the characteristics for adverse classification.</w:t>
      </w:r>
    </w:p>
    <w:p>
      <w:pPr>
        <w:spacing w:after="0" w:line="48"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6"/>
          <w:szCs w:val="16"/>
          <w:u w:val="single" w:color="auto"/>
          <w:color w:val="auto"/>
        </w:rPr>
        <w:t>Special Mention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jc w:val="both"/>
        <w:ind w:left="180"/>
        <w:spacing w:after="0" w:line="270" w:lineRule="auto"/>
        <w:rPr>
          <w:sz w:val="20"/>
          <w:szCs w:val="20"/>
          <w:color w:val="auto"/>
        </w:rPr>
      </w:pP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spacing w:after="0" w:line="1"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 June 30, 2025. Also included in the table detailing loan balances are gross charge-offs for the six months ended June 30, 2025.</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267,494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59,092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116,910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36,064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267,494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54,801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544,630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33,950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55,064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64,527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258,107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561,623</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847,958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31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38,353</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68,250</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107,148</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146,443</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495,025</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9,283</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877,440</w:t>
            </w:r>
          </w:p>
        </w:tc>
        <w:tc>
          <w:tcPr>
            <w:tcW w:w="0" w:type="dxa"/>
            <w:vAlign w:val="bottom"/>
          </w:tcPr>
          <w:p>
            <w:pPr>
              <w:spacing w:after="0"/>
              <w:rPr>
                <w:sz w:val="1"/>
                <w:szCs w:val="1"/>
                <w:color w:val="auto"/>
              </w:rPr>
            </w:pPr>
          </w:p>
        </w:tc>
      </w:tr>
      <w:tr>
        <w:trPr>
          <w:trHeight w:val="198"/>
        </w:trPr>
        <w:tc>
          <w:tcPr>
            <w:tcW w:w="3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113,152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15,116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72,144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113,416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255,077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1,773,234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132,891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255,340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92,040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200,263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284,240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838,707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1,819,973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right="20" w:hanging="252"/>
        <w:spacing w:after="0" w:line="262" w:lineRule="auto"/>
        <w:tabs>
          <w:tab w:leader="none" w:pos="25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357,594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54,174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64,267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36,914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115,982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367,359</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346,495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54,332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101,156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25,015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360,499</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168,623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168,623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872,712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97,259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191,144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108,432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122,898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115,982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896,481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1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52,606</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53,020</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633,523</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154,376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146,386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238,142</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640,287</w:t>
            </w: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200,509</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205,918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205,918</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886,638</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34,321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167,131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152,235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240,528</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216,105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899,225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54,965</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0" w:type="dxa"/>
            <w:vAlign w:val="bottom"/>
          </w:tcPr>
          <w:p>
            <w:pPr>
              <w:spacing w:after="0"/>
              <w:rPr>
                <w:sz w:val="1"/>
                <w:szCs w:val="1"/>
                <w:color w:val="auto"/>
              </w:rPr>
            </w:pPr>
          </w:p>
        </w:tc>
      </w:tr>
      <w:tr>
        <w:trPr>
          <w:trHeight w:val="195"/>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3,486</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14,185</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56,272</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149"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 December 31, 2024. Also included in the table detailing loan balances are gross charge-offs for the year ended December 31,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274,356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121,992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42,548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274,356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owner occupied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532,704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54,032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36,081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102,826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202,205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545,490</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non-owner occupied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831,243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31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71,321</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103,735</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146,138</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173,674</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348,489</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866,094</w:t>
            </w:r>
          </w:p>
        </w:tc>
        <w:tc>
          <w:tcPr>
            <w:tcW w:w="0" w:type="dxa"/>
            <w:vAlign w:val="bottom"/>
          </w:tcPr>
          <w:p>
            <w:pPr>
              <w:spacing w:after="0"/>
              <w:rPr>
                <w:sz w:val="1"/>
                <w:szCs w:val="1"/>
                <w:color w:val="auto"/>
              </w:rPr>
            </w:pPr>
          </w:p>
        </w:tc>
      </w:tr>
      <w:tr>
        <w:trPr>
          <w:trHeight w:val="198"/>
        </w:trPr>
        <w:tc>
          <w:tcPr>
            <w:tcW w:w="3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occupied</w:t>
            </w: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120,106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19,010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120,425</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1,758,409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97,385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222,749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311,508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312,051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582,585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1,806,365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right="20" w:hanging="252"/>
        <w:spacing w:after="0" w:line="262" w:lineRule="auto"/>
        <w:tabs>
          <w:tab w:leader="none" w:pos="25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307,597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81,746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89,387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316,159</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397,292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106,904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123,565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72,661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406,400</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165,984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165,984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870,873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190,736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131,705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65,563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84,827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89,387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888,543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53,683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623,343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149,444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96,103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157,531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630,391</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195,288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195,288</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867,466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157,661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98,797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158,174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879,362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18,220</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following tables present aging analyses of past due loans (including nonaccrual loans) by segment and class as of the dates indicated. For loans with monthly payments, a loan is considered past due when the loan is in arrears two or more payments.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267,494</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561,623</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877,440</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113,416</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1,819,973</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367,359</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360,499</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168,623</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884,151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896,481</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640,287</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205,918</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899,225</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56,272</w:t>
            </w:r>
          </w:p>
        </w:tc>
      </w:tr>
      <w:tr>
        <w:trPr>
          <w:trHeight w:val="23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3,671,951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274,356</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545,490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866,094</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120,425</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1,806,365</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316,159</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406,400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165,984</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875,473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888,543</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53,683</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630,391</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195,288</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879,362</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74,029</w:t>
            </w: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3,621,231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3,648,299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26, 2024, Hurricane Helene made landfall causing significant property damage across certain parts of the Company's market areas, particularly in Western North Carolina. In an effort to assist customers in their post-Hurricane Helene recovery and clean-up efforts, in the fourth quarter of the year ended December 31, 2024 we granted payment deferrals of up to six months to provide short-term relief to impacted customers. The outstanding balance of these deferrals was $18.9 million and $136.0 million at June 30, 2025 and December 31, 2024,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recorded investment in loans on nonaccrual status, by segment and class, including restructured loans. It also includes interest income recognized on nonaccrual loans for the six months ended June 30, 2025.</w:t>
      </w:r>
    </w:p>
    <w:tbl>
      <w:tblPr>
        <w:tblLayout w:type="fixed"/>
        <w:tblInd w:w="0" w:type="dxa"/>
        <w:tblCellMar>
          <w:top w:w="0" w:type="dxa"/>
          <w:left w:w="0" w:type="dxa"/>
          <w:bottom w:w="0" w:type="dxa"/>
          <w:right w:w="0" w:type="dxa"/>
        </w:tblCellMar>
      </w:tblPr>
      <w:tr>
        <w:trPr>
          <w:trHeight w:val="165"/>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5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90 Days+ &amp;</w:t>
            </w:r>
          </w:p>
        </w:tc>
        <w:tc>
          <w:tcPr>
            <w:tcW w:w="16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Nonaccrual with No</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Still Accruing as of</w:t>
            </w:r>
          </w:p>
        </w:tc>
        <w:tc>
          <w:tcPr>
            <w:tcW w:w="10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ACL as of June 30,</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19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7"/>
        </w:trPr>
        <w:tc>
          <w:tcPr>
            <w:tcW w:w="3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tables present analyses of the ACL on loans by segment for the periods indicated below. In addition to the provision (benefit) for credit losses on loans presented below, a benefit of $82 and a provision of $658 for off-balance sheet credit exposures were recorded for the three and six months ended June 30, 2025, respectively, while no provision for commercial paper was recorded for either period. Benefits of $40 and $20 for off-balance sheet credit exposures were recorded for the three and six months ended June 30, 2024, respectively, while no provision for commercial paper was recorded for either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jc w:val="right"/>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44,742</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47,502</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49,223</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jc w:val="right"/>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45,285</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48,641</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49,223</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loan is considered to be collateral dependent when the borrower is experiencing financial difficulty and the repayment is expected to be provided substantially through the operation or sale of collateral. The following tables provide a breakdown between loans identified as CDAs and non-CDAs, by segment and class, as well as collateral coverage for those loans as of the dates indicated below:</w:t>
      </w: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561,623</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877,440</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1,809,123</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1,819,973</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360,499</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168,623</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893,274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896,481</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640,287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205,918</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899,225</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899,225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56,272</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3,657,894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3,671,951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866,094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1,796,169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1,806,365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887,241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888,543</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879,362</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879,362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3,636,801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3,648,299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Modifications to Borrowers Experiencing Financial Difficulty</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pacing w:after="0" w:line="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tables present the amortized cost basis of loans that were both experiencing financial difficulty and modified during the periods indicated, by class and type of modification. The percentage of the amortized cost basis of loans that were modified to borrowers in financial difficulty as compared to the amortized cost basis of each class of financing receivable is also presented. The Hurricane Helene-related deferrals previously referenced did not meet this definition and, therefore, were not included.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0.13 %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0.10 %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0.58 %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0.14 %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0.92</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0.14 %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0.11 %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0.10 %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financial effect of the loan modifications presented above to borrowers experiencing financial difficulty for the period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r>
      <w:tr>
        <w:trPr>
          <w:trHeight w:val="159"/>
        </w:trPr>
        <w:tc>
          <w:tcPr>
            <w:tcW w:w="6100" w:type="dxa"/>
            <w:vAlign w:val="bottom"/>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7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 Term</w:t>
            </w:r>
          </w:p>
        </w:tc>
      </w:tr>
      <w:tr>
        <w:trPr>
          <w:trHeight w:val="214"/>
        </w:trPr>
        <w:tc>
          <w:tcPr>
            <w:tcW w:w="6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7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Extension (Years)</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non-owner-occupied</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96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96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96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6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3"/>
          </w:tcPr>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r>
      <w:tr>
        <w:trPr>
          <w:trHeight w:val="159"/>
        </w:trPr>
        <w:tc>
          <w:tcPr>
            <w:tcW w:w="6100" w:type="dxa"/>
            <w:vAlign w:val="bottom"/>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 Term</w:t>
            </w:r>
          </w:p>
        </w:tc>
      </w:tr>
      <w:tr>
        <w:trPr>
          <w:trHeight w:val="214"/>
        </w:trPr>
        <w:tc>
          <w:tcPr>
            <w:tcW w:w="6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7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Extension (Years)</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non-owner-occupied</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6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present loans that had a payment default during the period indicated that had previously been modified within the prior twelve months. For purposes of this table, a loan is considered to be in default when it becomes 30 days contractually past due under the modified terms.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408"/>
        </w:trPr>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0"/>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and Six Months Ended June 30, 2024</w:t>
            </w: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740"/>
        <w:spacing w:after="0" w:line="325" w:lineRule="auto"/>
        <w:rPr>
          <w:sz w:val="20"/>
          <w:szCs w:val="20"/>
          <w:color w:val="auto"/>
        </w:rPr>
      </w:pPr>
      <w:r>
        <w:rPr>
          <w:rFonts w:ascii="Times New Roman" w:cs="Times New Roman" w:eastAsia="Times New Roman" w:hAnsi="Times New Roman"/>
          <w:sz w:val="16"/>
          <w:szCs w:val="16"/>
          <w:color w:val="auto"/>
        </w:rPr>
        <w:t xml:space="preserve">There were no loans that had a payment default during the three months ended March 31, 2024 that had previously been modified within the prior twelve months. </w:t>
      </w:r>
      <w:r>
        <w:rPr>
          <w:rFonts w:ascii="Times New Roman" w:cs="Times New Roman" w:eastAsia="Times New Roman" w:hAnsi="Times New Roman"/>
          <w:sz w:val="16"/>
          <w:szCs w:val="16"/>
          <w:i w:val="1"/>
          <w:iCs w:val="1"/>
          <w:u w:val="single" w:color="auto"/>
          <w:color w:val="auto"/>
        </w:rPr>
        <w:t>Off-Balance Sheet Credit Exposure</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June 30, 2025 and December 31, 2024, the ACL on off-balance sheet credit exposures included in other liabilities was $3,330 and $2,672,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7. Premises and Equipment</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Premises and equipment as of the dates indicated consist of the following:</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3"/>
        </w:trPr>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25,818</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Office buildings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75,450</w:t>
            </w:r>
          </w:p>
        </w:tc>
      </w:tr>
      <w:tr>
        <w:trPr>
          <w:trHeight w:val="219"/>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19,880</w:t>
            </w:r>
          </w:p>
        </w:tc>
      </w:tr>
      <w:tr>
        <w:trPr>
          <w:trHeight w:val="207"/>
        </w:trPr>
        <w:tc>
          <w:tcPr>
            <w:tcW w:w="75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121,148</w:t>
            </w:r>
          </w:p>
        </w:tc>
      </w:tr>
      <w:tr>
        <w:trPr>
          <w:trHeight w:val="216"/>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(51,276)</w:t>
            </w:r>
          </w:p>
        </w:tc>
      </w:tr>
      <w:tr>
        <w:trPr>
          <w:trHeight w:val="212"/>
        </w:trPr>
        <w:tc>
          <w:tcPr>
            <w:tcW w:w="75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Premises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69,872</w:t>
            </w:r>
          </w:p>
        </w:tc>
      </w:tr>
      <w:tr>
        <w:trPr>
          <w:trHeight w:val="20"/>
        </w:trPr>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noted in "Note 3 – Branch Sales", the majority of the changes between periods can be traced to the sale of $6,310 of premises and equipment associated with our two Knoxville, Tennessee branches during the six months ended June 30, 2025. The assets were sold at their carrying balance so no gain or loss was recognized on the sale.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balance of premises and equipment held for sale, at the lower of cost or fair value, was $616 at both June 30, 2025 and December 31,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 associated with premises and equipment was $1,905 and $1,859 for the six months ended June 30, 2025 and 2024,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8. Deposit Accounts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Deposit accounts at the dates indicated consist of the following:</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2"/>
        </w:trPr>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680,926</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NOW accounts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575,238</w:t>
            </w:r>
          </w:p>
        </w:tc>
      </w:tr>
      <w:tr>
        <w:trPr>
          <w:trHeight w:val="219"/>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r>
      <w:tr>
        <w:trPr>
          <w:trHeight w:val="216"/>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999,727</w:t>
            </w:r>
          </w:p>
        </w:tc>
      </w:tr>
      <w:tr>
        <w:trPr>
          <w:trHeight w:val="212"/>
        </w:trPr>
        <w:tc>
          <w:tcPr>
            <w:tcW w:w="75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3,666,178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3,779,203</w:t>
            </w:r>
          </w:p>
        </w:tc>
      </w:tr>
      <w:tr>
        <w:trPr>
          <w:trHeight w:val="21"/>
        </w:trPr>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received from executive officers, directors and their associates totaled approximately $1,137 and $1,223 at June 30, 2025 and December 31, 2024, respectively.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As of June 30, 2025, scheduled maturities of certificates of deposit were as follows:</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9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Remainder of 2025</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720,385</w:t>
            </w:r>
          </w:p>
        </w:tc>
      </w:tr>
      <w:tr>
        <w:trPr>
          <w:trHeight w:val="213"/>
        </w:trPr>
        <w:tc>
          <w:tcPr>
            <w:tcW w:w="9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172,794</w:t>
            </w:r>
          </w:p>
        </w:tc>
      </w:tr>
      <w:tr>
        <w:trPr>
          <w:trHeight w:val="219"/>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r>
      <w:tr>
        <w:trPr>
          <w:trHeight w:val="213"/>
        </w:trPr>
        <w:tc>
          <w:tcPr>
            <w:tcW w:w="9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r>
      <w:tr>
        <w:trPr>
          <w:trHeight w:val="219"/>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13"/>
        </w:trPr>
        <w:tc>
          <w:tcPr>
            <w:tcW w:w="9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37"/>
        </w:trPr>
        <w:tc>
          <w:tcPr>
            <w:tcW w:w="9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902,069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Certificates of deposit with balances of $250 or greater totaled $167,181 and $168,089 at June 30, 2025 and December 31, 2024, respectively. Generally, deposit amounts in excess of $250 are not federally insured.</w:t>
      </w:r>
    </w:p>
    <w:p>
      <w:pPr>
        <w:spacing w:after="0" w:line="9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Borrowings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Junior Subordinated Debentures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trust preferred securities accrue and pay quarterly distributions at a floating rate of 3-month Term SOFR plus 2.20%, which was 6.49% at June 30, 2025.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trust preferred securities are mandatorily redeemable upon maturity of the debentures on March 15, 2037, or upon earlier redemption as provided in the indenture. The debentures purchased by the Trust have been redeemable, in whole or in part, since March 15, 2012. As specified in the indenture, if the debentures are redeemed prior to maturity, the redemption price will be the principal amount and any accrued but unpaid interest.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Borrowings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outside of junior subordinated debt, consist of the following at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8"/>
                <w:szCs w:val="18"/>
                <w:color w:val="auto"/>
              </w:rPr>
            </w:pPr>
          </w:p>
        </w:tc>
        <w:tc>
          <w:tcPr>
            <w:tcW w:w="26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9"/>
        </w:trPr>
        <w:tc>
          <w:tcPr>
            <w:tcW w:w="5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advances (short-term)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FRB advances (short-term)</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34"/>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borrowings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June 30, 2025 and December 31, 2024, the Company had the ability to borrow $386,775 and $315,468, respectively, through additional FHLB advances and $2,772 and $106,592, respectively, through the unused portion of a line of credit with the FRB.</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At both June 30, 2025 and December 31, 2024, the Company maintained revolving lines of credit with three unaffiliated banks which totaled $165,000, all of which was unused.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Operating Leases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present supplemental balance sheet information related to operating leases. ROU assets are included in other assets and lease liabilities are included in other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tc>
        <w:tc>
          <w:tcPr>
            <w:tcW w:w="2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ROU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8,072</w:t>
            </w:r>
          </w:p>
        </w:tc>
      </w:tr>
      <w:tr>
        <w:trPr>
          <w:trHeight w:val="21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9,557</w:t>
            </w:r>
          </w:p>
        </w:tc>
      </w:tr>
      <w:tr>
        <w:trPr>
          <w:trHeight w:val="213"/>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remaining lease terms (years)</w:t>
            </w:r>
          </w:p>
        </w:tc>
        <w:tc>
          <w:tcPr>
            <w:tcW w:w="280" w:type="dxa"/>
            <w:vAlign w:val="bottom"/>
          </w:tcPr>
          <w:p>
            <w:pPr>
              <w:spacing w:after="0"/>
              <w:rPr>
                <w:sz w:val="18"/>
                <w:szCs w:val="18"/>
                <w:color w:val="auto"/>
              </w:rPr>
            </w:pPr>
          </w:p>
        </w:tc>
        <w:tc>
          <w:tcPr>
            <w:tcW w:w="16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these operating leases at June 30,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components of operating lease expense for the periods indicated:</w:t>
            </w: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1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occupancy expense,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 (included in occupancy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(included in other noninterest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7"/>
        </w:trPr>
        <w:tc>
          <w:tcPr>
            <w:tcW w:w="5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lease expense,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7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table presents supplemental operating lease cash flow information for the periods indicated:</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9"/>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 noncash additions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General</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Operating Leases</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$29,508 and $31,572 with a residual value of $13,907 and $13,662 as of June 30, 2025 and December 31, 2024,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9"/>
        </w:trPr>
        <w:tc>
          <w:tcPr>
            <w:tcW w:w="946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946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946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752"/>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to be received at June 30, 2025:</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6,622</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35"/>
        </w:trPr>
        <w:tc>
          <w:tcPr>
            <w:tcW w:w="9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of future minimum payments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Financing Leases</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June 30, 2025 and 2024, interest income on equipment finance leases totaled $1,283 and $1,113, respectively. For the six months ended June 30, 2025 and 2024, interest income on equipment finance leases totaled $2,501 and $2,167, respectively.</w:t>
      </w:r>
    </w:p>
    <w:p>
      <w:pPr>
        <w:spacing w:after="0" w:line="2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lease receivable component of finance lease net investment included within the equipment finance class of financing receivables was $73,172 and $70,420 at June 30, 2025 and December 31, 2024,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June 30, 2025, aggregate future minimum finance lease payments to be received:</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9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24,191</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19,868</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13,313</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5,614</w:t>
            </w:r>
          </w:p>
        </w:tc>
      </w:tr>
      <w:tr>
        <w:trPr>
          <w:trHeight w:val="212"/>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84,257</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(11,085)</w:t>
            </w:r>
          </w:p>
        </w:tc>
      </w:tr>
      <w:tr>
        <w:trPr>
          <w:trHeight w:val="237"/>
        </w:trPr>
        <w:tc>
          <w:tcPr>
            <w:tcW w:w="9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receivable</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Incentive Plan</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share-based compensation expense and the estimated related tax benefit for stock options and restricted stock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278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4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7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stock option activity and related information for the six months ended June 30, 2025 and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260" w:type="dxa"/>
            <w:vAlign w:val="bottom"/>
          </w:tcPr>
          <w:p>
            <w:pPr>
              <w:spacing w:after="0"/>
              <w:rPr>
                <w:sz w:val="14"/>
                <w:szCs w:val="14"/>
                <w:color w:val="auto"/>
              </w:rPr>
            </w:pPr>
          </w:p>
        </w:tc>
        <w:tc>
          <w:tcPr>
            <w:tcW w:w="1280" w:type="dxa"/>
            <w:vAlign w:val="bottom"/>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60" w:type="dxa"/>
            <w:vAlign w:val="bottom"/>
          </w:tcPr>
          <w:p>
            <w:pPr>
              <w:spacing w:after="0"/>
              <w:rPr>
                <w:sz w:val="18"/>
                <w:szCs w:val="18"/>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June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500,750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8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June 30, 2025</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373,157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options granted during the six months ended June 30, 2025 or 2024.</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June 30, 2025, the Company had $156 of unrecognized compensation expense related to 25,380 stock options originally scheduled to vest over a five-year period. The weighted average period over which compensation cost related to non-vested awards is expected to be recognized was 0.9 years at June 30, 2025. At June 30, 2024, the Company had $300 of unrecognized compensation expense related to 48,970 stock options originally scheduled to vest over a five-year period. The weighted average period over which compensation cost related to non-vested awards is expected to be recognized was 1.2 years at June 30, 2024.</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restricted stock award activity and related information: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7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Performance-Based</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5"/>
                <w:szCs w:val="15"/>
                <w:color w:val="auto"/>
              </w:rPr>
            </w:pPr>
          </w:p>
        </w:tc>
        <w:tc>
          <w:tcPr>
            <w:tcW w:w="10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180" w:type="dxa"/>
            <w:vAlign w:val="bottom"/>
          </w:tcPr>
          <w:p>
            <w:pPr>
              <w:spacing w:after="0"/>
              <w:rPr>
                <w:sz w:val="14"/>
                <w:szCs w:val="14"/>
                <w:color w:val="auto"/>
              </w:rPr>
            </w:pPr>
          </w:p>
        </w:tc>
        <w:tc>
          <w:tcPr>
            <w:tcW w:w="10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Awards</w:t>
            </w:r>
            <w:r>
              <w:rPr>
                <w:rFonts w:ascii="Times New Roman" w:cs="Times New Roman" w:eastAsia="Times New Roman" w:hAnsi="Times New Roman"/>
                <w:sz w:val="21"/>
                <w:szCs w:val="21"/>
                <w:b w:val="1"/>
                <w:bCs w:val="1"/>
                <w:color w:val="auto"/>
                <w:w w:val="96"/>
                <w:vertAlign w:val="superscript"/>
              </w:rPr>
              <w:t>(1)</w:t>
            </w:r>
          </w:p>
        </w:tc>
        <w:tc>
          <w:tcPr>
            <w:tcW w:w="17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Units</w:t>
            </w:r>
            <w:r>
              <w:rPr>
                <w:rFonts w:ascii="Times New Roman" w:cs="Times New Roman" w:eastAsia="Times New Roman" w:hAnsi="Times New Roman"/>
                <w:sz w:val="21"/>
                <w:szCs w:val="21"/>
                <w:b w:val="1"/>
                <w:bCs w:val="1"/>
                <w:color w:val="auto"/>
                <w:w w:val="96"/>
                <w:vertAlign w:val="superscript"/>
              </w:rPr>
              <w:t>(2)</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106,143</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(36,637)</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142,008</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2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138,582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(50,326)</w:t>
            </w: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143,964</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45,445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scheduled to vest over 1.0 year for director awards and 5.0 years for employee awards.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units are scheduled to vest over 3.0 years assuming the applicable financial goals are met.</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June 30, 2025, unrecognized compensation expense was $4,803 related to 189,409 shares of restricted stock. The weighted average period over which compensation cost related to non-vested awards is expected to be recognized was 1.8 years at June 30, 2025. At June 30, 2024, unrecognized compensation expense was $3,982 related to 182,908 shares of restricted stock. The weighted average period over which compensation cost related to non-vested awards is expected to be recognized was 1.8 years at June 30,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Net Income per Share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numerator and denominator of basic and diluted net income per common share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5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6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Allocation of earnings to participating securities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142"/>
        </w:trPr>
        <w:tc>
          <w:tcPr>
            <w:tcW w:w="56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EPS - net income available to common</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17,020</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31,399</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27,190</w:t>
            </w:r>
          </w:p>
        </w:tc>
        <w:tc>
          <w:tcPr>
            <w:tcW w:w="0" w:type="dxa"/>
            <w:vAlign w:val="bottom"/>
          </w:tcPr>
          <w:p>
            <w:pPr>
              <w:spacing w:after="0"/>
              <w:rPr>
                <w:sz w:val="1"/>
                <w:szCs w:val="1"/>
                <w:color w:val="auto"/>
              </w:rPr>
            </w:pPr>
          </w:p>
        </w:tc>
      </w:tr>
      <w:tr>
        <w:trPr>
          <w:trHeight w:val="194"/>
        </w:trPr>
        <w:tc>
          <w:tcPr>
            <w:tcW w:w="5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stockholders</w:t>
            </w:r>
          </w:p>
        </w:tc>
        <w:tc>
          <w:tcPr>
            <w:tcW w:w="2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5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17,006,141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16,883,028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17,008,699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16,871,383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Dilutive effect of assumed exercise of stock options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17,167</w:t>
            </w:r>
          </w:p>
        </w:tc>
        <w:tc>
          <w:tcPr>
            <w:tcW w:w="0" w:type="dxa"/>
            <w:vAlign w:val="bottom"/>
          </w:tcPr>
          <w:p>
            <w:pPr>
              <w:spacing w:after="0"/>
              <w:rPr>
                <w:sz w:val="1"/>
                <w:szCs w:val="1"/>
                <w:color w:val="auto"/>
              </w:rPr>
            </w:pPr>
          </w:p>
        </w:tc>
      </w:tr>
      <w:tr>
        <w:trPr>
          <w:trHeight w:val="212"/>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17,106,448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16,904,098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17,109,842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16,888,550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basic</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Potential dilutive shares are excluded from the computation of earnings per share if their effect is anti-dilutive. There were 109,450 stock options that were anti-dilutive as of June 30, 2024. No stock options were anti-dilutive as of June 30, 2025.</w:t>
      </w:r>
    </w:p>
    <w:p>
      <w:pPr>
        <w:spacing w:after="0" w:line="81"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Loan Commitments</w:t>
      </w:r>
      <w:r>
        <w:rPr>
          <w:rFonts w:ascii="Times New Roman" w:cs="Times New Roman" w:eastAsia="Times New Roman" w:hAnsi="Times New Roman"/>
          <w:sz w:val="16"/>
          <w:szCs w:val="16"/>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details of loan commitments outstanding as of the dates indicated: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6"/>
        </w:trPr>
        <w:tc>
          <w:tcPr>
            <w:tcW w:w="7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1"/>
                <w:szCs w:val="21"/>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 commitments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56,922</w:t>
            </w:r>
          </w:p>
        </w:tc>
      </w:tr>
      <w:tr>
        <w:trPr>
          <w:trHeight w:val="216"/>
        </w:trPr>
        <w:tc>
          <w:tcPr>
            <w:tcW w:w="7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Fixed rate commitments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28,096</w:t>
            </w:r>
          </w:p>
        </w:tc>
      </w:tr>
      <w:tr>
        <w:trPr>
          <w:trHeight w:val="210"/>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loan commitments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85,018</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fixed interest rates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 - 10.25%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 - 10.25%</w:t>
            </w:r>
          </w:p>
        </w:tc>
      </w:tr>
      <w:tr>
        <w:trPr>
          <w:trHeight w:val="60"/>
        </w:trPr>
        <w:tc>
          <w:tcPr>
            <w:tcW w:w="7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5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Undisbursed portions of construction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145,523</w:t>
            </w:r>
          </w:p>
        </w:tc>
      </w:tr>
      <w:tr>
        <w:trPr>
          <w:trHeight w:val="28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Pre-approved but unused lines of credit</w:t>
            </w:r>
            <w:r>
              <w:rPr>
                <w:rFonts w:ascii="Times New Roman" w:cs="Times New Roman" w:eastAsia="Times New Roman" w:hAnsi="Times New Roman"/>
                <w:sz w:val="21"/>
                <w:szCs w:val="21"/>
                <w:color w:val="auto"/>
                <w:vertAlign w:val="superscript"/>
              </w:rPr>
              <w:t>(2)</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797,133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712,274</w:t>
            </w:r>
          </w:p>
        </w:tc>
      </w:tr>
    </w:tbl>
    <w:p>
      <w:pPr>
        <w:spacing w:after="0" w:line="48"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rate commitments had terms ranging from three to 30 years as of each date presented.</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second mortgage home equity loans and overdraft protection loans.</w:t>
      </w:r>
    </w:p>
    <w:p>
      <w:pPr>
        <w:spacing w:after="0" w:line="10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commitments presented in the above table represent the Company’s exposure to credit risk and, in the opinion of management, have no more than the normal lending risk that the Company commits to its borrowers.</w:t>
      </w:r>
    </w:p>
    <w:p>
      <w:pPr>
        <w:spacing w:after="0" w:line="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June 30, 2025 or December 31, 2024.</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Equity Investment Commitments</w:t>
      </w:r>
      <w:r>
        <w:rPr>
          <w:rFonts w:ascii="Times New Roman" w:cs="Times New Roman" w:eastAsia="Times New Roman" w:hAnsi="Times New Roman"/>
          <w:sz w:val="16"/>
          <w:szCs w:val="16"/>
          <w:color w:val="auto"/>
        </w:rPr>
        <w:t xml:space="preserve"> – As of June 30, 2025, the Company had committed $32,000 across ten SBIC investments with $10,855 remaining to be drawn, while as of December 31, 2024, the Company had committed $28,000 across nine SBIC investments with $8,598 remaining to be drawn. Similarly, as of June 30, 2025, the Company had committed $10,000 towards a solar tax equity investment with $9,817 remaining to be drawn. No such commitment existed as of December 31, 2024. Although the remaining capital commitments may or may not be called in the future, under the terms of the associated agreements, the Company's exposure will not extend beyond the amount of the original commitments.</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June 30, 2025 and December 31, 2024 were $53,877 and $53,226, respectively. There was no liability recorded for these letters of credit at June 30, 2025 or December 31, 2024.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6"/>
          <w:szCs w:val="16"/>
          <w:b w:val="1"/>
          <w:bCs w:val="1"/>
          <w:color w:val="auto"/>
        </w:rPr>
        <w:t>.</w:t>
      </w:r>
    </w:p>
    <w:p>
      <w:pPr>
        <w:spacing w:after="0" w:line="110"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46" w:lineRule="exact"/>
        <w:rPr>
          <w:sz w:val="20"/>
          <w:szCs w:val="20"/>
          <w:color w:val="auto"/>
        </w:rPr>
      </w:pPr>
    </w:p>
    <w:p>
      <w:pPr>
        <w:ind w:left="800" w:hanging="728"/>
        <w:spacing w:after="0" w:line="272" w:lineRule="auto"/>
        <w:tabs>
          <w:tab w:leader="none" w:pos="780" w:val="left"/>
        </w:tabs>
        <w:rPr>
          <w:sz w:val="20"/>
          <w:szCs w:val="20"/>
          <w:color w:val="auto"/>
        </w:rPr>
      </w:pPr>
      <w:r>
        <w:rPr>
          <w:rFonts w:ascii="Times New Roman" w:cs="Times New Roman" w:eastAsia="Times New Roman" w:hAnsi="Times New Roman"/>
          <w:sz w:val="16"/>
          <w:szCs w:val="16"/>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sz w:val="20"/>
          <w:szCs w:val="20"/>
          <w:color w:val="auto"/>
        </w:rPr>
      </w:pPr>
    </w:p>
    <w:p>
      <w:pPr>
        <w:ind w:left="820" w:hanging="728"/>
        <w:spacing w:after="0" w:line="269" w:lineRule="auto"/>
        <w:tabs>
          <w:tab w:leader="none" w:pos="80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2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both June 30, 2025 and December 31, 2024, the Company did not have any liabilities recorded at fair value.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methods of determining the fair value of assets and liabilities presented in this note are consistent with the methodologies disclosed in Note 20 of the 2024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Assets Recorded at Fair Value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recurring basis at the dates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137,585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carried at fair value are valued at the individual loan level using quoted secondary market prices.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during the six months ended June 30, 2025 or 2024.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financial assets measured at fair value on a non-recurring basis at the dates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9"/>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10"/>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9"/>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09"/>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1"/>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stated carrying value and estimated fair value amounts of financial instruments as of June 30, 2025 and December 31, 2024 are summarized below:</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10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3"/>
                <w:szCs w:val="13"/>
                <w:color w:val="auto"/>
              </w:rPr>
            </w:pPr>
          </w:p>
        </w:tc>
        <w:tc>
          <w:tcPr>
            <w:tcW w:w="1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297,209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297,209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297,209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3,546,351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3,546,351</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1,323,762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980" w:type="dxa"/>
            <w:vAlign w:val="bottom"/>
          </w:tcPr>
          <w:p>
            <w:pPr>
              <w:jc w:val="right"/>
              <w:ind w:right="3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3"/>
                <w:szCs w:val="13"/>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204,122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3,603,014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3,498,929</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17,570</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had off-balance sheet financial commitments, which included approximately $1,150,482 and $996,042 of commitments to originate loans, undisbursed portions of construction loans, unused lines of credit and standby letters of credit at June 30, 2025 and December 31, 2024, respectively (see "Note 13 – Commitments and Contingencies"). Since these commitments are based on current rates, the carrying amount approximates the fair value.</w:t>
      </w:r>
    </w:p>
    <w:p>
      <w:pPr>
        <w:spacing w:after="0" w:line="61"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Subsequent Event</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July 4, 2025, President Trump signed into law the legislation formally titled “An Act to Provide for Reconciliation Pursuant to Title II of H. Con. Res. 14” commonly referred to as the One Big Beautiful Bill. The Corporation is currently evaluating the income tax implications of the bill, but does not expect it to have a material impact on the Corporation’s financial statements.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ind w:right="4560"/>
        <w:spacing w:after="0" w:line="300"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factors that could result in material differentiation include, but are not limited to:</w:t>
      </w:r>
    </w:p>
    <w:p>
      <w:pPr>
        <w:spacing w:after="0" w:line="26" w:lineRule="exact"/>
        <w:rPr>
          <w:sz w:val="20"/>
          <w:szCs w:val="20"/>
          <w:color w:val="auto"/>
        </w:rPr>
      </w:pPr>
    </w:p>
    <w:p>
      <w:pPr>
        <w:ind w:left="340" w:hanging="251"/>
        <w:spacing w:after="0" w:line="253"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both nationally and in our market areas;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imposition of new or increased tariffs or changes to existing trade policies that could affect economic activity or specific industry sectors;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including the lingering effects of Hurricane Helene;</w:t>
      </w:r>
    </w:p>
    <w:p>
      <w:pPr>
        <w:spacing w:after="0" w:line="8" w:lineRule="exact"/>
        <w:rPr>
          <w:rFonts w:ascii="Times New Roman" w:cs="Times New Roman" w:eastAsia="Times New Roman" w:hAnsi="Times New Roman"/>
          <w:sz w:val="16"/>
          <w:szCs w:val="16"/>
          <w:color w:val="auto"/>
        </w:rPr>
      </w:pPr>
    </w:p>
    <w:p>
      <w:pPr>
        <w:ind w:left="340" w:hanging="251"/>
        <w:spacing w:after="0" w:line="253"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levels of general interest rates, and the relative differences between short- and long-term interest rates, deposit interest rates, our net interest margin and funding sources and the effects of inflation or a potential recession;</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demand for loans, the number of unsold homes, land and other properties and fluctuations in real estate values in our market areas;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decreases in the secondary market for the sale of loans that we originate;</w:t>
      </w:r>
    </w:p>
    <w:p>
      <w:pPr>
        <w:spacing w:after="0" w:line="15" w:lineRule="exact"/>
        <w:rPr>
          <w:rFonts w:ascii="Times New Roman" w:cs="Times New Roman" w:eastAsia="Times New Roman" w:hAnsi="Times New Roman"/>
          <w:sz w:val="16"/>
          <w:szCs w:val="16"/>
          <w:color w:val="auto"/>
        </w:rPr>
      </w:pPr>
    </w:p>
    <w:p>
      <w:pPr>
        <w:jc w:val="both"/>
        <w:ind w:left="340" w:hanging="251"/>
        <w:spacing w:after="0" w:line="252"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jc w:val="both"/>
        <w:ind w:left="340" w:hanging="251"/>
        <w:spacing w:after="0" w:line="252"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examinations of us by the Federal Reserve, the NCCOB or other regulatory authorities, including the possibility that any such regulatory authority may, among other things, require us to increase our ACL, write-down assets, increase our regulatory capital position or affect our ability to borrow funds or maintain or increase deposits, which could adversely affect our liquidity and earnings;</w:t>
      </w:r>
    </w:p>
    <w:p>
      <w:pPr>
        <w:ind w:left="340" w:hanging="251"/>
        <w:spacing w:after="0" w:line="255"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resources to address changes in laws, rules or regulations, or to respond to regulatory actions;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deposits;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cost-effective funding and maintain sufficient liquidity;</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assumptions in determining the adequacy of the ACL;</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operating costs and expenses, especially costs associated with our operation as a public company;</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estimates in determining the fair value of certain assets, which estimates may prove to be incorrect and result in significant declines in valuation;</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reducing risks associated with the loans on our balance sheet;</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fluctuations in response to product demand or the implementation of corporate strategies that affect our workforce and potential associated charges;</w:t>
      </w:r>
    </w:p>
    <w:p>
      <w:pPr>
        <w:spacing w:after="0" w:line="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key members of our senior management team;</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including settlements and judgments;</w:t>
      </w:r>
    </w:p>
    <w:p>
      <w:pPr>
        <w:spacing w:after="0" w:line="8"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bank failures or adverse developments involving other banks and related negative press about the banking industry in general on investor and depositor sentiment;</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 among financial services companies;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borrowing and savings habits;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securities markets;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key third-party providers to perform their obligations to us;</w:t>
      </w:r>
    </w:p>
    <w:p>
      <w:pPr>
        <w:spacing w:after="0" w:line="1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or guidelines and practices, as may be adopted by the financial institution regulatory agencies, the Public Company Accounting Oversight Board or the FASB;</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economic, competitive, governmental, regulatory and technological factors affecting our operations, pricing, products and services; and</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detailed from time to time in documents we file with or furnish to the SEC, including this Form 10-Q.</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quarter ended June 30, 2025 compared to the quarter ended March 31, 2025:</w:t>
      </w:r>
    </w:p>
    <w:p>
      <w:pPr>
        <w:spacing w:after="0" w:line="46" w:lineRule="exact"/>
        <w:rPr>
          <w:sz w:val="20"/>
          <w:szCs w:val="20"/>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$17.2 million compared to $14.5 million;</w:t>
      </w:r>
    </w:p>
    <w:p>
      <w:pPr>
        <w:spacing w:after="0" w:line="23"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were $1.00 compared to $0.84;</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1.58% compared to 1.33%;</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11.97% compared to 10.52%;</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4.32% compared to 4.18%;</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$1.3 million compared to $1.5 million;</w:t>
      </w:r>
    </w:p>
    <w:p>
      <w:pPr>
        <w:spacing w:after="0" w:line="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the sale of our two Knoxville, Tennessee branches was $1.4 million compared to $0;</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cash dividends continued at $0.12 per share totaling $2.1 million for both periods; and</w:t>
      </w:r>
    </w:p>
    <w:p>
      <w:pPr>
        <w:spacing w:after="0" w:line="15" w:lineRule="exact"/>
        <w:rPr>
          <w:rFonts w:ascii="Times New Roman" w:cs="Times New Roman" w:eastAsia="Times New Roman" w:hAnsi="Times New Roman"/>
          <w:sz w:val="16"/>
          <w:szCs w:val="16"/>
          <w:color w:val="auto"/>
        </w:rPr>
      </w:pPr>
    </w:p>
    <w:p>
      <w:pPr>
        <w:ind w:left="420" w:right="20" w:hanging="250"/>
        <w:spacing w:after="0" w:line="275" w:lineRule="auto"/>
        <w:tabs>
          <w:tab w:leader="none" w:pos="40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78,412 shares of Company common stock were repurchased during the current quarter at an average price of $35.74 compared to 14,800 shares repurchased at an average price of $33.64 in the prior quarter.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six months ended June 30, 2025 compared to the six months ended June 30, 2024:</w:t>
      </w:r>
    </w:p>
    <w:p>
      <w:pPr>
        <w:spacing w:after="0" w:line="46" w:lineRule="exact"/>
        <w:rPr>
          <w:sz w:val="20"/>
          <w:szCs w:val="20"/>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$31.7 million compared to $27.5 million;</w:t>
      </w:r>
    </w:p>
    <w:p>
      <w:pPr>
        <w:spacing w:after="0" w:line="26"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were $1.84 compared to $1.61;</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1.46% compared to 1.25%;</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11.26% compared to 10.73%;</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4.25% compared to 4.08%;</w:t>
      </w:r>
    </w:p>
    <w:p>
      <w:pPr>
        <w:spacing w:after="0" w:line="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$2.8 million compared to $5.4 million;</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tax-free death benefit proceeds from life insurance were $0 compared to $1.1 million;</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of $0.24 per share totaling $4.1 million compared to $0.22 per share totaling $3.7 million; and</w:t>
      </w:r>
    </w:p>
    <w:p>
      <w:pPr>
        <w:spacing w:after="0" w:line="8" w:lineRule="exact"/>
        <w:rPr>
          <w:rFonts w:ascii="Times New Roman" w:cs="Times New Roman" w:eastAsia="Times New Roman" w:hAnsi="Times New Roman"/>
          <w:sz w:val="16"/>
          <w:szCs w:val="16"/>
          <w:color w:val="auto"/>
        </w:rPr>
      </w:pPr>
    </w:p>
    <w:p>
      <w:pPr>
        <w:ind w:left="420" w:right="420" w:hanging="250"/>
        <w:spacing w:after="0" w:line="270" w:lineRule="auto"/>
        <w:tabs>
          <w:tab w:leader="none" w:pos="40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93,212 shares of Company common stock were repurchased during the six months ended June 30, 2025 at an average price of $35.41 compared to 23,483 shares repurchased at an average price of $27.48 in the same period last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7"/>
                <w:szCs w:val="17"/>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7"/>
                <w:szCs w:val="17"/>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7"/>
                <w:szCs w:val="17"/>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7"/>
                <w:szCs w:val="17"/>
                <w:color w:val="auto"/>
              </w:rPr>
            </w:pPr>
          </w:p>
        </w:tc>
        <w:tc>
          <w:tcPr>
            <w:tcW w:w="13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127,276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128,769</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44,828</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78,516</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60,619</w:t>
            </w: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7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Tangible book value per share at end of period</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price per share at end of period</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per common share have been prepared in accordance with the two-class method.</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reconciliations below for adjustments.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or ACL, on Loans. </w:t>
      </w:r>
      <w:r>
        <w:rPr>
          <w:rFonts w:ascii="Times New Roman" w:cs="Times New Roman" w:eastAsia="Times New Roman" w:hAnsi="Times New Roman"/>
          <w:sz w:val="16"/>
          <w:szCs w:val="16"/>
          <w:color w:val="auto"/>
        </w:rPr>
        <w:t>The ACL on loans held for investment reflects our estimate of credit losses that will result from the inability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borrowers to make required loan payments. We charge 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GAAP Reconciliation of Non-GAAP Financial Measures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book value and tangible book value per share: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Pr>
          <w:p>
            <w:pPr>
              <w:spacing w:after="0"/>
              <w:rPr>
                <w:sz w:val="18"/>
                <w:szCs w:val="18"/>
                <w:color w:val="auto"/>
              </w:rPr>
            </w:pPr>
          </w:p>
        </w:tc>
        <w:tc>
          <w:tcPr>
            <w:tcW w:w="15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565,449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523,628</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40,063</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book value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17,492,143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17,552,626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17,437,326</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36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equity to tangible assets: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Pr>
          <w:p>
            <w:pPr>
              <w:spacing w:after="0"/>
              <w:rPr>
                <w:sz w:val="20"/>
                <w:szCs w:val="20"/>
                <w:color w:val="auto"/>
              </w:rPr>
            </w:pPr>
          </w:p>
        </w:tc>
        <w:tc>
          <w:tcPr>
            <w:tcW w:w="15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13"/>
        </w:trPr>
        <w:tc>
          <w:tcPr>
            <w:tcW w:w="572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Tangible equity</w:t>
            </w:r>
            <w:r>
              <w:rPr>
                <w:rFonts w:ascii="Times New Roman" w:cs="Times New Roman" w:eastAsia="Times New Roman" w:hAnsi="Times New Roman"/>
                <w:sz w:val="21"/>
                <w:szCs w:val="21"/>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526,656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483,565</w:t>
            </w: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4,578,053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4,558,060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4,670,864</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40,063</w:t>
            </w: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4,539,576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4,519,267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4,630,801</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equity to tangible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Three Months Ended June 30, 2025 and March 31, 2025</w:t>
      </w:r>
    </w:p>
    <w:p>
      <w:pPr>
        <w:spacing w:after="0" w:line="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$17.2 million, or $1.00 per diluted share, for the three months ended June 30, 2025 compared to $14.5 million, or $0.84 per diluted share,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months ended March 31, 2025, an increase of $2.7 million, or 18.4%. Results for the three months ended June 30, 2025 benefited from a $1.3 million increase in net interest income and a $2.1 million increase in noninterest income due to a $1.4 million gain on the sale of two branch locations. Details of the changes in the various components of net income are further discussed below.</w:t>
      </w:r>
    </w:p>
    <w:p>
      <w:pPr>
        <w:spacing w:after="0" w:line="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Yield /</w:t>
            </w:r>
          </w:p>
        </w:tc>
        <w:tc>
          <w:tcPr>
            <w:tcW w:w="160" w:type="dxa"/>
            <w:vAlign w:val="bottom"/>
          </w:tcPr>
          <w:p>
            <w:pPr>
              <w:spacing w:after="0"/>
              <w:rPr>
                <w:sz w:val="13"/>
                <w:szCs w:val="13"/>
                <w:color w:val="auto"/>
              </w:rPr>
            </w:pPr>
          </w:p>
        </w:tc>
        <w:tc>
          <w:tcPr>
            <w:tcW w:w="11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3,804,502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6.37 %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3,802,003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6.25 %</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4,103,288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63,641</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4,160,904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263,603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266,141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4,366,891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4,427,045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0.89 %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573,316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0.94 %</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1,345,575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9,177</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951,715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2,944,451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3,053,960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20,363</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2,985,759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19,412</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3,076,390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20,728</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744,585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719,522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70,821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3,790,317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3,866,733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576,574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560,312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4,366,891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4,427,045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1,117,529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1,084,514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137.43 %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42,907</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3.61 %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3.47 %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43,325</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3.65 %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3.51 %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4.37 %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4.22 %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receivable balances include loans held for sale and nonaccruing loans.</w:t>
      </w:r>
    </w:p>
    <w:p>
      <w:pPr>
        <w:spacing w:after="0" w:line="2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other interest-earning assets consist of FRB stock, FHLB stock, SBIC investments and deposits in other banks.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divided by average interest-earning assets.</w:t>
      </w:r>
    </w:p>
    <w:p>
      <w:pPr>
        <w:spacing w:after="0" w:line="14" w:lineRule="exact"/>
        <w:rPr>
          <w:rFonts w:ascii="Times New Roman" w:cs="Times New Roman" w:eastAsia="Times New Roman" w:hAnsi="Times New Roman"/>
          <w:sz w:val="14"/>
          <w:szCs w:val="14"/>
          <w:color w:val="auto"/>
        </w:rPr>
      </w:pPr>
    </w:p>
    <w:p>
      <w:pPr>
        <w:ind w:left="260" w:hanging="252"/>
        <w:spacing w:after="0" w:line="283" w:lineRule="auto"/>
        <w:tabs>
          <w:tab w:leader="none" w:pos="2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Tax-equivalent results include adjustments to interest income of $431 and $418 for the three months ended June 30, 2025 and March 31, 2025, respectively, calculated based on a combined federal and state tax rate of 24%.</w:t>
      </w:r>
    </w:p>
    <w:p>
      <w:pPr>
        <w:spacing w:after="0" w:line="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Total interest and dividend income for the three months ended June 30, 2025 did not vary significantly when compared to the three months ended March 31, 2025. Regarding the components of this income, loan interest income increased $1.8 million, or 3.1%, primarily due to an increase in yield on loans and an additional day in the current quarter, which was partially offset by a $1.7 million, or 52.3%, decrease in other investments and interest-bearing deposits income, mainly due to a $1.0 million, or 78.9%, decrease in SBIC investment income where significant investment appreciation was recognized in the prior quarter. Accretion income on acquired loans of $1.0 million and $322,000 was recognized during the same periods, respectively, and was included in interest income on loans.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38" w:name="page39"/>
    <w:bookmarkEnd w:id="38"/>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expense for the three months ended June 30, 2025 decreased $1.3 million, or 6.3%, compared to the three months ended March 31, 2025. The decrease was primarily the result of a decline in the average balance of certificate accounts, specifically brokered deposits, and a decline in the average cost of funds across funding categories.</w:t>
      </w:r>
    </w:p>
    <w:p>
      <w:pPr>
        <w:spacing w:after="0" w:line="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00" w:type="dxa"/>
            <w:vAlign w:val="bottom"/>
            <w:gridSpan w:val="3"/>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Rate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receivable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net interest income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provision for credit losses is the amount of expense that, based on our judgment, is required to maintain the ACL at an appropriate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 the current expected credit losses model.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breakdown of the components of the provision for credit losses: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68"/>
        </w:trPr>
        <w:tc>
          <w:tcPr>
            <w:tcW w:w="48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585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the quarter ended June 30, 2025, the "loans" portion of the provision for credit losses was the result of the following, offset by net charge-offs of $2.0 million during the quarter:</w:t>
      </w:r>
    </w:p>
    <w:p>
      <w:pPr>
        <w:spacing w:after="0" w:line="3" w:lineRule="exact"/>
        <w:rPr>
          <w:sz w:val="20"/>
          <w:szCs w:val="20"/>
          <w:color w:val="auto"/>
        </w:rPr>
      </w:pPr>
    </w:p>
    <w:p>
      <w:pPr>
        <w:ind w:left="320" w:hanging="231"/>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$0.3 million benefit driven by changes in the loan mix.</w:t>
      </w:r>
    </w:p>
    <w:p>
      <w:pPr>
        <w:spacing w:after="0" w:line="23" w:lineRule="exact"/>
        <w:rPr>
          <w:rFonts w:ascii="Times New Roman" w:cs="Times New Roman" w:eastAsia="Times New Roman" w:hAnsi="Times New Roman"/>
          <w:sz w:val="16"/>
          <w:szCs w:val="16"/>
          <w:color w:val="auto"/>
        </w:rPr>
      </w:pPr>
    </w:p>
    <w:p>
      <w:pPr>
        <w:jc w:val="both"/>
        <w:ind w:left="340" w:hanging="251"/>
        <w:spacing w:after="0" w:line="250" w:lineRule="auto"/>
        <w:tabs>
          <w:tab w:leader="none" w:pos="32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million benefit due to changes in qualitative adjustments, partially offset by a slight worsening of the projected economic forecast, specifically the national unemployment rate. Of note, we released the $2.2 million qualitative allocation previously established for the potential impact of Hurricane Helene upon our loan portfolio which had been established in the quarter ended September 30, 2024. Any residual impact of the Hurricane is believed to have now been reflected elsewhere within the ACL calculation.</w:t>
      </w:r>
    </w:p>
    <w:p>
      <w:pPr>
        <w:spacing w:after="0" w:line="2"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increase in specific reserves on individually evaluated loans.</w:t>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For the quarter ended March 31, 2025, the "loans" portion of the provision for credit losses was the result of the following, offset by net charge-offs of $1.3 million during the quarter:</w:t>
      </w:r>
    </w:p>
    <w:p>
      <w:pPr>
        <w:spacing w:after="0" w:line="1" w:lineRule="exact"/>
        <w:rPr>
          <w:sz w:val="20"/>
          <w:szCs w:val="20"/>
          <w:color w:val="auto"/>
        </w:rPr>
      </w:pPr>
    </w:p>
    <w:p>
      <w:pPr>
        <w:ind w:left="320" w:hanging="231"/>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 million benefit driven by changes in the loan mix.</w:t>
      </w:r>
    </w:p>
    <w:p>
      <w:pPr>
        <w:spacing w:after="0" w:line="23"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slight improvement in the projected economic forecast, specifically the national unemployment rate, was offset by changes in qualitative adjustments.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 million increase in specific reserves on individually evaluated loans.</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quarter ended June 30, 2025, the amount recorded for off-balance-sheet credit exposure was the result of an increase in the balance of loan commitments offset by changes in the projected economic forecast and qualitative allocation as outlined above. For the quarter ended March 31, 2025, the amount recorded for off-balance-sheet credit exposure was the result of an increase in the balance of loan commitments and changes in the loan mix and projected economic forecast as outlined 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three months ended June 30, 2025 increased $2.1 million, or 26.5%, when compared to the quarter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noninterest income are discussed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branches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premises and equipment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left="340" w:hanging="251"/>
        <w:spacing w:after="0" w:line="256" w:lineRule="auto"/>
        <w:tabs>
          <w:tab w:leader="none" w:pos="329" w:val="left"/>
        </w:tabs>
        <w:numPr>
          <w:ilvl w:val="0"/>
          <w:numId w:val="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increase was primarily driven by sales of the guaranteed portion of SBA commercial loans during the period. There were $7.3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 sales of the guaranteed portion of SBA commercial loans with gains of $570,000 for the current quarter compared to $4.6 million sold and gains of $366,000 for the prior quarter. There were $108.8 million of HELOCs originated for sale which were sold during the current quarter with gains of $954,000 compared to $89.4 million sold with gains of $1.1 million in the prior quarter. There were $30.3 million of residential mortgage loans sold for gains of $558,000 during the current quarter compared to $18.8 million sold with gains of $473,000 in the prior quarter. Our hedging of mandatory commitments on the residential mortgage loan pipeline resulted in a net gain of $27,000 for the current quarter compared to a net gain of $13,000 for the prior quarter.</w:t>
      </w:r>
    </w:p>
    <w:p>
      <w:pPr>
        <w:spacing w:after="0" w:line="3" w:lineRule="exact"/>
        <w:rPr>
          <w:rFonts w:ascii="Times New Roman" w:cs="Times New Roman" w:eastAsia="Times New Roman" w:hAnsi="Times New Roman"/>
          <w:sz w:val="16"/>
          <w:szCs w:val="16"/>
          <w:b w:val="1"/>
          <w:bCs w:val="1"/>
          <w:i w:val="1"/>
          <w:iCs w:val="1"/>
          <w:color w:val="auto"/>
        </w:rPr>
      </w:pPr>
    </w:p>
    <w:p>
      <w:pPr>
        <w:ind w:left="340" w:hanging="251"/>
        <w:spacing w:after="0" w:line="255" w:lineRule="auto"/>
        <w:tabs>
          <w:tab w:leader="none" w:pos="32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Operating lease income: </w:t>
      </w:r>
      <w:r>
        <w:rPr>
          <w:rFonts w:ascii="Times New Roman" w:cs="Times New Roman" w:eastAsia="Times New Roman" w:hAnsi="Times New Roman"/>
          <w:sz w:val="16"/>
          <w:szCs w:val="16"/>
          <w:color w:val="auto"/>
        </w:rPr>
        <w:t>The increase was primarily the result of a reduction in losses recognized on the sale of previously leased equipment. We recognized net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$358,000 and $745,000 during the three months ended June 30, 2025 and March 31, 2025, respectively.</w:t>
      </w:r>
    </w:p>
    <w:p>
      <w:pPr>
        <w:jc w:val="both"/>
        <w:ind w:left="340" w:hanging="251"/>
        <w:spacing w:after="0" w:line="260" w:lineRule="auto"/>
        <w:tabs>
          <w:tab w:leader="none" w:pos="32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Gain on sale of branches: </w:t>
      </w:r>
      <w:r>
        <w:rPr>
          <w:rFonts w:ascii="Times New Roman" w:cs="Times New Roman" w:eastAsia="Times New Roman" w:hAnsi="Times New Roman"/>
          <w:sz w:val="16"/>
          <w:szCs w:val="16"/>
          <w:color w:val="auto"/>
        </w:rPr>
        <w:t>On May 23,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completed the previously announced sale of our two Knoxville, Tennessee branches, recognizing a gain of $1.4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The gain was primarily the result of a premium received on the deposits assumed by the purchasing institution, partially offset by expenses associated with the transaction.</w:t>
      </w:r>
    </w:p>
    <w:p>
      <w:pPr>
        <w:spacing w:after="0" w:line="2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Expense. </w:t>
      </w:r>
      <w:r>
        <w:rPr>
          <w:rFonts w:ascii="Times New Roman" w:cs="Times New Roman" w:eastAsia="Times New Roman" w:hAnsi="Times New Roman"/>
          <w:sz w:val="16"/>
          <w:szCs w:val="16"/>
          <w:color w:val="auto"/>
        </w:rPr>
        <w:t>Noninterest expense for the three months ended June 30, 2025 increased $294,000, or 0.9%, when compared to the three months ended March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Changes in the components of noninterest expense are discussed below:</w:t>
      </w: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340" w:right="20" w:hanging="251"/>
        <w:spacing w:after="0" w:line="268" w:lineRule="auto"/>
        <w:tabs>
          <w:tab w:leader="none" w:pos="329"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Computer services: </w:t>
      </w:r>
      <w:r>
        <w:rPr>
          <w:rFonts w:ascii="Times New Roman" w:cs="Times New Roman" w:eastAsia="Times New Roman" w:hAnsi="Times New Roman"/>
          <w:sz w:val="16"/>
          <w:szCs w:val="16"/>
          <w:color w:val="auto"/>
        </w:rPr>
        <w:t>At the end of the prior calendar year, we finalized the multiyear renewal of our largest core processing contract. The decrease in expense quarter-over-quarter is a reflection of the improved vendor pricing negotiated through this effort.</w:t>
      </w:r>
    </w:p>
    <w:p>
      <w:pPr>
        <w:ind w:left="320" w:hanging="231"/>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change was driven by an increase in loan workout expenses in addition to smaller increases across several other expense categories.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tax-exempt income, changes in the statutory rate and the effect of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valuation allowances maintained against deferred tax benefits. The effective tax rates for the three months ended June 30, 2025 and March 31, 2025 were 21.2% and 21.1%,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Six Months Ended June 30, 2025 and June 30, 2024</w:t>
      </w:r>
    </w:p>
    <w:p>
      <w:pPr>
        <w:spacing w:after="0" w:line="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$31.7 million, or $1.84 per diluted share, for the six months ended June 30, 2025 compared to $27.5 million, or $1.61 per diluted share,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six months ended June 30, 2024, an increase of $4.3 million, or 15.5%. The results for the six months ended June 30, 2025 were positively impacted by a $3.2 million increase in net interest income, a decrease of $2.6 million in the provision for credit losses and a $1.3 million increase in noninterest income, partially offset by a $1.6 million increase in noninterest expense. Details of the changes in the various components of net income are further discussed below.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9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Yield /</w:t>
            </w:r>
          </w:p>
        </w:tc>
        <w:tc>
          <w:tcPr>
            <w:tcW w:w="16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94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4"/>
                <w:szCs w:val="14"/>
                <w:color w:val="auto"/>
              </w:rPr>
            </w:pPr>
          </w:p>
        </w:tc>
        <w:tc>
          <w:tcPr>
            <w:tcW w:w="9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80" w:type="dxa"/>
            <w:vAlign w:val="bottom"/>
          </w:tcPr>
          <w:p>
            <w:pPr>
              <w:spacing w:after="0"/>
              <w:rPr>
                <w:sz w:val="14"/>
                <w:szCs w:val="14"/>
                <w:color w:val="auto"/>
              </w:rPr>
            </w:pPr>
          </w:p>
        </w:tc>
        <w:tc>
          <w:tcPr>
            <w:tcW w:w="9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0" w:type="dxa"/>
            <w:vAlign w:val="bottom"/>
          </w:tcPr>
          <w:p>
            <w:pPr>
              <w:spacing w:after="0"/>
              <w:rPr>
                <w:sz w:val="1"/>
                <w:szCs w:val="1"/>
                <w:color w:val="auto"/>
              </w:rPr>
            </w:pPr>
          </w:p>
        </w:tc>
      </w:tr>
      <w:tr>
        <w:trPr>
          <w:trHeight w:val="19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3,803,259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3,874,740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6.34 %</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151,127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177,551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rPr>
              <w:t>4,131,937</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127,276</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4,141,186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128,769</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264,865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282,550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4,396,802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4,423,736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568,540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0.91 %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588,567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0.98 %</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1,337,731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18,180</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1,289,758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19,340</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182,844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909,787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18,389</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895,242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19,162</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2,998,902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2,963,454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41,456</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3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6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21,780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rPr>
              <w:t>3,030,824</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40,140</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3,068,731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44,828</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732,123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789,565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65,367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50,224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3,828,314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3,908,520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568,488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515,216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4,396,802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4,423,736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1,101,113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1,072,455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3.31 %</w:t>
            </w:r>
          </w:p>
        </w:tc>
        <w:tc>
          <w:tcPr>
            <w:tcW w:w="0" w:type="dxa"/>
            <w:vAlign w:val="bottom"/>
          </w:tcPr>
          <w:p>
            <w:pPr>
              <w:spacing w:after="0" w:line="20" w:lineRule="exact"/>
              <w:rPr>
                <w:sz w:val="1"/>
                <w:szCs w:val="1"/>
                <w:color w:val="auto"/>
              </w:rPr>
            </w:pPr>
          </w:p>
        </w:tc>
      </w:tr>
      <w:tr>
        <w:trPr>
          <w:trHeight w:val="160"/>
        </w:trPr>
        <w:tc>
          <w:tcPr>
            <w:tcW w:w="3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4.25 %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4.08 %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84,645</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3.58 %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line="20" w:lineRule="exact"/>
              <w:rPr>
                <w:sz w:val="1"/>
                <w:szCs w:val="1"/>
                <w:color w:val="auto"/>
              </w:rPr>
            </w:pPr>
          </w:p>
        </w:tc>
      </w:tr>
      <w:tr>
        <w:trPr>
          <w:trHeight w:val="160"/>
        </w:trPr>
        <w:tc>
          <w:tcPr>
            <w:tcW w:w="3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4.29 %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receivable balances include loans held for sale and nonaccruing loans.</w:t>
      </w:r>
    </w:p>
    <w:p>
      <w:pPr>
        <w:spacing w:after="0" w:line="2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other interest-earning assets consist of FRB stock, FHLB stock, SBIC investments and deposits in other banks.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divided by average interest-earning assets.</w:t>
      </w:r>
    </w:p>
    <w:p>
      <w:pPr>
        <w:spacing w:after="0" w:line="14" w:lineRule="exact"/>
        <w:rPr>
          <w:rFonts w:ascii="Times New Roman" w:cs="Times New Roman" w:eastAsia="Times New Roman" w:hAnsi="Times New Roman"/>
          <w:sz w:val="14"/>
          <w:szCs w:val="14"/>
          <w:color w:val="auto"/>
        </w:rPr>
      </w:pPr>
    </w:p>
    <w:p>
      <w:pPr>
        <w:ind w:left="260" w:right="20" w:hanging="252"/>
        <w:spacing w:after="0" w:line="263" w:lineRule="auto"/>
        <w:tabs>
          <w:tab w:leader="none" w:pos="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Tax-equivalent results include adjustments to interest income of $849 and $704 for the six months ended June 30, 2025 and June 30, 2024, respectively, calculated based on a combined federal and state tax rate of 24%.</w:t>
      </w:r>
    </w:p>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Total interest and dividend income for the six months ended June 30, 2025 decreased $1.5 million, or 1.2%, compared to the six months ended June 30, 2024, which was driven by a $3.1 million, or 2.5%, decrease in interest income on loans, partially offset by a combined $1.6 million, or 23.5%, increase in interest income on debt securities available for sale and other interest-earning assets. Accretion income on acquired loans of $1.3 million and $1.4 million was recognized during the same periods, respectively, and was included in interest income on loans. The overall decrease in average yield on interest-earning assets was mainly the result of a decline in average balances, specifically for the loan portfolio where we continue to be focused on prudent loan growth.</w:t>
      </w:r>
    </w:p>
    <w:p>
      <w:pPr>
        <w:spacing w:after="0" w:line="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interest expense for the six months ended June 30, 2025 decreased $4.7 million, or 10.5%, compared to the six months ended June 30, 2024. The change was primarily the result of a decrease in the average balance of borrowings in addition to the cost of funds across all funding 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9"/>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140" w:type="dxa"/>
            <w:vAlign w:val="bottom"/>
          </w:tcPr>
          <w:p>
            <w:pPr>
              <w:spacing w:after="0"/>
              <w:rPr>
                <w:sz w:val="16"/>
                <w:szCs w:val="16"/>
                <w:color w:val="auto"/>
              </w:rPr>
            </w:pPr>
          </w:p>
        </w:tc>
        <w:tc>
          <w:tcPr>
            <w:tcW w:w="11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5"/>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vMerge w:val="continue"/>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receivable</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(2,583)</w:t>
            </w:r>
          </w:p>
        </w:tc>
        <w:tc>
          <w:tcPr>
            <w:tcW w:w="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0" w:type="dxa"/>
            <w:vAlign w:val="bottom"/>
          </w:tcPr>
          <w:p>
            <w:pPr>
              <w:spacing w:after="0"/>
              <w:rPr>
                <w:sz w:val="1"/>
                <w:szCs w:val="1"/>
                <w:color w:val="auto"/>
              </w:rPr>
            </w:pPr>
          </w:p>
        </w:tc>
      </w:tr>
      <w:tr>
        <w:trPr>
          <w:trHeight w:val="19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(2,240)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net interest income</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
        </w:trPr>
        <w:tc>
          <w:tcPr>
            <w:tcW w:w="858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following table presents a breakdown of the components of the provision for credit losses: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858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74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3,390</w:t>
            </w:r>
          </w:p>
        </w:tc>
        <w:tc>
          <w:tcPr>
            <w:tcW w:w="0" w:type="dxa"/>
            <w:vAlign w:val="bottom"/>
          </w:tcPr>
          <w:p>
            <w:pPr>
              <w:spacing w:after="0"/>
              <w:rPr>
                <w:sz w:val="1"/>
                <w:szCs w:val="1"/>
                <w:color w:val="auto"/>
              </w:rPr>
            </w:pPr>
          </w:p>
        </w:tc>
      </w:tr>
      <w:tr>
        <w:trPr>
          <w:trHeight w:val="207"/>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six months ended June 30, 2025, the "loans" portion of the provision for credit losses was the result of the following, offset by net charge-offs of $3.3 million during the period.</w:t>
      </w:r>
    </w:p>
    <w:p>
      <w:pPr>
        <w:spacing w:after="0" w:line="1" w:lineRule="exact"/>
        <w:rPr>
          <w:sz w:val="20"/>
          <w:szCs w:val="20"/>
          <w:color w:val="auto"/>
        </w:rPr>
      </w:pPr>
    </w:p>
    <w:p>
      <w:pPr>
        <w:ind w:left="400" w:hanging="230"/>
        <w:spacing w:after="0"/>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$0.9 million benefit driven by changes in the loan mix.</w:t>
      </w:r>
    </w:p>
    <w:p>
      <w:pPr>
        <w:spacing w:after="0" w:line="26" w:lineRule="exact"/>
        <w:rPr>
          <w:rFonts w:ascii="Times New Roman" w:cs="Times New Roman" w:eastAsia="Times New Roman" w:hAnsi="Times New Roman"/>
          <w:sz w:val="16"/>
          <w:szCs w:val="16"/>
          <w:color w:val="auto"/>
        </w:rPr>
      </w:pPr>
    </w:p>
    <w:p>
      <w:pPr>
        <w:jc w:val="both"/>
        <w:ind w:left="420" w:hanging="250"/>
        <w:spacing w:after="0" w:line="254" w:lineRule="auto"/>
        <w:tabs>
          <w:tab w:leader="none" w:pos="40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million benefit due to changes in qualitative adjustments, partially offset by a slight worsening of the projected economic forecast, specifically the national unemployment rate. Of note, we released the $2.2 million qualitative allocation previously established for the potential impact of Hurricane Helene upon our loan portfolio which had been established in the quarter ended September 30, 2024. Any residual impact of the Hurricane is believed to have now been reflected elsewhere within the ACL calculation.</w:t>
      </w:r>
    </w:p>
    <w:p>
      <w:pPr>
        <w:ind w:left="400" w:hanging="230"/>
        <w:spacing w:after="0"/>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 million increase in specific reserves on individually evaluated loans.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For the six months ended June 30, 2024, the "loans" portion of the provision for credit losses was the result of the following, in addition to net charge-offs of $4.9 million during the period:</w:t>
      </w:r>
    </w:p>
    <w:p>
      <w:pPr>
        <w:spacing w:after="0" w:line="1" w:lineRule="exact"/>
        <w:rPr>
          <w:sz w:val="20"/>
          <w:szCs w:val="20"/>
          <w:color w:val="auto"/>
        </w:rPr>
      </w:pPr>
    </w:p>
    <w:p>
      <w:pPr>
        <w:ind w:left="400" w:hanging="230"/>
        <w:spacing w:after="0"/>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benefit due to changes in the projected economic forecast, specifically the national unemployment rate, and changes in qualitative adjustments.</w:t>
      </w:r>
    </w:p>
    <w:p>
      <w:pPr>
        <w:spacing w:after="0" w:line="26" w:lineRule="exact"/>
        <w:rPr>
          <w:rFonts w:ascii="Times New Roman" w:cs="Times New Roman" w:eastAsia="Times New Roman" w:hAnsi="Times New Roman"/>
          <w:sz w:val="16"/>
          <w:szCs w:val="16"/>
          <w:color w:val="auto"/>
        </w:rPr>
      </w:pPr>
    </w:p>
    <w:p>
      <w:pPr>
        <w:ind w:left="420" w:hanging="250"/>
        <w:spacing w:after="0" w:line="270" w:lineRule="auto"/>
        <w:tabs>
          <w:tab w:leader="none" w:pos="40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million increase in specific reserves on individually evaluated loans which was proportional to the increase in the associated loan balances which increased from $8.1 million to $16.3 million during the six month period, concentrated in the equipment finance and SBA portfolios.</w:t>
      </w:r>
    </w:p>
    <w:p>
      <w:pPr>
        <w:spacing w:after="0" w:line="3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For the six months ended June 30, 2025 and June 30, 2024, the amounts recorded for off-balance-sheet credit exposure were the result of changes in the balance of loan commitments, loan mix and projected economic forecast as outlined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six months ended June 30, 2025 increased $1.3 million, or 7.4%, when compared to the same period last year. Changes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components of noninterest income are discussed below:</w:t>
      </w: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branches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411</w:t>
            </w:r>
          </w:p>
        </w:tc>
      </w:tr>
      <w:tr>
        <w:trPr>
          <w:trHeight w:val="216"/>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left="420" w:hanging="250"/>
        <w:spacing w:after="0" w:line="255" w:lineRule="auto"/>
        <w:tabs>
          <w:tab w:leader="none" w:pos="409"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increase in the gain on sale of loans held for sale was primarily driven by HELOCs and residential mortgage loans sold during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period. During the six months ended June 30, 2025, there were $198.2 million of HELOCs sold during the current period for gains of $2.0 million compared to $40.7 million sold and gains of $473,000 for the corresponding period in the prior year. There were $49.1 million of residential mortgage loans originated for sale which were sold with gains of $1.0 million compared to $36.6 million sold with gains of $667,000 for the corresponding period in the prior year. There were $11.9 million of sales of the guaranteed portion of SBA commercial loans with gains of $936,000 compared to $25.6 million sold and gains of $2.1 million for the corresponding period in the prior year. Our hedging of mandatory commitments on the residential mortgage loan pipeline resulted in a net gain of $40,000 for the six months ended June 30, 2025 versus a net loss of $3,000 for the six months ended June 30, 2024.</w:t>
      </w:r>
    </w:p>
    <w:p>
      <w:pPr>
        <w:spacing w:after="0" w:line="4" w:lineRule="exact"/>
        <w:rPr>
          <w:rFonts w:ascii="Times New Roman" w:cs="Times New Roman" w:eastAsia="Times New Roman" w:hAnsi="Times New Roman"/>
          <w:sz w:val="16"/>
          <w:szCs w:val="16"/>
          <w:b w:val="1"/>
          <w:bCs w:val="1"/>
          <w:i w:val="1"/>
          <w:iCs w:val="1"/>
          <w:color w:val="auto"/>
        </w:rPr>
      </w:pPr>
    </w:p>
    <w:p>
      <w:pPr>
        <w:ind w:left="420" w:hanging="250"/>
        <w:spacing w:after="0" w:line="253" w:lineRule="auto"/>
        <w:tabs>
          <w:tab w:leader="none" w:pos="409"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BOLI income: </w:t>
      </w:r>
      <w:r>
        <w:rPr>
          <w:rFonts w:ascii="Times New Roman" w:cs="Times New Roman" w:eastAsia="Times New Roman" w:hAnsi="Times New Roman"/>
          <w:sz w:val="16"/>
          <w:szCs w:val="16"/>
          <w:color w:val="auto"/>
        </w:rPr>
        <w:t>The decrease was due to $1.1 million in tax-free gains on death benefit proceeds in excess of the cash surrender value of the policies recognized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period, partially offset by higher yielding policies as a result of restructuring the portfolio at the end of the prior calendar year.</w:t>
      </w:r>
    </w:p>
    <w:p>
      <w:pPr>
        <w:ind w:left="420" w:hanging="250"/>
        <w:spacing w:after="0" w:line="275" w:lineRule="auto"/>
        <w:tabs>
          <w:tab w:leader="none" w:pos="409"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Gain on sale of branches: </w:t>
      </w:r>
      <w:r>
        <w:rPr>
          <w:rFonts w:ascii="Times New Roman" w:cs="Times New Roman" w:eastAsia="Times New Roman" w:hAnsi="Times New Roman"/>
          <w:sz w:val="16"/>
          <w:szCs w:val="16"/>
          <w:color w:val="auto"/>
        </w:rPr>
        <w:t>As discussed earlier, during the current period we completed the previously announced sale of our two Knoxville, Tennessee branches,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recognizing a gain of $1.4 million in the current period.</w:t>
      </w:r>
    </w:p>
    <w:p>
      <w:pPr>
        <w:spacing w:after="0" w:line="1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Expense. </w:t>
      </w:r>
      <w:r>
        <w:rPr>
          <w:rFonts w:ascii="Times New Roman" w:cs="Times New Roman" w:eastAsia="Times New Roman" w:hAnsi="Times New Roman"/>
          <w:sz w:val="16"/>
          <w:szCs w:val="16"/>
          <w:color w:val="auto"/>
        </w:rPr>
        <w:t>Noninterest expense for the six months ended June 30, 2025 increased $2.1 million, or 3.6%, when compared to the same period last year. Changes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components of noninterest expense are discussed below:</w:t>
      </w: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00" w:hanging="230"/>
        <w:spacing w:after="0"/>
        <w:tabs>
          <w:tab w:leader="none" w:pos="40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Salaries and employee benefits</w:t>
      </w:r>
      <w:r>
        <w:rPr>
          <w:rFonts w:ascii="Times New Roman" w:cs="Times New Roman" w:eastAsia="Times New Roman" w:hAnsi="Times New Roman"/>
          <w:sz w:val="16"/>
          <w:szCs w:val="16"/>
          <w:color w:val="auto"/>
        </w:rPr>
        <w:t>: The increase was primarily the result of increases in both pay and incentive compensation.</w:t>
      </w:r>
    </w:p>
    <w:p>
      <w:pPr>
        <w:spacing w:after="0" w:line="28" w:lineRule="exact"/>
        <w:rPr>
          <w:rFonts w:ascii="Times New Roman" w:cs="Times New Roman" w:eastAsia="Times New Roman" w:hAnsi="Times New Roman"/>
          <w:sz w:val="16"/>
          <w:szCs w:val="16"/>
          <w:b w:val="1"/>
          <w:bCs w:val="1"/>
          <w:i w:val="1"/>
          <w:iCs w:val="1"/>
          <w:color w:val="auto"/>
        </w:rPr>
      </w:pPr>
    </w:p>
    <w:p>
      <w:pPr>
        <w:ind w:left="420" w:hanging="250"/>
        <w:spacing w:after="0" w:line="253" w:lineRule="auto"/>
        <w:tabs>
          <w:tab w:leader="none" w:pos="409"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Computer services: </w:t>
      </w:r>
      <w:r>
        <w:rPr>
          <w:rFonts w:ascii="Times New Roman" w:cs="Times New Roman" w:eastAsia="Times New Roman" w:hAnsi="Times New Roman"/>
          <w:sz w:val="16"/>
          <w:szCs w:val="16"/>
          <w:color w:val="auto"/>
        </w:rPr>
        <w:t>As discussed earlier, the decrease in expense year-over-year is a reflection of the improved vendor pricing associated with the multiyear renewal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our largest core processing contract.</w:t>
      </w:r>
    </w:p>
    <w:p>
      <w:pPr>
        <w:ind w:left="420" w:hanging="250"/>
        <w:spacing w:after="0" w:line="255" w:lineRule="auto"/>
        <w:tabs>
          <w:tab w:leader="none" w:pos="409"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Marketing and advertising: </w:t>
      </w:r>
      <w:r>
        <w:rPr>
          <w:rFonts w:ascii="Times New Roman" w:cs="Times New Roman" w:eastAsia="Times New Roman" w:hAnsi="Times New Roman"/>
          <w:sz w:val="16"/>
          <w:szCs w:val="16"/>
          <w:color w:val="auto"/>
        </w:rPr>
        <w:t>The decrease was the result of a reduction in spending in the six months ended June 30, 2025 when compared to the same period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year, as we re-evaluated our marketing strategy for future periods.</w:t>
      </w:r>
    </w:p>
    <w:p>
      <w:pPr>
        <w:ind w:left="420" w:hanging="250"/>
        <w:spacing w:after="0" w:line="255" w:lineRule="auto"/>
        <w:tabs>
          <w:tab w:leader="none" w:pos="40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Core deposit intangible amortization: </w:t>
      </w:r>
      <w:r>
        <w:rPr>
          <w:rFonts w:ascii="Times New Roman" w:cs="Times New Roman" w:eastAsia="Times New Roman" w:hAnsi="Times New Roman"/>
          <w:sz w:val="16"/>
          <w:szCs w:val="16"/>
          <w:color w:val="auto"/>
        </w:rPr>
        <w:t>The intangible recorded associated with the Quantum merger is being amortized on an accelerated basis, so the rate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slowed year-over-year.</w:t>
      </w:r>
    </w:p>
    <w:p>
      <w:pPr>
        <w:ind w:left="420" w:hanging="250"/>
        <w:spacing w:after="0" w:line="257" w:lineRule="auto"/>
        <w:tabs>
          <w:tab w:leader="none" w:pos="409"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increase period-over-period was driven by increases of $274,000 in losses on the sale repossessed equipment, $234,000 in community association banking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deposit line of business referral fees, and $224,000 in consulting fees.</w:t>
      </w:r>
    </w:p>
    <w:p>
      <w:pPr>
        <w:spacing w:after="0" w:line="4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tax-exempt income, changes in the statutory rate and the effect of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valuation allowances maintained against deferred tax benefits. The effective tax rate was 21.1% for both the six months ended June 30, 2025 and June 30,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June 30, 2025 and December 31, 2024</w:t>
      </w:r>
    </w:p>
    <w:p>
      <w:pPr>
        <w:spacing w:after="0" w:line="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Total assets decreased by $17.4 million to $4.6 billion and total liabilities decreased by $44.9 million to $4.0 billion, respectively, at June 30, 2025 as compared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2024. These changes can be traced to the use of the proceeds of both loan sales and the maturities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spacing w:after="0" w:line="272" w:lineRule="auto"/>
        <w:rPr>
          <w:sz w:val="20"/>
          <w:szCs w:val="20"/>
          <w:color w:val="auto"/>
        </w:rPr>
      </w:pPr>
      <w:r>
        <w:rPr>
          <w:rFonts w:ascii="Times New Roman" w:cs="Times New Roman" w:eastAsia="Times New Roman" w:hAnsi="Times New Roman"/>
          <w:sz w:val="16"/>
          <w:szCs w:val="16"/>
          <w:color w:val="auto"/>
        </w:rPr>
        <w:t>of debt securities and certificates of deposit to fund loan growth. Total deposits declined by $113.0 million over the same period. The decrease was mainly the result of a reduction in brokered deposits of $96.5 million and $34.3 million of deposits which were assumed by the purchaser of our two Knoxville, Tennessee branches. Borrowings increased by $77.0 million to provide additional liquidity.</w:t>
      </w:r>
    </w:p>
    <w:p>
      <w:pPr>
        <w:spacing w:after="0" w:line="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Total cash and cash equivalents increased $18.0 million, or 6.4%, to $297.2 million at June 30, 2025 from $279.2 million at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w:t>
      </w:r>
    </w:p>
    <w:p>
      <w:pPr>
        <w:spacing w:after="0" w:line="2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Debt Securities Available for Sale. </w:t>
      </w:r>
      <w:r>
        <w:rPr>
          <w:rFonts w:ascii="Times New Roman" w:cs="Times New Roman" w:eastAsia="Times New Roman" w:hAnsi="Times New Roman"/>
          <w:sz w:val="16"/>
          <w:szCs w:val="16"/>
          <w:color w:val="auto"/>
        </w:rPr>
        <w:t>Debt securities available for sale decreased $8.1 million, or 5.3%, to $143.9 million at June 30, 2025 from $152.0 million at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31, 2024.</w:t>
      </w:r>
    </w:p>
    <w:p>
      <w:pPr>
        <w:spacing w:after="0" w:line="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Held for Sale. </w:t>
      </w:r>
      <w:r>
        <w:rPr>
          <w:rFonts w:ascii="Times New Roman" w:cs="Times New Roman" w:eastAsia="Times New Roman" w:hAnsi="Times New Roman"/>
          <w:sz w:val="16"/>
          <w:szCs w:val="16"/>
          <w:color w:val="auto"/>
        </w:rPr>
        <w:t>Loans held for sale decreased $35.2 million, or 17.1%, to $170.9 million at June 30, 2025 from $206.2 million at December 31, 2024. This was driven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a decrease of $39.2 million, or 22.3%, in HELOCs held for sale due to loan sales during the current quarter, partially offset by a $4.2 million, or 18.3%, increase in SBA loans held for sale.</w:t>
      </w:r>
    </w:p>
    <w:p>
      <w:pPr>
        <w:spacing w:after="0" w:line="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Net of Deferred Loan Fees and Costs. </w:t>
      </w:r>
      <w:r>
        <w:rPr>
          <w:rFonts w:ascii="Times New Roman" w:cs="Times New Roman" w:eastAsia="Times New Roman" w:hAnsi="Times New Roman"/>
          <w:sz w:val="16"/>
          <w:szCs w:val="16"/>
          <w:color w:val="auto"/>
        </w:rPr>
        <w:t>Total loans increased $23.7 million, to $3.7 billion at June 30, 2025 as compared to the balance at December 31, 2024.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following table illustrates the changes within the portfolio:</w:t>
      </w: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Percent of Total</w:t>
            </w:r>
          </w:p>
        </w:tc>
        <w:tc>
          <w:tcPr>
            <w:tcW w:w="0" w:type="dxa"/>
            <w:vAlign w:val="bottom"/>
          </w:tcPr>
          <w:p>
            <w:pPr>
              <w:spacing w:after="0"/>
              <w:rPr>
                <w:sz w:val="1"/>
                <w:szCs w:val="1"/>
                <w:color w:val="auto"/>
              </w:rPr>
            </w:pPr>
          </w:p>
        </w:tc>
      </w:tr>
      <w:tr>
        <w:trPr>
          <w:trHeight w:val="14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2"/>
                <w:szCs w:val="12"/>
                <w:color w:val="auto"/>
              </w:rPr>
            </w:pPr>
          </w:p>
        </w:tc>
        <w:tc>
          <w:tcPr>
            <w:tcW w:w="10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8"/>
        </w:trPr>
        <w:tc>
          <w:tcPr>
            <w:tcW w:w="3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1,819,973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1,806,365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loans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3,671,951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3,648,299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Asset Quality. </w:t>
      </w:r>
      <w:r>
        <w:rPr>
          <w:rFonts w:ascii="Times New Roman" w:cs="Times New Roman" w:eastAsia="Times New Roman" w:hAnsi="Times New Roman"/>
          <w:sz w:val="16"/>
          <w:szCs w:val="16"/>
          <w:color w:val="auto"/>
        </w:rPr>
        <w:t>Nonperforming assets, made up of nonaccrual loans and repossessed assets, increased by $2.5 million, or 8.9%, to $30.5 million, or 0.67% of total assets,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June 30, 2025 compared to $28.0 million, or 0.61% of total assets, at March 31, 2025. Owner occupied commercial real estate ("CRE") made up the largest portion of nonperforming assets at $8.9 million and $8.6 million, respectively, at these same dates. One relationship made up $5.0 million of the totals at both dates but no loss is anticipated. In addition, equipment finance loans made up $6.0 million and $5.1 million, respectively, at these same dates, concentrated in the transportation sector. The ratio of nonperforming loans to total loans was 0.81% at June 30, 2025 compared to 0.74% at March 31, 2025.</w:t>
      </w:r>
    </w:p>
    <w:p>
      <w:pPr>
        <w:spacing w:after="0" w:line="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Nonperforming assets increased by $1.7 million, or 6.1%, to $30.5 million, or 0.67% of total assets, at June 30, 2025 compared to $28.8 million, or 0.63% of total assets, at December 31, 2024, with the composition of nonperforming assets remaining consistent between periods. The ratio of nonperforming loans to total loans was 0.81% at June 30, 2025 compared to 0.76% at December 31, 2024.</w:t>
      </w:r>
    </w:p>
    <w:p>
      <w:pPr>
        <w:spacing w:after="0" w:line="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Classified assets increased by $8.2 million, or 20.0%, to $48.8 million, or 1.07% of total assets, as of June 30, 2025 when compared to the balance of $40.7 million, or 0.89% of total assets, at March 31, 2025. The drivers of the change were increases of $3.2 million in Equipment Finance loans, $2.3 million in commercial and industrial loans, and $1.6 million in owner-occupied CRE loans. Classified assets increased by $69,000, or 0.14%, to $48.8 million, or 1.07% of total assets, as of June 30, 2025 when compared to the balance of $48.8 million, or 1.06% of total assets, at December 31, 2024. The largest portfolios of classified assets at June 30, 2025 included $14.5 million of owner-occupied CRE loans, $8.6 million of equipment finance loans, $6.5 million of both 1-4 family residential real estate and commercial and industrial loans, $5.4 million of HELOCs, and $4.7 million of non-owner occupied CRE loans.</w:t>
      </w:r>
    </w:p>
    <w:p>
      <w:pPr>
        <w:spacing w:after="0" w:line="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Lastly, in an effort to assist customers in their post-Hurricane Helene recovery and clean-up efforts, at the end of the prior calendar year we granted payment deferrals of up to six months to provide short-term relief to impacted customers. The outstanding balance of these deferrals declined from $136.0 million at December 31, 2024 to $18.9 million at June 30, 2025. As stated earlier, after reassessing the remaining exposure and the sufficiency of the ACL in place, in the current quarter we released the $2.2 million qualitative allocation previously established for the storm upon our loan portfolio which had been established in the quarter ended September 30, 2024. To date, $27,000 in charge-offs have been recognized which were directly related to Hurricane Helene.</w:t>
      </w:r>
    </w:p>
    <w:p>
      <w:pPr>
        <w:spacing w:after="0" w:line="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on Loans. </w:t>
      </w:r>
      <w:r>
        <w:rPr>
          <w:rFonts w:ascii="Times New Roman" w:cs="Times New Roman" w:eastAsia="Times New Roman" w:hAnsi="Times New Roman"/>
          <w:sz w:val="16"/>
          <w:szCs w:val="16"/>
          <w:color w:val="auto"/>
        </w:rPr>
        <w:t>The ACL on loans was $44.1 million, or 1.20% of total loans, at June 30, 2025 compared to $45.3 million, or 1.24% of total loans,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at December 31, 2024. The drivers of this change are discussed in the "Comparison of Results of Operations for the Six Months Ended June 30, 2025 and June 30, 2024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Provision for Credit Losses" section above.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4" w:name="page45"/>
    <w:bookmarkEnd w:id="44"/>
    <w:p>
      <w:pPr>
        <w:jc w:val="both"/>
        <w:spacing w:after="0" w:line="280" w:lineRule="auto"/>
        <w:rPr>
          <w:sz w:val="20"/>
          <w:szCs w:val="20"/>
          <w:color w:val="auto"/>
        </w:rPr>
      </w:pPr>
      <w:r>
        <w:rPr>
          <w:rFonts w:ascii="Times New Roman" w:cs="Times New Roman" w:eastAsia="Times New Roman" w:hAnsi="Times New Roman"/>
          <w:sz w:val="16"/>
          <w:szCs w:val="16"/>
          <w:color w:val="auto"/>
        </w:rPr>
        <w:t>Net loan charge-offs totaled $3.3 million for the six months ended June 30, 2025 compared to $4.9 million for the same period last year. Annualized net charge-offs as a percentage of average loans were 0.18% for the six months ended June 30, 2025 as compared to 0.25% for the six months ended June 30, 2024.</w:t>
      </w:r>
    </w:p>
    <w:p>
      <w:pPr>
        <w:spacing w:after="0" w:line="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Premises and Equipment. </w:t>
      </w:r>
      <w:r>
        <w:rPr>
          <w:rFonts w:ascii="Times New Roman" w:cs="Times New Roman" w:eastAsia="Times New Roman" w:hAnsi="Times New Roman"/>
          <w:sz w:val="16"/>
          <w:szCs w:val="16"/>
          <w:color w:val="auto"/>
        </w:rPr>
        <w:t>Premises and equipment decreased by $7.2 million, or 10.3%, to $62.7 million at June 30, 2025 from $69.9 million at December 31, 2024.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majority of the change can be traced to the completion of the sale of our two Knoxville, Tennessee branches, which included the sale of $6.3 million of premises and equipment.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Deposits. </w:t>
      </w:r>
      <w:r>
        <w:rPr>
          <w:rFonts w:ascii="Times New Roman" w:cs="Times New Roman" w:eastAsia="Times New Roman" w:hAnsi="Times New Roman"/>
          <w:sz w:val="16"/>
          <w:szCs w:val="16"/>
          <w:color w:val="auto"/>
        </w:rPr>
        <w:t>The following table summarizes the composition of our deposit portfolio as of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 deposits</w:t>
            </w: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698,843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NOW accounts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(18,233)</w:t>
            </w: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5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core deposits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2,779,476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(15,367)</w:t>
            </w:r>
          </w:p>
        </w:tc>
        <w:tc>
          <w:tcPr>
            <w:tcW w:w="10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(97,658)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3,666,178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3,779,203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(113,025)</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Management</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June 30, 2025, the Company had the ability to borrow $386.8 million through additional FHLB advances and $2.8 million through the unused portion of a line of credit with the FRB. At this same date, the Company maintained revolving lines of credit with three unaffiliated banks which totaled $165.0 million, all of which was unused.</w:t>
      </w:r>
    </w:p>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also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June 30, 2025, brokered deposits totaled $290.6 million, or 7.9% of total deposits.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June 30, 2025, we (on an unconsolidated basis) had liquid assets of $7.2 million.</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Bank level, we use our sources of funds primarily to meet our ongoing commitments, pay maturing deposits and fund withdrawals and to fund loan commitments. At June 30, 2025, the total approved loan commitments and unused lines of credit outstanding amounted to $299.5 million and $797.1 million, respectively, as compared to $230.5 million and $712.3 million as of December 31, 2024. Certificates of deposit scheduled to mature in one year or less at June 30, 2025 totaled $881.5 million. It is management's policy to manage deposit rates that are competitive with other local financial institutions. Based on this strategy, we believe that a majority of maturing deposits will be retained.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Activities</w:t>
      </w:r>
    </w:p>
    <w:p>
      <w:pPr>
        <w:spacing w:after="0" w:line="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in this Quarterly Report on Form 10-Q.</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Resources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80" w:lineRule="auto"/>
        <w:rPr>
          <w:sz w:val="20"/>
          <w:szCs w:val="20"/>
          <w:color w:val="auto"/>
        </w:rPr>
      </w:pPr>
      <w:r>
        <w:rPr>
          <w:rFonts w:ascii="Times New Roman" w:cs="Times New Roman" w:eastAsia="Times New Roman" w:hAnsi="Times New Roman"/>
          <w:sz w:val="16"/>
          <w:szCs w:val="16"/>
          <w:color w:val="auto"/>
        </w:rPr>
        <w:t>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June 30, 2025,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June 30, 2025 under applicable regulatory requirements.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HomeTrust Bancshares, Inc. and the Bank's actual and required minimum capital amounts and ratios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right"/>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Minimum for Capital</w:t>
            </w:r>
          </w:p>
        </w:tc>
        <w:tc>
          <w:tcPr>
            <w:tcW w:w="160" w:type="dxa"/>
            <w:vAlign w:val="bottom"/>
          </w:tcPr>
          <w:p>
            <w:pPr>
              <w:spacing w:after="0"/>
              <w:rPr>
                <w:sz w:val="13"/>
                <w:szCs w:val="13"/>
                <w:color w:val="auto"/>
              </w:rPr>
            </w:pPr>
          </w:p>
        </w:tc>
        <w:tc>
          <w:tcPr>
            <w:tcW w:w="208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6"/>
                <w:szCs w:val="16"/>
                <w:b w:val="1"/>
                <w:bCs w:val="1"/>
                <w:color w:val="auto"/>
              </w:rPr>
              <w:t>Minimum to Be</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60" w:type="dxa"/>
            <w:vAlign w:val="bottom"/>
          </w:tcPr>
          <w:p>
            <w:pPr>
              <w:spacing w:after="0"/>
              <w:rPr>
                <w:sz w:val="18"/>
                <w:szCs w:val="18"/>
                <w:color w:val="auto"/>
              </w:rPr>
            </w:pPr>
          </w:p>
        </w:tc>
        <w:tc>
          <w:tcPr>
            <w:tcW w:w="208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Well Capitalized</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13.12 %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185,154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267,445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549,892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173,107</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216,383</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246,872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329,163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597,836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329,163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411,453</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182,537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263,664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176,978</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221,222</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243,382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324,509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324,509</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405,637</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60"/>
        </w:trPr>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Bank</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13.02 %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185,149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267,437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173,015</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216,269</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246,865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329,153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583,744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329,153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411,442</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182,528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263,652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176,943</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221,179</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243,371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324,494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324,494</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405,618</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After two years, the cumulative amount of the transition adjustments became fixed and were phased out of the regulatory capital calculations evenly over a three-year period, with 75% recognized in year three, 50% recognized in year four, and 25% recognized in year five. Starting with the quarter ended March 31, 2025, the temporary regulatory capital benefits have been fully reversed.</w:t>
      </w:r>
    </w:p>
    <w:p>
      <w:pPr>
        <w:spacing w:after="0" w:line="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June 30, 2025, the Company's and Bank's risk-based capital exceeded the required capital contribution buffer.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paid by HomeTrust Bank are limited, without prior regulatory approval, to current year earnings and earnings less dividends paid during the preceding two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 in the market risk disclosures contained in our 2024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u w:val="single" w:color="auto"/>
          <w:color w:val="auto"/>
        </w:rPr>
        <w:t>Evaluation of Disclosure Controls and Procedures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evaluation of our disclosure controls and procedures (as defined in Rule 13a-15(e) of the Securities Exchange Act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1934 (the "Act")) as of June 30, 2025,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6" w:name="page47"/>
    <w:bookmarkEnd w:id="46"/>
    <w:p>
      <w:pPr>
        <w:jc w:val="both"/>
        <w:spacing w:after="0" w:line="272" w:lineRule="auto"/>
        <w:rPr>
          <w:sz w:val="20"/>
          <w:szCs w:val="20"/>
          <w:color w:val="auto"/>
        </w:rPr>
      </w:pPr>
      <w:r>
        <w:rPr>
          <w:rFonts w:ascii="Times New Roman" w:cs="Times New Roman" w:eastAsia="Times New Roman" w:hAnsi="Times New Roman"/>
          <w:sz w:val="16"/>
          <w:szCs w:val="16"/>
          <w:color w:val="auto"/>
        </w:rPr>
        <w:t>of June 30, 2025,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Changes in Internal Controls</w:t>
      </w:r>
      <w:r>
        <w:rPr>
          <w:rFonts w:ascii="Times New Roman" w:cs="Times New Roman" w:eastAsia="Times New Roman" w:hAnsi="Times New Roman"/>
          <w:sz w:val="16"/>
          <w:szCs w:val="16"/>
          <w:color w:val="auto"/>
        </w:rPr>
        <w:t>: There have been no changes in the Company’s internal control over financial reporting during the quarter ended June 30, 2025 that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materially affected, or are reasonably likely to materially affect, the Company’s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4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The "Litigation" section of "Note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to the Consolidated Financial Statements included in Part I, Item 1 is incorporated herein by reference.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the Risk Factors previously disclosed in Item 1A of the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48" w:lineRule="exact"/>
        <w:rPr>
          <w:sz w:val="20"/>
          <w:szCs w:val="20"/>
          <w:color w:val="auto"/>
        </w:rPr>
      </w:pPr>
    </w:p>
    <w:p>
      <w:pPr>
        <w:ind w:left="220" w:hanging="212"/>
        <w:spacing w:after="0"/>
        <w:tabs>
          <w:tab w:leader="none" w:pos="2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4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information about repurchases of common stock by the Company during the quarter ended June 30,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1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020" w:type="dxa"/>
            <w:vAlign w:val="bottom"/>
            <w:gridSpan w:val="2"/>
            <w:vMerge w:val="continue"/>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60" w:type="dxa"/>
            <w:vAlign w:val="bottom"/>
            <w:vMerge w:val="restart"/>
          </w:tcPr>
          <w:p>
            <w:pPr>
              <w:jc w:val="right"/>
              <w:ind w:right="2837"/>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20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Yet Be Purchased Under</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8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April 1 - April 30,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228,356</w:t>
            </w: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May 1 - May 31,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195,056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June 1 - June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45,112</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149,944</w:t>
            </w:r>
          </w:p>
        </w:tc>
        <w:tc>
          <w:tcPr>
            <w:tcW w:w="0" w:type="dxa"/>
            <w:vAlign w:val="bottom"/>
          </w:tcPr>
          <w:p>
            <w:pPr>
              <w:spacing w:after="0"/>
              <w:rPr>
                <w:sz w:val="1"/>
                <w:szCs w:val="1"/>
                <w:color w:val="auto"/>
              </w:rPr>
            </w:pPr>
          </w:p>
        </w:tc>
      </w:tr>
      <w:tr>
        <w:trPr>
          <w:trHeight w:val="207"/>
        </w:trPr>
        <w:tc>
          <w:tcPr>
            <w:tcW w:w="3460" w:type="dxa"/>
            <w:vAlign w:val="bottom"/>
          </w:tcPr>
          <w:p>
            <w:pPr>
              <w:jc w:val="right"/>
              <w:ind w:right="283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78,412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8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78,412</w:t>
            </w: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149,944</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Over the years as a public company, the Company's Board of Directors has, from time to time, authorized the repurchase of its common stock. The most recent time this was done, on February 28, 2022, 806,000 shares of common stock were authorized for repurchase representing approximately 5% of the Company's outstanding shares at the time of the announcement. As of June 30, 2025, 656,056 of these shares had been purchased at an average price of $29.76 per share, 93,212 of which were repurchased during the six months ended June 30, 2025. The shares may be purchased in the open market or in privately negotiated transactions, from time to time depending upon market conditions and other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Nothing to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4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Trading Plans</w:t>
      </w:r>
      <w:r>
        <w:rPr>
          <w:rFonts w:ascii="Times New Roman" w:cs="Times New Roman" w:eastAsia="Times New Roman" w:hAnsi="Times New Roman"/>
          <w:sz w:val="16"/>
          <w:szCs w:val="16"/>
          <w:color w:val="auto"/>
        </w:rPr>
        <w:t>: During the quarter ended June 30, 2025, no director or officer (as defined in Rule 16a-1(f) under the Exchange Act) of the Company adopted or terminated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 10b5-1 trading arrangement" or "non-Rule 10b5-1 trading arrangement," as each term is defined in Item 408(a) of Regulation S-K.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to Prior</w:t>
            </w:r>
          </w:p>
        </w:tc>
        <w:tc>
          <w:tcPr>
            <w:tcW w:w="0" w:type="dxa"/>
            <w:vAlign w:val="bottom"/>
          </w:tcPr>
          <w:p>
            <w:pPr>
              <w:spacing w:after="0"/>
              <w:rPr>
                <w:sz w:val="1"/>
                <w:szCs w:val="1"/>
                <w:color w:val="auto"/>
              </w:rPr>
            </w:pPr>
          </w:p>
        </w:tc>
      </w:tr>
      <w:tr>
        <w:trPr>
          <w:trHeight w:val="162"/>
        </w:trPr>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66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0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Filing or Exhibit #</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400"/>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gridSpan w:val="4"/>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Charter of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4"/>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Amended and Restated Bylaws of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gridSpan w:val="29"/>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2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100" w:type="dxa"/>
            <w:vAlign w:val="bottom"/>
            <w:tcBorders>
              <w:top w:val="single" w:sz="8" w:color="auto"/>
              <w:bottom w:val="single" w:sz="8" w:color="0000FF"/>
            </w:tcBorders>
            <w:gridSpan w:val="39"/>
          </w:tcPr>
          <w:p>
            <w:pPr>
              <w:spacing w:after="0" w:line="171"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HomeTrust Bancshares, Inc. Senior Leadership Incentive Plan (formerly known as Operating Committee Incentive Program)</w:t>
              </w:r>
            </w:hyperlink>
          </w:p>
        </w:tc>
        <w:tc>
          <w:tcPr>
            <w:tcW w:w="10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40"/>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Employment and Transition Agreement between HomeTrust Bancshares, Inc. and Dana L. Stonestreet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Employment Agreement between HomeTrust Bancshares, Inc. and C. Hunter Westbrook</w:t>
              </w:r>
            </w:hyperlink>
          </w:p>
        </w:tc>
        <w:tc>
          <w:tcPr>
            <w:tcW w:w="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1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0">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10.3B</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Amendment No. 2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1">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10.3C</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Amendment No. 3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2">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10.3D</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4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3">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Employment Agreement between HomeTrust Bancshares, Inc. and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10.4A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Amended and Restated Employment Agreement between HomeTrust Bancshares, Inc. and Tony</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58">
              <w:r>
                <w:rPr>
                  <w:rFonts w:ascii="Times New Roman" w:cs="Times New Roman" w:eastAsia="Times New Roman" w:hAnsi="Times New Roman"/>
                  <w:sz w:val="16"/>
                  <w:szCs w:val="16"/>
                  <w:color w:val="0000FF"/>
                  <w:w w:val="98"/>
                </w:rPr>
                <w:t>VunCannon</w:t>
              </w:r>
            </w:hyperlink>
          </w:p>
        </w:tc>
        <w:tc>
          <w:tcPr>
            <w:tcW w:w="688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HomeTrust Bank Executive Supplemental Retirement Income Master Agreement (“SERP”)</w:t>
              </w:r>
            </w:hyperlink>
          </w:p>
        </w:tc>
        <w:tc>
          <w:tcPr>
            <w:tcW w:w="2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SERP</w:t>
              </w:r>
            </w:hyperlink>
          </w:p>
        </w:tc>
        <w:tc>
          <w:tcPr>
            <w:tcW w:w="640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Amendment No. 2 to SERP</w:t>
              </w:r>
            </w:hyperlink>
          </w:p>
        </w:tc>
        <w:tc>
          <w:tcPr>
            <w:tcW w:w="640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F. Edward Broadwell, Jr.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10.7B</w:t>
            </w: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Dana L. Stonestreet</w:t>
              </w:r>
            </w:hyperlink>
          </w:p>
        </w:tc>
        <w:tc>
          <w:tcPr>
            <w:tcW w:w="320" w:type="dxa"/>
            <w:vAlign w:val="bottom"/>
            <w:tcBorders>
              <w:top w:val="single" w:sz="8" w:color="0000FF"/>
            </w:tcBorders>
            <w:gridSpan w:val="3"/>
          </w:tcPr>
          <w:p>
            <w:pPr>
              <w:spacing w:after="0"/>
              <w:rPr>
                <w:sz w:val="17"/>
                <w:szCs w:val="17"/>
                <w:color w:val="auto"/>
              </w:rPr>
            </w:pPr>
          </w:p>
        </w:tc>
        <w:tc>
          <w:tcPr>
            <w:tcW w:w="46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10.7C</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10.7D</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Howard L. Sellinger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10.7E</w:t>
            </w:r>
          </w:p>
        </w:tc>
        <w:tc>
          <w:tcPr>
            <w:tcW w:w="20" w:type="dxa"/>
            <w:vAlign w:val="bottom"/>
          </w:tcPr>
          <w:p>
            <w:pPr>
              <w:spacing w:after="0"/>
              <w:rPr>
                <w:sz w:val="17"/>
                <w:szCs w:val="17"/>
                <w:color w:val="auto"/>
              </w:rPr>
            </w:pPr>
          </w:p>
        </w:tc>
        <w:tc>
          <w:tcPr>
            <w:tcW w:w="3260" w:type="dxa"/>
            <w:vAlign w:val="bottom"/>
            <w:tcBorders>
              <w:top w:val="single" w:sz="8" w:color="0000FF"/>
            </w:tcBorders>
            <w:gridSpan w:val="9"/>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Stan Allen</w:t>
              </w:r>
            </w:hyperlink>
          </w:p>
        </w:tc>
        <w:tc>
          <w:tcPr>
            <w:tcW w:w="49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10.7F</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Sidney A. Biesecker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10.7G</w:t>
            </w: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Peggy C. Melville</w:t>
              </w:r>
            </w:hyperlink>
          </w:p>
        </w:tc>
        <w:tc>
          <w:tcPr>
            <w:tcW w:w="140" w:type="dxa"/>
            <w:vAlign w:val="bottom"/>
            <w:tcBorders>
              <w:top w:val="single" w:sz="8" w:color="0000FF"/>
            </w:tcBorders>
            <w:gridSpan w:val="2"/>
          </w:tcPr>
          <w:p>
            <w:pPr>
              <w:spacing w:after="0"/>
              <w:rPr>
                <w:sz w:val="17"/>
                <w:szCs w:val="17"/>
                <w:color w:val="auto"/>
              </w:rPr>
            </w:pPr>
          </w:p>
        </w:tc>
        <w:tc>
          <w:tcPr>
            <w:tcW w:w="49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10.7H</w:t>
            </w:r>
          </w:p>
        </w:tc>
        <w:tc>
          <w:tcPr>
            <w:tcW w:w="20" w:type="dxa"/>
            <w:vAlign w:val="bottom"/>
          </w:tcPr>
          <w:p>
            <w:pPr>
              <w:spacing w:after="0"/>
              <w:rPr>
                <w:sz w:val="17"/>
                <w:szCs w:val="17"/>
                <w:color w:val="auto"/>
              </w:rPr>
            </w:pPr>
          </w:p>
        </w:tc>
        <w:tc>
          <w:tcPr>
            <w:tcW w:w="30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SERP Joinder Agreement for William T. Flynt</w:t>
              </w:r>
            </w:hyperlink>
          </w:p>
        </w:tc>
        <w:tc>
          <w:tcPr>
            <w:tcW w:w="51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10.7I</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Amended and Restated Supplemental Income Agreement between HomeTrust Bank, as successor to Industrial Federal</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80" w:type="dxa"/>
            <w:vAlign w:val="bottom"/>
            <w:tcBorders>
              <w:top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Savings Bank, and Sidney Biesecker</w:t>
              </w:r>
            </w:hyperlink>
          </w:p>
        </w:tc>
        <w:tc>
          <w:tcPr>
            <w:tcW w:w="5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HomeTrust Bank Director Emeritus Plan (“Director Emeritus Plan”)</w:t>
              </w:r>
            </w:hyperlink>
          </w:p>
        </w:tc>
        <w:tc>
          <w:tcPr>
            <w:tcW w:w="37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10.8A</w:t>
            </w:r>
          </w:p>
        </w:tc>
        <w:tc>
          <w:tcPr>
            <w:tcW w:w="20" w:type="dxa"/>
            <w:vAlign w:val="bottom"/>
          </w:tcPr>
          <w:p>
            <w:pPr>
              <w:spacing w:after="0"/>
              <w:rPr>
                <w:sz w:val="17"/>
                <w:szCs w:val="17"/>
                <w:color w:val="auto"/>
              </w:rPr>
            </w:pPr>
          </w:p>
        </w:tc>
        <w:tc>
          <w:tcPr>
            <w:tcW w:w="412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William T. Flynt</w:t>
              </w:r>
            </w:hyperlink>
          </w:p>
        </w:tc>
        <w:tc>
          <w:tcPr>
            <w:tcW w:w="40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10.8B</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J. Steven Goforth</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10.8C</w:t>
            </w:r>
          </w:p>
        </w:tc>
        <w:tc>
          <w:tcPr>
            <w:tcW w:w="20" w:type="dxa"/>
            <w:vAlign w:val="bottom"/>
          </w:tcPr>
          <w:p>
            <w:pPr>
              <w:spacing w:after="0"/>
              <w:rPr>
                <w:sz w:val="17"/>
                <w:szCs w:val="17"/>
                <w:color w:val="auto"/>
              </w:rPr>
            </w:pPr>
          </w:p>
        </w:tc>
        <w:tc>
          <w:tcPr>
            <w:tcW w:w="4180" w:type="dxa"/>
            <w:vAlign w:val="bottom"/>
            <w:tcBorders>
              <w:top w:val="single" w:sz="8" w:color="0000FF"/>
            </w:tcBorders>
            <w:gridSpan w:val="15"/>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Craig C. Koontz</w:t>
              </w:r>
            </w:hyperlink>
          </w:p>
        </w:tc>
        <w:tc>
          <w:tcPr>
            <w:tcW w:w="40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10.8D</w:t>
            </w:r>
          </w:p>
        </w:tc>
        <w:tc>
          <w:tcPr>
            <w:tcW w:w="20" w:type="dxa"/>
            <w:vAlign w:val="bottom"/>
          </w:tcPr>
          <w:p>
            <w:pPr>
              <w:spacing w:after="0"/>
              <w:rPr>
                <w:sz w:val="17"/>
                <w:szCs w:val="17"/>
                <w:color w:val="auto"/>
              </w:rPr>
            </w:pPr>
          </w:p>
        </w:tc>
        <w:tc>
          <w:tcPr>
            <w:tcW w:w="424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Larry S. McDevitt</w:t>
              </w:r>
            </w:hyperlink>
          </w:p>
        </w:tc>
        <w:tc>
          <w:tcPr>
            <w:tcW w:w="3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10.8E</w:t>
            </w:r>
          </w:p>
        </w:tc>
        <w:tc>
          <w:tcPr>
            <w:tcW w:w="20" w:type="dxa"/>
            <w:vAlign w:val="bottom"/>
          </w:tcPr>
          <w:p>
            <w:pPr>
              <w:spacing w:after="0"/>
              <w:rPr>
                <w:sz w:val="17"/>
                <w:szCs w:val="17"/>
                <w:color w:val="auto"/>
              </w:rPr>
            </w:pPr>
          </w:p>
        </w:tc>
        <w:tc>
          <w:tcPr>
            <w:tcW w:w="43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F.K. McFarland, III</w:t>
              </w:r>
            </w:hyperlink>
          </w:p>
        </w:tc>
        <w:tc>
          <w:tcPr>
            <w:tcW w:w="3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10.8F</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10.8G</w:t>
            </w:r>
          </w:p>
        </w:tc>
        <w:tc>
          <w:tcPr>
            <w:tcW w:w="20" w:type="dxa"/>
            <w:vAlign w:val="bottom"/>
          </w:tcPr>
          <w:p>
            <w:pPr>
              <w:spacing w:after="0"/>
              <w:rPr>
                <w:sz w:val="17"/>
                <w:szCs w:val="17"/>
                <w:color w:val="auto"/>
              </w:rPr>
            </w:pPr>
          </w:p>
        </w:tc>
        <w:tc>
          <w:tcPr>
            <w:tcW w:w="45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Director Emeritus Plan Joinder Agreement for Robert E. Shepherd, Sr.</w:t>
              </w:r>
            </w:hyperlink>
          </w:p>
        </w:tc>
        <w:tc>
          <w:tcPr>
            <w:tcW w:w="3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gridSpan w:val="8"/>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10.9A</w:t>
            </w:r>
          </w:p>
        </w:tc>
        <w:tc>
          <w:tcPr>
            <w:tcW w:w="20" w:type="dxa"/>
            <w:vAlign w:val="bottom"/>
          </w:tcPr>
          <w:p>
            <w:pPr>
              <w:spacing w:after="0"/>
              <w:rPr>
                <w:sz w:val="17"/>
                <w:szCs w:val="17"/>
                <w:color w:val="auto"/>
              </w:rPr>
            </w:pPr>
          </w:p>
        </w:tc>
        <w:tc>
          <w:tcPr>
            <w:tcW w:w="590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HomeTrust Bank Defined Contribution Executive Medical Care Plan</w:t>
              </w:r>
            </w:hyperlink>
          </w:p>
        </w:tc>
        <w:tc>
          <w:tcPr>
            <w:tcW w:w="2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10.9B</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Joinder Agreement Under the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10.9C</w:t>
            </w:r>
          </w:p>
        </w:tc>
        <w:tc>
          <w:tcPr>
            <w:tcW w:w="20" w:type="dxa"/>
            <w:vAlign w:val="bottom"/>
          </w:tcPr>
          <w:p>
            <w:pPr>
              <w:spacing w:after="0"/>
              <w:rPr>
                <w:sz w:val="17"/>
                <w:szCs w:val="17"/>
                <w:color w:val="auto"/>
              </w:rPr>
            </w:pPr>
          </w:p>
        </w:tc>
        <w:tc>
          <w:tcPr>
            <w:tcW w:w="5900" w:type="dxa"/>
            <w:vAlign w:val="bottom"/>
            <w:tcBorders>
              <w:top w:val="single" w:sz="8" w:color="0000FF"/>
              <w:bottom w:val="single" w:sz="8" w:color="0000FF"/>
            </w:tcBorders>
            <w:gridSpan w:val="29"/>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Amendment No. 2 to HomeTrust Bank Defined Contribution Executive Medical Care Plan</w:t>
              </w:r>
            </w:hyperlink>
          </w:p>
        </w:tc>
        <w:tc>
          <w:tcPr>
            <w:tcW w:w="1100" w:type="dxa"/>
            <w:vAlign w:val="bottom"/>
            <w:tcBorders>
              <w:top w:val="single" w:sz="8" w:color="0000FF"/>
            </w:tcBorders>
            <w:gridSpan w:val="4"/>
          </w:tcPr>
          <w:p>
            <w:pPr>
              <w:spacing w:after="0"/>
              <w:rPr>
                <w:sz w:val="17"/>
                <w:szCs w:val="17"/>
                <w:color w:val="auto"/>
              </w:rPr>
            </w:pPr>
          </w:p>
        </w:tc>
        <w:tc>
          <w:tcPr>
            <w:tcW w:w="1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10.9D</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Amendment No. 3 to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top w:val="single" w:sz="8" w:color="0000FF"/>
            </w:tcBorders>
            <w:gridSpan w:val="2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HomeTrust Bank 2005 Deferred Compensation Plan</w:t>
              </w:r>
            </w:hyperlink>
          </w:p>
        </w:tc>
        <w:tc>
          <w:tcPr>
            <w:tcW w:w="2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10.10A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HomeTrust Bank Pre-2005 Deferred Compensation Plan</w:t>
              </w:r>
            </w:hyperlink>
          </w:p>
        </w:tc>
        <w:tc>
          <w:tcPr>
            <w:tcW w:w="1120" w:type="dxa"/>
            <w:vAlign w:val="bottom"/>
            <w:tcBorders>
              <w:top w:val="single" w:sz="8" w:color="0000FF"/>
            </w:tcBorders>
            <w:gridSpan w:val="10"/>
          </w:tcPr>
          <w:p>
            <w:pPr>
              <w:spacing w:after="0"/>
              <w:rPr>
                <w:sz w:val="17"/>
                <w:szCs w:val="17"/>
                <w:color w:val="auto"/>
              </w:rPr>
            </w:pPr>
          </w:p>
        </w:tc>
        <w:tc>
          <w:tcPr>
            <w:tcW w:w="34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10.11A</w:t>
            </w:r>
          </w:p>
        </w:tc>
        <w:tc>
          <w:tcPr>
            <w:tcW w:w="20" w:type="dxa"/>
            <w:vAlign w:val="bottom"/>
          </w:tcPr>
          <w:p>
            <w:pPr>
              <w:spacing w:after="0"/>
              <w:rPr>
                <w:sz w:val="17"/>
                <w:szCs w:val="17"/>
                <w:color w:val="auto"/>
              </w:rPr>
            </w:pPr>
          </w:p>
        </w:tc>
        <w:tc>
          <w:tcPr>
            <w:tcW w:w="50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HomeTrust Bank Pre-2005 Deferred Compensation Plan</w:t>
              </w:r>
            </w:hyperlink>
          </w:p>
        </w:tc>
        <w:tc>
          <w:tcPr>
            <w:tcW w:w="31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HomeTrust Bank 2025 Deferred Compensation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HomeTrust Bancshares, Inc. 2013 Omnibus Incentive Plan (“2013 Omnibus Incentive Plan”)</w:t>
              </w:r>
            </w:hyperlink>
          </w:p>
        </w:tc>
        <w:tc>
          <w:tcPr>
            <w:tcW w:w="21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10.13A</w:t>
            </w:r>
          </w:p>
        </w:tc>
        <w:tc>
          <w:tcPr>
            <w:tcW w:w="20" w:type="dxa"/>
            <w:vAlign w:val="bottom"/>
          </w:tcPr>
          <w:p>
            <w:pPr>
              <w:spacing w:after="0"/>
              <w:rPr>
                <w:sz w:val="17"/>
                <w:szCs w:val="17"/>
                <w:color w:val="auto"/>
              </w:rPr>
            </w:pPr>
          </w:p>
        </w:tc>
        <w:tc>
          <w:tcPr>
            <w:tcW w:w="56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Incentive Stock Option Award Agreement under 2013 Omnibus Incentive Plan</w:t>
              </w:r>
            </w:hyperlink>
          </w:p>
        </w:tc>
        <w:tc>
          <w:tcPr>
            <w:tcW w:w="2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10.13B</w:t>
            </w:r>
          </w:p>
        </w:tc>
        <w:tc>
          <w:tcPr>
            <w:tcW w:w="20" w:type="dxa"/>
            <w:vAlign w:val="bottom"/>
          </w:tcPr>
          <w:p>
            <w:pPr>
              <w:spacing w:after="0"/>
              <w:rPr>
                <w:sz w:val="17"/>
                <w:szCs w:val="17"/>
                <w:color w:val="auto"/>
              </w:rPr>
            </w:pPr>
          </w:p>
        </w:tc>
        <w:tc>
          <w:tcPr>
            <w:tcW w:w="602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Non-Qualified Stock Option Award Agreement under 2013 Omnibus Incentive Plan</w:t>
              </w:r>
            </w:hyperlink>
          </w:p>
        </w:tc>
        <w:tc>
          <w:tcPr>
            <w:tcW w:w="21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10.13C</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Stock Appreciation Right Award Agreement under 2013 Omnibus Incentive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10.13D</w:t>
            </w:r>
          </w:p>
        </w:tc>
        <w:tc>
          <w:tcPr>
            <w:tcW w:w="20" w:type="dxa"/>
            <w:vAlign w:val="bottom"/>
          </w:tcPr>
          <w:p>
            <w:pPr>
              <w:spacing w:after="0"/>
              <w:rPr>
                <w:sz w:val="17"/>
                <w:szCs w:val="17"/>
                <w:color w:val="auto"/>
              </w:rPr>
            </w:pPr>
          </w:p>
        </w:tc>
        <w:tc>
          <w:tcPr>
            <w:tcW w:w="5820" w:type="dxa"/>
            <w:vAlign w:val="bottom"/>
            <w:tcBorders>
              <w:top w:val="single" w:sz="8" w:color="0000FF"/>
            </w:tcBorders>
            <w:gridSpan w:val="27"/>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Award Agreement under 2013 Omnibus Incentive Plan</w:t>
              </w:r>
            </w:hyperlink>
          </w:p>
        </w:tc>
        <w:tc>
          <w:tcPr>
            <w:tcW w:w="2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gridSpan w:val="2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10.13E</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Unit Award Agreement under 2013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53" w:lineRule="auto"/>
        <w:rPr>
          <w:sz w:val="20"/>
          <w:szCs w:val="20"/>
          <w:color w:val="auto"/>
        </w:rPr>
      </w:pPr>
      <w:r>
        <w:rPr>
          <w:rFonts w:ascii="Times New Roman" w:cs="Times New Roman" w:eastAsia="Times New Roman" w:hAnsi="Times New Roman"/>
          <w:sz w:val="15"/>
          <w:szCs w:val="15"/>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-1270</wp:posOffset>
            </wp:positionV>
            <wp:extent cx="1105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6"/>
          <w:szCs w:val="16"/>
          <w:color w:val="auto"/>
        </w:rPr>
        <w:t>(n)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(h)</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(l)</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ectPr>
          <w:pgSz w:w="11900" w:h="16838" w:orient="portrait"/>
          <w:cols w:equalWidth="0" w:num="2">
            <w:col w:w="9400" w:space="340"/>
            <w:col w:w="1260"/>
          </w:cols>
          <w:pgMar w:left="320" w:top="934" w:right="5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to Prior</w:t>
            </w:r>
          </w:p>
        </w:tc>
        <w:tc>
          <w:tcPr>
            <w:tcW w:w="0" w:type="dxa"/>
            <w:vAlign w:val="bottom"/>
          </w:tcPr>
          <w:p>
            <w:pPr>
              <w:spacing w:after="0"/>
              <w:rPr>
                <w:sz w:val="1"/>
                <w:szCs w:val="1"/>
                <w:color w:val="auto"/>
              </w:rPr>
            </w:pPr>
          </w:p>
        </w:tc>
      </w:tr>
      <w:tr>
        <w:trPr>
          <w:trHeight w:val="162"/>
        </w:trPr>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gridSpan w:val="18"/>
            <w:vMerge w:val="restart"/>
          </w:tcPr>
          <w:p>
            <w:pPr>
              <w:ind w:left="374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Filing or Exhibit #</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20" w:type="dxa"/>
            <w:vAlign w:val="bottom"/>
          </w:tcPr>
          <w:p>
            <w:pPr>
              <w:spacing w:after="0"/>
              <w:rPr>
                <w:sz w:val="18"/>
                <w:szCs w:val="18"/>
                <w:color w:val="auto"/>
              </w:rPr>
            </w:pPr>
          </w:p>
        </w:tc>
        <w:tc>
          <w:tcPr>
            <w:tcW w:w="8300" w:type="dxa"/>
            <w:vAlign w:val="bottom"/>
            <w:gridSpan w:val="18"/>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171"/>
        </w:trPr>
        <w:tc>
          <w:tcPr>
            <w:tcW w:w="10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40" w:type="dxa"/>
            <w:vAlign w:val="bottom"/>
            <w:tcBorders>
              <w:top w:val="single" w:sz="8" w:color="auto"/>
              <w:bottom w:val="single" w:sz="8" w:color="0000FF"/>
            </w:tcBorders>
            <w:gridSpan w:val="4"/>
          </w:tcPr>
          <w:p>
            <w:pPr>
              <w:spacing w:after="0" w:line="171"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HomeTrust Bancshares, Inc. 2022 Omnibus Incentive Plan (“2022 Omnibus Incentive Plan”)</w:t>
              </w:r>
            </w:hyperlink>
          </w:p>
        </w:tc>
        <w:tc>
          <w:tcPr>
            <w:tcW w:w="2160" w:type="dxa"/>
            <w:vAlign w:val="bottom"/>
            <w:tcBorders>
              <w:top w:val="single" w:sz="8" w:color="auto"/>
            </w:tcBorders>
            <w:gridSpan w:val="13"/>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6"/>
              </w:rPr>
              <w:t>(q)</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10.14A</w:t>
            </w:r>
          </w:p>
        </w:tc>
        <w:tc>
          <w:tcPr>
            <w:tcW w:w="20" w:type="dxa"/>
            <w:vAlign w:val="bottom"/>
          </w:tcPr>
          <w:p>
            <w:pPr>
              <w:spacing w:after="0"/>
              <w:rPr>
                <w:sz w:val="17"/>
                <w:szCs w:val="17"/>
                <w:color w:val="auto"/>
              </w:rPr>
            </w:pPr>
          </w:p>
        </w:tc>
        <w:tc>
          <w:tcPr>
            <w:tcW w:w="70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Non-Qualified Stock Option Award Agreement under the Registrant’s 2022 Omnibus Incentive Plan</w:t>
              </w:r>
            </w:hyperlink>
          </w:p>
        </w:tc>
        <w:tc>
          <w:tcPr>
            <w:tcW w:w="1220" w:type="dxa"/>
            <w:vAlign w:val="bottom"/>
            <w:gridSpan w:val="9"/>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(u)</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10.14B</w:t>
            </w:r>
          </w:p>
        </w:tc>
        <w:tc>
          <w:tcPr>
            <w:tcW w:w="20" w:type="dxa"/>
            <w:vAlign w:val="bottom"/>
          </w:tcPr>
          <w:p>
            <w:pPr>
              <w:spacing w:after="0"/>
              <w:rPr>
                <w:sz w:val="17"/>
                <w:szCs w:val="17"/>
                <w:color w:val="auto"/>
              </w:rPr>
            </w:pPr>
          </w:p>
        </w:tc>
        <w:tc>
          <w:tcPr>
            <w:tcW w:w="8300" w:type="dxa"/>
            <w:vAlign w:val="bottom"/>
            <w:gridSpan w:val="18"/>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Restricted Stock Award Agreement for Employees under the Registrant’s 2022 Omnibus Incentive Plan</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(u)</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10.14C</w:t>
            </w:r>
          </w:p>
        </w:tc>
        <w:tc>
          <w:tcPr>
            <w:tcW w:w="20" w:type="dxa"/>
            <w:vAlign w:val="bottom"/>
          </w:tcPr>
          <w:p>
            <w:pPr>
              <w:spacing w:after="0"/>
              <w:rPr>
                <w:sz w:val="17"/>
                <w:szCs w:val="17"/>
                <w:color w:val="auto"/>
              </w:rPr>
            </w:pPr>
          </w:p>
        </w:tc>
        <w:tc>
          <w:tcPr>
            <w:tcW w:w="7280" w:type="dxa"/>
            <w:vAlign w:val="bottom"/>
            <w:tcBorders>
              <w:top w:val="single" w:sz="8" w:color="0000FF"/>
            </w:tcBorders>
            <w:gridSpan w:val="11"/>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Form of Restricted Stock Award Agreement for Directors under the Registrant’s 2022 Omnibus Incentive Plan</w:t>
              </w:r>
            </w:hyperlink>
          </w:p>
        </w:tc>
        <w:tc>
          <w:tcPr>
            <w:tcW w:w="1020" w:type="dxa"/>
            <w:vAlign w:val="bottom"/>
            <w:gridSpan w:val="7"/>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(u)</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Amended and Restated Change in Control Severance Agreement between HomeTrust Bancshares, Inc. and John Sprink</w:t>
              </w:r>
            </w:hyperlink>
          </w:p>
        </w:tc>
        <w:tc>
          <w:tcPr>
            <w:tcW w:w="540" w:type="dxa"/>
            <w:vAlign w:val="bottom"/>
            <w:gridSpan w:val="4"/>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Change in Control Severance Agreement between HomeTrust Bancshares, Inc. and Kristin Powell</w:t>
              </w:r>
            </w:hyperlink>
          </w:p>
        </w:tc>
        <w:tc>
          <w:tcPr>
            <w:tcW w:w="1920" w:type="dxa"/>
            <w:vAlign w:val="bottom"/>
            <w:gridSpan w:val="11"/>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10.16A</w:t>
            </w:r>
          </w:p>
        </w:tc>
        <w:tc>
          <w:tcPr>
            <w:tcW w:w="20" w:type="dxa"/>
            <w:vAlign w:val="bottom"/>
          </w:tcPr>
          <w:p>
            <w:pPr>
              <w:spacing w:after="0"/>
              <w:rPr>
                <w:sz w:val="17"/>
                <w:szCs w:val="17"/>
                <w:color w:val="auto"/>
              </w:rPr>
            </w:pPr>
          </w:p>
        </w:tc>
        <w:tc>
          <w:tcPr>
            <w:tcW w:w="830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Change in Control Severance Agreement between HomeTrust Bancshares, Inc. and Kristin Powell</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top w:val="single" w:sz="8" w:color="0000FF"/>
            </w:tcBorders>
            <w:gridSpan w:val="15"/>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Change in Control Severance Agreement between HomeTrust Bancshares, Inc. and Megan Pelletier</w:t>
              </w:r>
            </w:hyperlink>
          </w:p>
        </w:tc>
        <w:tc>
          <w:tcPr>
            <w:tcW w:w="520" w:type="dxa"/>
            <w:vAlign w:val="bottom"/>
            <w:gridSpan w:val="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Change in Control Severance Agreement between HomeTrust Bancshares, Inc. and Lora Jex</w:t>
              </w:r>
            </w:hyperlink>
          </w:p>
        </w:tc>
        <w:tc>
          <w:tcPr>
            <w:tcW w:w="1840" w:type="dxa"/>
            <w:vAlign w:val="bottom"/>
            <w:gridSpan w:val="10"/>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Change in Control Severance Agreement between HomeTrust Bancshares, Inc. and Chuck Sivley</w:t>
              </w:r>
            </w:hyperlink>
          </w:p>
        </w:tc>
        <w:tc>
          <w:tcPr>
            <w:tcW w:w="1980" w:type="dxa"/>
            <w:vAlign w:val="bottom"/>
            <w:gridSpan w:val="1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Change in Control Severance Agreement between HomeTrust Bancshares, Inc. and Kevin Nunley</w:t>
              </w:r>
            </w:hyperlink>
          </w:p>
        </w:tc>
        <w:tc>
          <w:tcPr>
            <w:tcW w:w="1940" w:type="dxa"/>
            <w:vAlign w:val="bottom"/>
            <w:gridSpan w:val="12"/>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Securities Exchange Act Rules 13a-14(a) and 15d-14(a) as adopted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900" w:type="dxa"/>
            <w:vAlign w:val="bottom"/>
            <w:tcBorders>
              <w:top w:val="single" w:sz="8" w:color="0000FF"/>
            </w:tcBorders>
            <w:gridSpan w:val="12"/>
          </w:tcPr>
          <w:p>
            <w:pPr>
              <w:spacing w:after="0"/>
              <w:rPr>
                <w:sz w:val="12"/>
                <w:szCs w:val="12"/>
                <w:color w:val="auto"/>
              </w:rPr>
            </w:pPr>
          </w:p>
        </w:tc>
        <w:tc>
          <w:tcPr>
            <w:tcW w:w="42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Securities Exchange Act Rules 13a-14(a) and 15d-14(a) as adopted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860" w:type="dxa"/>
            <w:vAlign w:val="bottom"/>
            <w:tcBorders>
              <w:top w:val="single" w:sz="8" w:color="0000FF"/>
            </w:tcBorders>
            <w:gridSpan w:val="11"/>
          </w:tcPr>
          <w:p>
            <w:pPr>
              <w:spacing w:after="0"/>
              <w:rPr>
                <w:sz w:val="12"/>
                <w:szCs w:val="12"/>
                <w:color w:val="auto"/>
              </w:rPr>
            </w:pPr>
          </w:p>
        </w:tc>
        <w:tc>
          <w:tcPr>
            <w:tcW w:w="46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Certificate of Chief Executive Officer and Chief Financial Officer pursuant to Section 906 of the Sarbanes-Oxley Act of 2002</w:t>
            </w:r>
          </w:p>
        </w:tc>
        <w:tc>
          <w:tcPr>
            <w:tcW w:w="140" w:type="dxa"/>
            <w:vAlign w:val="bottom"/>
            <w:gridSpan w:val="2"/>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Policy Relating to Recovery of Erroneously Awarded Compensation</w:t>
              </w:r>
            </w:hyperlink>
          </w:p>
        </w:tc>
        <w:tc>
          <w:tcPr>
            <w:tcW w:w="3860" w:type="dxa"/>
            <w:vAlign w:val="bottom"/>
            <w:gridSpan w:val="16"/>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0" w:type="dxa"/>
            <w:vAlign w:val="bottom"/>
          </w:tcPr>
          <w:p>
            <w:pPr>
              <w:spacing w:after="0"/>
              <w:rPr>
                <w:sz w:val="1"/>
                <w:szCs w:val="1"/>
                <w:color w:val="auto"/>
              </w:rPr>
            </w:pPr>
          </w:p>
        </w:tc>
      </w:tr>
      <w:tr>
        <w:trPr>
          <w:trHeight w:val="183"/>
        </w:trPr>
        <w:tc>
          <w:tcPr>
            <w:tcW w:w="10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auto"/>
              </w:rPr>
              <w:t>The following materials from HomeTrust Bancshares’ Annual Report on Form 10-K for the year ended December 31, 2024,</w:t>
            </w:r>
          </w:p>
        </w:tc>
        <w:tc>
          <w:tcPr>
            <w:tcW w:w="1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auto"/>
              </w:rPr>
              <w:t>formatted in Extensible Business Reporting Language (XBRL): (a) Consolidated Balance Sheets; (b) Consolidated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auto"/>
              </w:rPr>
              <w:t>Statements of Income; (c) Consolidated Statements of Comprehensive Income; (d) Consolidated Statements of Changes in</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Stockholders' Equity; (e) Consolidated Statements of Cash Flows; and (f) Notes to Consolidated Financial Statements.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2022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25,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S-1 filed on December 29, 2011 (File No. 333-178817).</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May 24,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Transition Report on Form 10-KT for the-six month transition period ended December 31,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11,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October 28, 2020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Amendment No. 1 to HomeTrust Bancshares's Registration Statement on Form S-1 filed on March 9, 2012 (File No. 333-178817).</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December 5, 2012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filed on February 13, 2013 (File No. 333-186666).</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15,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December 31,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July 28, 2021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October 3,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August 28,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filed on February 6, 2023 (File No. 333-186666).</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June 30,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11, 2025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April 1, 2025 (File No. 001-35593).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812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r>
      <w:tr>
        <w:trPr>
          <w:trHeight w:val="31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8, 2025</w:t>
            </w:r>
          </w:p>
        </w:tc>
        <w:tc>
          <w:tcPr>
            <w:tcW w:w="25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30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3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r>
      <w:tr>
        <w:trPr>
          <w:trHeight w:val="31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8, 2025</w:t>
            </w:r>
          </w:p>
        </w:tc>
        <w:tc>
          <w:tcPr>
            <w:tcW w:w="25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Tony J. VunCannon</w:t>
            </w:r>
          </w:p>
        </w:tc>
      </w:tr>
      <w:tr>
        <w:trPr>
          <w:trHeight w:val="207"/>
        </w:trPr>
        <w:tc>
          <w:tcPr>
            <w:tcW w:w="30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Tony J. VunCannon</w:t>
            </w:r>
          </w:p>
        </w:tc>
      </w:tr>
      <w:tr>
        <w:trPr>
          <w:trHeight w:val="216"/>
        </w:trPr>
        <w:tc>
          <w:tcPr>
            <w:tcW w:w="3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tc>
      </w:tr>
      <w:tr>
        <w:trPr>
          <w:trHeight w:val="216"/>
        </w:trPr>
        <w:tc>
          <w:tcPr>
            <w:tcW w:w="3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89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 Hunter Westbrook, certify that:</w:t>
      </w:r>
    </w:p>
    <w:p>
      <w:pPr>
        <w:spacing w:after="0" w:line="16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780" w:val="left"/>
          <w:tab w:leader="none" w:pos="5780" w:val="left"/>
        </w:tabs>
        <w:rPr>
          <w:sz w:val="20"/>
          <w:szCs w:val="20"/>
          <w:color w:val="auto"/>
        </w:rPr>
      </w:pPr>
      <w:r>
        <w:rPr>
          <w:rFonts w:ascii="Times New Roman" w:cs="Times New Roman" w:eastAsia="Times New Roman" w:hAnsi="Times New Roman"/>
          <w:sz w:val="16"/>
          <w:szCs w:val="16"/>
          <w:color w:val="auto"/>
        </w:rPr>
        <w:t>August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20320</wp:posOffset>
            </wp:positionV>
            <wp:extent cx="34715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89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780" w:val="left"/>
          <w:tab w:leader="none" w:pos="5780" w:val="left"/>
        </w:tabs>
        <w:rPr>
          <w:sz w:val="20"/>
          <w:szCs w:val="20"/>
          <w:color w:val="auto"/>
        </w:rPr>
      </w:pPr>
      <w:r>
        <w:rPr>
          <w:rFonts w:ascii="Times New Roman" w:cs="Times New Roman" w:eastAsia="Times New Roman" w:hAnsi="Times New Roman"/>
          <w:sz w:val="16"/>
          <w:szCs w:val="16"/>
          <w:color w:val="auto"/>
        </w:rPr>
        <w:t>August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20320</wp:posOffset>
            </wp:positionV>
            <wp:extent cx="3471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p>
      <w:pPr>
        <w:sectPr>
          <w:pgSz w:w="11900" w:h="16838" w:orient="portrait"/>
          <w:cols w:equalWidth="0" w:num="1">
            <w:col w:w="11240"/>
          </w:cols>
          <w:pgMar w:left="320" w:top="89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the undersigned hereby certifies in his capacity as an officer of HomeTrust Bancshares, Inc. (the "Company") that the Quarterly Report of the Company on Form 10-Q for the period ended June 30, 2025,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66" w:lineRule="exact"/>
        <w:rPr>
          <w:sz w:val="20"/>
          <w:szCs w:val="20"/>
          <w:color w:val="auto"/>
        </w:rPr>
      </w:pPr>
    </w:p>
    <w:p>
      <w:pPr>
        <w:ind w:left="20"/>
        <w:spacing w:after="0"/>
        <w:tabs>
          <w:tab w:leader="none" w:pos="4780" w:val="left"/>
          <w:tab w:leader="none" w:pos="5620" w:val="left"/>
        </w:tabs>
        <w:rPr>
          <w:sz w:val="20"/>
          <w:szCs w:val="20"/>
          <w:color w:val="auto"/>
        </w:rPr>
      </w:pPr>
      <w:r>
        <w:rPr>
          <w:rFonts w:ascii="Times New Roman" w:cs="Times New Roman" w:eastAsia="Times New Roman" w:hAnsi="Times New Roman"/>
          <w:sz w:val="16"/>
          <w:szCs w:val="16"/>
          <w:color w:val="auto"/>
        </w:rPr>
        <w:t>August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780" w:val="left"/>
          <w:tab w:leader="none" w:pos="5620" w:val="left"/>
        </w:tabs>
        <w:rPr>
          <w:sz w:val="20"/>
          <w:szCs w:val="20"/>
          <w:color w:val="auto"/>
        </w:rPr>
      </w:pPr>
      <w:r>
        <w:rPr>
          <w:rFonts w:ascii="Times New Roman" w:cs="Times New Roman" w:eastAsia="Times New Roman" w:hAnsi="Times New Roman"/>
          <w:sz w:val="16"/>
          <w:szCs w:val="16"/>
          <w:color w:val="auto"/>
        </w:rPr>
        <w:t>August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6"/>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9"/>
    </w:lvl>
  </w:abstractNum>
  <w:abstractNum w:abstractNumId="9">
    <w:nsid w:val="2443A858"/>
    <w:multiLevelType w:val="hybridMultilevel"/>
    <w:lvl w:ilvl="0">
      <w:lvlJc w:val="left"/>
      <w:lvlText w:val="%1."/>
      <w:numFmt w:val="decimal"/>
      <w:start w:val="10"/>
    </w:lvl>
  </w:abstractNum>
  <w:abstractNum w:abstractNumId="10">
    <w:nsid w:val="2D1D5AE9"/>
    <w:multiLevelType w:val="hybridMultilevel"/>
    <w:lvl w:ilvl="0">
      <w:lvlJc w:val="left"/>
      <w:lvlText w:val="%1."/>
      <w:numFmt w:val="decimal"/>
      <w:start w:val="1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2"/>
    </w:lvl>
  </w:abstractNum>
  <w:abstractNum w:abstractNumId="13">
    <w:nsid w:val="8EDBDAB"/>
    <w:multiLevelType w:val="hybridMultilevel"/>
    <w:lvl w:ilvl="0">
      <w:lvlJc w:val="left"/>
      <w:lvlText w:val="%1."/>
      <w:numFmt w:val="decimal"/>
      <w:start w:val="13"/>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4"/>
    </w:lvl>
  </w:abstractNum>
  <w:abstractNum w:abstractNumId="16">
    <w:nsid w:val="B03E0C6"/>
    <w:multiLevelType w:val="hybridMultilevel"/>
    <w:lvl w:ilvl="0">
      <w:lvlJc w:val="left"/>
      <w:lvlText w:val="%1."/>
      <w:numFmt w:val="decimal"/>
      <w:start w:val="15"/>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54" Type="http://schemas.openxmlformats.org/officeDocument/2006/relationships/hyperlink" Target="https://www.sec.gov/Archives/edgar/data/1538263/000119312511355607/0001193125-11-355607-index.htm" TargetMode="External"/><Relationship Id="rId55" Type="http://schemas.openxmlformats.org/officeDocument/2006/relationships/hyperlink" Target="https://www.sec.gov/ix?doc=/Archives/edgar/data/1538263/000153826325000015/htbi-20250210.htm" TargetMode="External"/><Relationship Id="rId57" Type="http://schemas.openxmlformats.org/officeDocument/2006/relationships/hyperlink" Target="https://www.sec.gov/ix?doc=/Archives/edgar/data/0001538263/000153826325000040/htbi-20241231.htm" TargetMode="External"/><Relationship Id="rId58" Type="http://schemas.openxmlformats.org/officeDocument/2006/relationships/hyperlink" Target="https://www.sec.gov/ix?doc=/Archives/edgar/data/0001538263/000153826322000047/htbi-20220630.htm" TargetMode="External"/><Relationship Id="rId59" Type="http://schemas.openxmlformats.org/officeDocument/2006/relationships/hyperlink" Target="https://www.sec.gov/Archives/edgar/data/1538263/000153826318000044/htbi-20180911x8k.htm" TargetMode="External"/><Relationship Id="rId60" Type="http://schemas.openxmlformats.org/officeDocument/2006/relationships/hyperlink" Target="https://www.sec.gov/Archives/edgar/data/1538263/000153826318000049/htbi-20180925x8k.htm" TargetMode="External"/><Relationship Id="rId61" Type="http://schemas.openxmlformats.org/officeDocument/2006/relationships/hyperlink" Target="https://www.sec.gov/ix?doc=/Archives/edgar/data/0001538263/000153826320000039/htbi-20201027.htm" TargetMode="External"/><Relationship Id="rId62" Type="http://schemas.openxmlformats.org/officeDocument/2006/relationships/hyperlink" Target="https://www.sec.gov/ix?doc=/Archives/edgar/data/0001538263/000153826321000053/htbi-20210726.htm" TargetMode="External"/><Relationship Id="rId63" Type="http://schemas.openxmlformats.org/officeDocument/2006/relationships/hyperlink" Target="https://www.sec.gov/ix?doc=/Archives/edgar/data/0001538263/000153826322000024/htbi-20220523.htm" TargetMode="External"/><Relationship Id="rId64" Type="http://schemas.openxmlformats.org/officeDocument/2006/relationships/hyperlink" Target="https://www.sec.gov/ix?doc=/Archives/edgar/data/0001538263/000153826322000021/htbi-20220331.htm" TargetMode="External"/><Relationship Id="rId65" Type="http://schemas.openxmlformats.org/officeDocument/2006/relationships/hyperlink" Target="https://www.sec.gov/ix?doc=/Archives/edgar/data/0001538263/000153826322000009/htbi-20220211.htm" TargetMode="External"/><Relationship Id="rId66" Type="http://schemas.openxmlformats.org/officeDocument/2006/relationships/hyperlink" Target="https://www.sec.gov/Archives/edgar/data/1538263/000119312512107294/0001193125-12-107294-index.htm" TargetMode="External"/><Relationship Id="rId67" Type="http://schemas.openxmlformats.org/officeDocument/2006/relationships/hyperlink" Target="https://www.sec.gov/Archives/edgar/data/1538263/000153826322000058/0001538263-22-000058-index.htm" TargetMode="External"/><Relationship Id="rId68" Type="http://schemas.openxmlformats.org/officeDocument/2006/relationships/hyperlink" Target="https://www.sec.gov/ix?doc=/Archives/edgar/data/0001538263/000153826323000038/htbi-20230828.htm" TargetMode="External"/><Relationship Id="rId69" Type="http://schemas.openxmlformats.org/officeDocument/2006/relationships/hyperlink" Target="https://www.sec.gov/ix?doc=/Archives/edgar/data/0001538263/000153826325000042/htbi-20250327.htm" TargetMode="External"/><Relationship Id="rId70" Type="http://schemas.openxmlformats.org/officeDocument/2006/relationships/hyperlink" Target="https://www.sec.gov/Archives/edgar/data/1538263/000092708912000332/htbi-def14a2012.htm" TargetMode="External"/><Relationship Id="rId71" Type="http://schemas.openxmlformats.org/officeDocument/2006/relationships/hyperlink" Target="https://www.sec.gov/Archives/edgar/data/1538263/000092708913000038/0000927089-13-000038-index.htm" TargetMode="External"/><Relationship Id="rId74" Type="http://schemas.openxmlformats.org/officeDocument/2006/relationships/hyperlink" Target="https://www.sec.gov/Archives/edgar/data/1538263/000110465922104918/tm2226697d1_def14a.htm" TargetMode="External"/><Relationship Id="rId75" Type="http://schemas.openxmlformats.org/officeDocument/2006/relationships/hyperlink" Target="https://www.sec.gov/Archives/edgar/data/1538263/000110465923011174/tm235386d1_s8.htm" TargetMode="External"/><Relationship Id="rId76" Type="http://schemas.openxmlformats.org/officeDocument/2006/relationships/hyperlink" Target="https://www.sec.gov/ix?doc=/Archives/edgar/data/1538263/000153826323000047/htbi-20230630.htm" TargetMode="External"/><Relationship Id="rId77" Type="http://schemas.openxmlformats.org/officeDocument/2006/relationships/hyperlink" Target="https://www.sec.gov/ix?doc=/Archives/edgar/data/0001538263/000153826323000056/htbi-20230930.htm" TargetMode="External"/><Relationship Id="rId78" Type="http://schemas.openxmlformats.org/officeDocument/2006/relationships/hyperlink" Target="https://www.sec.gov/ix?doc=/Archives/edgar/data/1538263/000153826324000087/htbi-20240630.htm" TargetMode="External"/><Relationship Id="rId79" Type="http://schemas.openxmlformats.org/officeDocument/2006/relationships/hyperlink" Target="https://www.sec.gov/ix?doc=/Archives/edgar/data/0001538263/000153826324000105/htbi-20240930.htm" TargetMode="External"/><Relationship Id="rId80" Type="http://schemas.openxmlformats.org/officeDocument/2006/relationships/hyperlink" Target="https://www.sec.gov/ix?doc=/Archives/edgar/data/0001538263/000153826324000029/htbi-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2025-08-08T15:27:27Z</dcterms:created>
  <dcterms:modified xsi:type="dcterms:W3CDTF">2025-08-08T15:27:27Z</dcterms:modified>
</cp:coreProperties>
</file>