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Washington, D.C. 20549</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0" w:lineRule="exact"/>
        <w:rPr>
          <w:sz w:val="24"/>
          <w:szCs w:val="24"/>
          <w:color w:val="auto"/>
        </w:rPr>
      </w:pPr>
    </w:p>
    <w:p>
      <w:pPr>
        <w:ind w:left="500" w:hanging="495"/>
        <w:spacing w:after="0"/>
        <w:tabs>
          <w:tab w:leader="none" w:pos="5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QUARTERLY REPORT UNDER SECTION 13 OR 15(d) OF THE SECURITIES EXCHANGE ACT OF 1934</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 xml:space="preserve">For the quarterly period ended </w:t>
      </w:r>
      <w:r>
        <w:rPr>
          <w:rFonts w:ascii="Arial" w:cs="Arial" w:eastAsia="Arial" w:hAnsi="Arial"/>
          <w:sz w:val="13"/>
          <w:szCs w:val="13"/>
          <w:b w:val="1"/>
          <w:bCs w:val="1"/>
          <w:u w:val="single" w:color="auto"/>
          <w:color w:val="auto"/>
        </w:rPr>
        <w:t>September 30, 2022</w:t>
      </w:r>
    </w:p>
    <w:p>
      <w:pPr>
        <w:spacing w:after="0" w:line="205" w:lineRule="exact"/>
        <w:rPr>
          <w:sz w:val="24"/>
          <w:szCs w:val="24"/>
          <w:color w:val="auto"/>
        </w:rPr>
      </w:pPr>
    </w:p>
    <w:p>
      <w:pPr>
        <w:ind w:left="500" w:hanging="495"/>
        <w:spacing w:after="0"/>
        <w:tabs>
          <w:tab w:leader="none" w:pos="50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UNDER SECTION 13 OR 15(d) OF THE SECURITIES EXCHANGE ACT OF 1934</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000" w:type="dxa"/>
            <w:vAlign w:val="bottom"/>
            <w:gridSpan w:val="5"/>
          </w:tcPr>
          <w:p>
            <w:pPr>
              <w:jc w:val="center"/>
              <w:ind w:right="4196"/>
              <w:spacing w:after="0"/>
              <w:rPr>
                <w:sz w:val="20"/>
                <w:szCs w:val="20"/>
                <w:color w:val="auto"/>
              </w:rPr>
            </w:pPr>
            <w:r>
              <w:rPr>
                <w:rFonts w:ascii="Arial" w:cs="Arial" w:eastAsia="Arial" w:hAnsi="Arial"/>
                <w:sz w:val="13"/>
                <w:szCs w:val="13"/>
                <w:color w:val="auto"/>
                <w:w w:val="89"/>
              </w:rPr>
              <w:t>For the transition period from _______ to ________</w:t>
            </w:r>
          </w:p>
        </w:tc>
      </w:tr>
      <w:tr>
        <w:trPr>
          <w:trHeight w:val="340"/>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4"/>
          </w:tcPr>
          <w:p>
            <w:pPr>
              <w:jc w:val="center"/>
              <w:ind w:right="4536"/>
              <w:spacing w:after="0"/>
              <w:rPr>
                <w:sz w:val="20"/>
                <w:szCs w:val="20"/>
                <w:color w:val="auto"/>
              </w:rPr>
            </w:pPr>
            <w:r>
              <w:rPr>
                <w:rFonts w:ascii="Arial" w:cs="Arial" w:eastAsia="Arial" w:hAnsi="Arial"/>
                <w:sz w:val="13"/>
                <w:szCs w:val="13"/>
                <w:color w:val="auto"/>
                <w:w w:val="93"/>
              </w:rPr>
              <w:t xml:space="preserve">Commission file number:   </w:t>
            </w:r>
            <w:r>
              <w:rPr>
                <w:rFonts w:ascii="Arial" w:cs="Arial" w:eastAsia="Arial" w:hAnsi="Arial"/>
                <w:sz w:val="13"/>
                <w:szCs w:val="13"/>
                <w:b w:val="1"/>
                <w:bCs w:val="1"/>
                <w:color w:val="auto"/>
                <w:w w:val="93"/>
              </w:rPr>
              <w:t>001-35593</w:t>
            </w:r>
          </w:p>
        </w:tc>
      </w:tr>
      <w:tr>
        <w:trPr>
          <w:trHeight w:val="323"/>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HOMETRUST BANCSHARES, INC.</w:t>
            </w:r>
          </w:p>
        </w:tc>
        <w:tc>
          <w:tcPr>
            <w:tcW w:w="4600" w:type="dxa"/>
            <w:vAlign w:val="bottom"/>
          </w:tcPr>
          <w:p>
            <w:pPr>
              <w:spacing w:after="0"/>
              <w:rPr>
                <w:sz w:val="24"/>
                <w:szCs w:val="24"/>
                <w:color w:val="auto"/>
              </w:rPr>
            </w:pPr>
          </w:p>
        </w:tc>
      </w:tr>
      <w:tr>
        <w:trPr>
          <w:trHeight w:val="156"/>
        </w:trPr>
        <w:tc>
          <w:tcPr>
            <w:tcW w:w="4280" w:type="dxa"/>
            <w:vAlign w:val="bottom"/>
          </w:tcPr>
          <w:p>
            <w:pPr>
              <w:spacing w:after="0"/>
              <w:rPr>
                <w:sz w:val="13"/>
                <w:szCs w:val="13"/>
                <w:color w:val="auto"/>
              </w:rPr>
            </w:pPr>
          </w:p>
        </w:tc>
        <w:tc>
          <w:tcPr>
            <w:tcW w:w="7000" w:type="dxa"/>
            <w:vAlign w:val="bottom"/>
            <w:gridSpan w:val="5"/>
          </w:tcPr>
          <w:p>
            <w:pPr>
              <w:jc w:val="center"/>
              <w:ind w:right="4216"/>
              <w:spacing w:after="0"/>
              <w:rPr>
                <w:sz w:val="20"/>
                <w:szCs w:val="20"/>
                <w:color w:val="auto"/>
              </w:rPr>
            </w:pPr>
            <w:r>
              <w:rPr>
                <w:rFonts w:ascii="Arial" w:cs="Arial" w:eastAsia="Arial" w:hAnsi="Arial"/>
                <w:sz w:val="13"/>
                <w:szCs w:val="13"/>
                <w:color w:val="auto"/>
                <w:w w:val="89"/>
              </w:rPr>
              <w:t>(Exact name of registrant as specified in its charter)</w:t>
            </w:r>
          </w:p>
        </w:tc>
      </w:tr>
      <w:tr>
        <w:trPr>
          <w:trHeight w:val="257"/>
        </w:trPr>
        <w:tc>
          <w:tcPr>
            <w:tcW w:w="4280" w:type="dxa"/>
            <w:vAlign w:val="bottom"/>
          </w:tcPr>
          <w:p>
            <w:pPr>
              <w:jc w:val="center"/>
              <w:ind w:left="1076"/>
              <w:spacing w:after="0"/>
              <w:rPr>
                <w:sz w:val="20"/>
                <w:szCs w:val="20"/>
                <w:color w:val="auto"/>
              </w:rPr>
            </w:pPr>
            <w:r>
              <w:rPr>
                <w:rFonts w:ascii="Arial" w:cs="Arial" w:eastAsia="Arial" w:hAnsi="Arial"/>
                <w:sz w:val="13"/>
                <w:szCs w:val="13"/>
                <w:b w:val="1"/>
                <w:bCs w:val="1"/>
                <w:color w:val="auto"/>
                <w:w w:val="94"/>
              </w:rPr>
              <w:t>Maryland</w:t>
            </w:r>
          </w:p>
        </w:tc>
        <w:tc>
          <w:tcPr>
            <w:tcW w:w="7000" w:type="dxa"/>
            <w:vAlign w:val="bottom"/>
            <w:gridSpan w:val="5"/>
          </w:tcPr>
          <w:p>
            <w:pPr>
              <w:jc w:val="right"/>
              <w:ind w:right="2176"/>
              <w:spacing w:after="0"/>
              <w:rPr>
                <w:sz w:val="20"/>
                <w:szCs w:val="20"/>
                <w:color w:val="auto"/>
              </w:rPr>
            </w:pPr>
            <w:r>
              <w:rPr>
                <w:rFonts w:ascii="Arial" w:cs="Arial" w:eastAsia="Arial" w:hAnsi="Arial"/>
                <w:sz w:val="13"/>
                <w:szCs w:val="13"/>
                <w:b w:val="1"/>
                <w:bCs w:val="1"/>
                <w:color w:val="auto"/>
              </w:rPr>
              <w:t>45-5055422</w:t>
            </w:r>
          </w:p>
        </w:tc>
      </w:tr>
      <w:tr>
        <w:trPr>
          <w:trHeight w:val="158"/>
        </w:trPr>
        <w:tc>
          <w:tcPr>
            <w:tcW w:w="4280" w:type="dxa"/>
            <w:vAlign w:val="bottom"/>
            <w:tcBorders>
              <w:top w:val="single" w:sz="8" w:color="auto"/>
            </w:tcBorders>
          </w:tcPr>
          <w:p>
            <w:pPr>
              <w:jc w:val="center"/>
              <w:ind w:left="1076"/>
              <w:spacing w:after="0"/>
              <w:rPr>
                <w:sz w:val="20"/>
                <w:szCs w:val="20"/>
                <w:color w:val="auto"/>
              </w:rPr>
            </w:pPr>
            <w:r>
              <w:rPr>
                <w:rFonts w:ascii="Arial" w:cs="Arial" w:eastAsia="Arial" w:hAnsi="Arial"/>
                <w:sz w:val="13"/>
                <w:szCs w:val="13"/>
                <w:color w:val="auto"/>
                <w:w w:val="91"/>
              </w:rPr>
              <w:t>(State or other jurisdiction of incorporation of organization)</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600" w:type="dxa"/>
            <w:vAlign w:val="bottom"/>
            <w:tcBorders>
              <w:top w:val="single" w:sz="8" w:color="auto"/>
            </w:tcBorders>
          </w:tcPr>
          <w:p>
            <w:pPr>
              <w:jc w:val="right"/>
              <w:ind w:right="1716"/>
              <w:spacing w:after="0"/>
              <w:rPr>
                <w:sz w:val="20"/>
                <w:szCs w:val="20"/>
                <w:color w:val="auto"/>
              </w:rPr>
            </w:pPr>
            <w:r>
              <w:rPr>
                <w:rFonts w:ascii="Arial" w:cs="Arial" w:eastAsia="Arial" w:hAnsi="Arial"/>
                <w:sz w:val="13"/>
                <w:szCs w:val="13"/>
                <w:color w:val="auto"/>
              </w:rPr>
              <w:t>(I.R.S. Employer Identification No.)</w:t>
            </w:r>
          </w:p>
        </w:tc>
      </w:tr>
    </w:tbl>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10 Woodfin Street, Asheville, North Carolina 28801</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(Address of principal executive offices; Zip Code)</w:t>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(828) 259-3939</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(Registrant's telephone number, including area code)</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None</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73"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8"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Title of each class</w:t>
            </w:r>
          </w:p>
        </w:tc>
        <w:tc>
          <w:tcPr>
            <w:tcW w:w="2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Trading Symbol(s)</w:t>
            </w:r>
          </w:p>
        </w:tc>
        <w:tc>
          <w:tcPr>
            <w:tcW w:w="5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Name of each exchange on which registered</w:t>
            </w:r>
          </w:p>
        </w:tc>
      </w:tr>
      <w:tr>
        <w:trPr>
          <w:trHeight w:val="160"/>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Common Stock, par value $0.01 per share</w:t>
            </w: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HTBI</w:t>
            </w:r>
          </w:p>
        </w:tc>
        <w:tc>
          <w:tcPr>
            <w:tcW w:w="5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The NASDAQ Stock Market LLC</w:t>
            </w:r>
          </w:p>
        </w:tc>
      </w:tr>
    </w:tbl>
    <w:p>
      <w:pPr>
        <w:spacing w:after="0" w:line="248"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(1) has filed all reports required to be filed by Section 13 and 15(d) of the Exchange Act during the preceding 12 months (or for such shorter period that the registrant was</w:t>
      </w:r>
    </w:p>
    <w:p>
      <w:pPr>
        <w:spacing w:after="0" w:line="35" w:lineRule="exact"/>
        <w:rPr>
          <w:sz w:val="24"/>
          <w:szCs w:val="24"/>
          <w:color w:val="auto"/>
        </w:rPr>
      </w:pPr>
    </w:p>
    <w:p>
      <w:pPr>
        <w:spacing w:after="0" w:line="150" w:lineRule="exact"/>
        <w:tabs>
          <w:tab w:leader="none" w:pos="5440" w:val="left"/>
        </w:tabs>
        <w:rPr>
          <w:sz w:val="20"/>
          <w:szCs w:val="20"/>
          <w:color w:val="auto"/>
        </w:rPr>
      </w:pPr>
      <w:r>
        <w:rPr>
          <w:rFonts w:ascii="Arial" w:cs="Arial" w:eastAsia="Arial" w:hAnsi="Arial"/>
          <w:sz w:val="13"/>
          <w:szCs w:val="13"/>
          <w:color w:val="auto"/>
        </w:rPr>
        <w:t>required to file such reports), and (2) has been subject to such filing requirements for the past 90 days.</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88" w:lineRule="exact"/>
        <w:rPr>
          <w:sz w:val="24"/>
          <w:szCs w:val="24"/>
          <w:color w:val="auto"/>
        </w:rPr>
      </w:pPr>
    </w:p>
    <w:p>
      <w:pPr>
        <w:jc w:val="both"/>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5" w:lineRule="exact"/>
        <w:rPr>
          <w:sz w:val="24"/>
          <w:szCs w:val="24"/>
          <w:color w:val="auto"/>
        </w:rPr>
      </w:pPr>
    </w:p>
    <w:p>
      <w:pPr>
        <w:jc w:val="both"/>
        <w:ind w:right="20"/>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1780" w:type="dxa"/>
            <w:vAlign w:val="bottom"/>
          </w:tcPr>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7180" w:type="dxa"/>
            <w:vAlign w:val="bottom"/>
          </w:tcPr>
          <w:p>
            <w:pPr>
              <w:ind w:left="5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1780" w:type="dxa"/>
            <w:vAlign w:val="bottom"/>
          </w:tcPr>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7440" w:type="dxa"/>
            <w:vAlign w:val="bottom"/>
            <w:gridSpan w:val="2"/>
          </w:tcPr>
          <w:p>
            <w:pPr>
              <w:ind w:left="5820"/>
              <w:spacing w:after="0" w:line="150" w:lineRule="exact"/>
              <w:rPr>
                <w:sz w:val="20"/>
                <w:szCs w:val="20"/>
                <w:color w:val="auto"/>
              </w:rPr>
            </w:pPr>
            <w:r>
              <w:rPr>
                <w:rFonts w:ascii="Arial" w:cs="Arial" w:eastAsia="Arial" w:hAnsi="Arial"/>
                <w:sz w:val="13"/>
                <w:szCs w:val="13"/>
                <w:color w:val="auto"/>
                <w:w w:val="93"/>
              </w:rPr>
              <w:t xml:space="preserve">Smaller reporting company </w:t>
            </w:r>
            <w:r>
              <w:rPr>
                <w:rFonts w:ascii="MS PGothic" w:cs="MS PGothic" w:eastAsia="MS PGothic" w:hAnsi="MS PGothic"/>
                <w:sz w:val="13"/>
                <w:szCs w:val="13"/>
                <w:color w:val="auto"/>
                <w:w w:val="93"/>
              </w:rPr>
              <w:t>☐</w:t>
            </w:r>
          </w:p>
        </w:tc>
        <w:tc>
          <w:tcPr>
            <w:tcW w:w="0" w:type="dxa"/>
            <w:vAlign w:val="bottom"/>
          </w:tcPr>
          <w:p>
            <w:pPr>
              <w:spacing w:after="0"/>
              <w:rPr>
                <w:sz w:val="1"/>
                <w:szCs w:val="1"/>
                <w:color w:val="auto"/>
              </w:rPr>
            </w:pPr>
          </w:p>
        </w:tc>
      </w:tr>
      <w:tr>
        <w:trPr>
          <w:trHeight w:val="424"/>
        </w:trPr>
        <w:tc>
          <w:tcPr>
            <w:tcW w:w="1780" w:type="dxa"/>
            <w:vAlign w:val="bottom"/>
          </w:tcPr>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780" w:type="dxa"/>
            <w:vAlign w:val="bottom"/>
          </w:tcPr>
          <w:p>
            <w:pPr>
              <w:spacing w:after="0"/>
              <w:rPr>
                <w:sz w:val="21"/>
                <w:szCs w:val="21"/>
                <w:color w:val="auto"/>
              </w:rPr>
            </w:pPr>
          </w:p>
        </w:tc>
        <w:tc>
          <w:tcPr>
            <w:tcW w:w="7180" w:type="dxa"/>
            <w:vAlign w:val="bottom"/>
          </w:tcPr>
          <w:p>
            <w:pPr>
              <w:ind w:left="240"/>
              <w:spacing w:after="0"/>
              <w:rPr>
                <w:sz w:val="20"/>
                <w:szCs w:val="20"/>
                <w:color w:val="auto"/>
              </w:rPr>
            </w:pPr>
            <w:r>
              <w:rPr>
                <w:rFonts w:ascii="Arial" w:cs="Arial" w:eastAsia="Arial" w:hAnsi="Arial"/>
                <w:sz w:val="13"/>
                <w:szCs w:val="13"/>
                <w:color w:val="auto"/>
                <w:w w:val="94"/>
              </w:rPr>
              <w:t>If an emerging growth company, indicate by check mark if the registrant has elected not to use the extended transition period for</w:t>
            </w:r>
          </w:p>
        </w:tc>
        <w:tc>
          <w:tcPr>
            <w:tcW w:w="260" w:type="dxa"/>
            <w:vAlign w:val="bottom"/>
            <w:vMerge w:val="restart"/>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7180" w:type="dxa"/>
            <w:vAlign w:val="bottom"/>
          </w:tcPr>
          <w:p>
            <w:pPr>
              <w:ind w:left="240"/>
              <w:spacing w:after="0"/>
              <w:rPr>
                <w:sz w:val="20"/>
                <w:szCs w:val="20"/>
                <w:color w:val="auto"/>
              </w:rPr>
            </w:pPr>
            <w:r>
              <w:rPr>
                <w:rFonts w:ascii="Arial" w:cs="Arial" w:eastAsia="Arial" w:hAnsi="Arial"/>
                <w:sz w:val="13"/>
                <w:szCs w:val="13"/>
                <w:color w:val="auto"/>
                <w:w w:val="98"/>
              </w:rPr>
              <w:t>complying with any new or revised financial accounting standards provided pursuant to Section 13(a) of the Exchange Act.</w:t>
            </w: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There were 15,628,048 shares of common stock, par value of $0.01 per share, issued and outstanding as of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3"/>
          <w:szCs w:val="13"/>
          <w:b w:val="1"/>
          <w:bCs w:val="1"/>
          <w:color w:val="auto"/>
        </w:rPr>
        <w:t>HOMETRUST BANCSHARES, INC. AND SUBSIDIARIES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10-Q</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TABLE OF CONTENTS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0" w:type="dxa"/>
            <w:vAlign w:val="bottom"/>
            <w:gridSpan w:val="3"/>
          </w:tcPr>
          <w:p>
            <w:pPr>
              <w:jc w:val="center"/>
              <w:ind w:left="1336"/>
              <w:spacing w:after="0"/>
              <w:rPr>
                <w:sz w:val="20"/>
                <w:szCs w:val="20"/>
                <w:color w:val="auto"/>
              </w:rPr>
            </w:pPr>
            <w:r>
              <w:rPr>
                <w:rFonts w:ascii="Arial" w:cs="Arial" w:eastAsia="Arial" w:hAnsi="Arial"/>
                <w:sz w:val="13"/>
                <w:szCs w:val="13"/>
                <w:color w:val="auto"/>
                <w:w w:val="78"/>
              </w:rPr>
              <w:t>Page</w:t>
            </w:r>
          </w:p>
        </w:tc>
      </w:tr>
      <w:tr>
        <w:trPr>
          <w:trHeight w:val="161"/>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gridSpan w:val="3"/>
          </w:tcPr>
          <w:p>
            <w:pPr>
              <w:jc w:val="center"/>
              <w:ind w:left="1336"/>
              <w:spacing w:after="0"/>
              <w:rPr>
                <w:sz w:val="20"/>
                <w:szCs w:val="20"/>
                <w:color w:val="auto"/>
              </w:rPr>
            </w:pPr>
            <w:r>
              <w:rPr>
                <w:rFonts w:ascii="Arial" w:cs="Arial" w:eastAsia="Arial" w:hAnsi="Arial"/>
                <w:sz w:val="13"/>
                <w:szCs w:val="13"/>
                <w:color w:val="auto"/>
                <w:w w:val="86"/>
              </w:rPr>
              <w:t>Number</w:t>
            </w:r>
          </w:p>
        </w:tc>
      </w:tr>
      <w:tr>
        <w:trPr>
          <w:trHeight w:val="185"/>
        </w:trPr>
        <w:tc>
          <w:tcPr>
            <w:tcW w:w="214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b w:val="1"/>
                <w:bCs w:val="1"/>
                <w:color w:val="0000FF"/>
              </w:rPr>
              <w:t>PART I FINANCIAL INFORMATION</w:t>
            </w:r>
          </w:p>
        </w:tc>
        <w:tc>
          <w:tcPr>
            <w:tcW w:w="7120" w:type="dxa"/>
            <w:vAlign w:val="bottom"/>
            <w:gridSpan w:val="11"/>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5"/>
        </w:trPr>
        <w:tc>
          <w:tcPr>
            <w:tcW w:w="1020" w:type="dxa"/>
            <w:vAlign w:val="bottom"/>
            <w:gridSpan w:val="2"/>
          </w:tcPr>
          <w:p>
            <w:pPr>
              <w:spacing w:after="0"/>
              <w:rPr>
                <w:sz w:val="20"/>
                <w:szCs w:val="20"/>
                <w:color w:val="auto"/>
              </w:rPr>
            </w:pPr>
            <w:r>
              <w:rPr>
                <w:rFonts w:ascii="Arial" w:cs="Arial" w:eastAsia="Arial" w:hAnsi="Arial"/>
                <w:sz w:val="13"/>
                <w:szCs w:val="13"/>
                <w:color w:val="auto"/>
              </w:rPr>
              <w:t>Item 1.</w:t>
            </w:r>
          </w:p>
        </w:tc>
        <w:tc>
          <w:tcPr>
            <w:tcW w:w="10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7"/>
              </w:rPr>
              <w:t>Financial Statements</w:t>
            </w:r>
          </w:p>
        </w:tc>
        <w:tc>
          <w:tcPr>
            <w:tcW w:w="7160" w:type="dxa"/>
            <w:vAlign w:val="bottom"/>
            <w:gridSpan w:val="12"/>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86"/>
              </w:rPr>
              <w:t>Consolidated Balance Sheets (Unaudited) at September 30, 2022 and June 30, 2022</w:t>
            </w:r>
          </w:p>
        </w:tc>
        <w:tc>
          <w:tcPr>
            <w:tcW w:w="3880" w:type="dxa"/>
            <w:vAlign w:val="bottom"/>
            <w:gridSpan w:val="6"/>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3</w:t>
            </w:r>
          </w:p>
        </w:tc>
        <w:tc>
          <w:tcPr>
            <w:tcW w:w="1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Arial" w:cs="Arial" w:eastAsia="Arial" w:hAnsi="Arial"/>
                <w:sz w:val="13"/>
                <w:szCs w:val="13"/>
                <w:color w:val="0000FF"/>
              </w:rPr>
              <w:t>Consolidated Statements of Income (Unaudited) for the Three Months Ended September 30, 2022 and 2021</w:t>
            </w:r>
          </w:p>
        </w:tc>
        <w:tc>
          <w:tcPr>
            <w:tcW w:w="1640" w:type="dxa"/>
            <w:vAlign w:val="bottom"/>
            <w:gridSpan w:val="2"/>
          </w:tcPr>
          <w:p>
            <w:pPr>
              <w:jc w:val="center"/>
              <w:ind w:left="1496"/>
              <w:spacing w:after="0"/>
              <w:rPr>
                <w:sz w:val="20"/>
                <w:szCs w:val="20"/>
                <w:color w:val="auto"/>
              </w:rPr>
            </w:pPr>
            <w:r>
              <w:rPr>
                <w:rFonts w:ascii="Arial" w:cs="Arial" w:eastAsia="Arial" w:hAnsi="Arial"/>
                <w:sz w:val="13"/>
                <w:szCs w:val="13"/>
                <w:color w:val="0000FF"/>
              </w:rPr>
              <w:t>4</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87"/>
              </w:rPr>
              <w:t>Consolidated Statements of Comprehensive Income (Unaudited) for the Three Months Ended September 30, 2022 and 2021</w:t>
            </w:r>
          </w:p>
        </w:tc>
        <w:tc>
          <w:tcPr>
            <w:tcW w:w="182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5</w:t>
            </w:r>
          </w:p>
        </w:tc>
        <w:tc>
          <w:tcPr>
            <w:tcW w:w="1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Arial" w:cs="Arial" w:eastAsia="Arial" w:hAnsi="Arial"/>
                <w:sz w:val="13"/>
                <w:szCs w:val="13"/>
                <w:color w:val="0000FF"/>
              </w:rPr>
              <w:t>Consolidated Statements of Changes in Stockholders' Equity (Unaudited) for the Three Months Ended September 30, 2022 and 2021</w:t>
            </w:r>
          </w:p>
        </w:tc>
        <w:tc>
          <w:tcPr>
            <w:tcW w:w="1640" w:type="dxa"/>
            <w:vAlign w:val="bottom"/>
            <w:gridSpan w:val="2"/>
          </w:tcPr>
          <w:p>
            <w:pPr>
              <w:jc w:val="center"/>
              <w:ind w:left="1496"/>
              <w:spacing w:after="0"/>
              <w:rPr>
                <w:sz w:val="20"/>
                <w:szCs w:val="20"/>
                <w:color w:val="auto"/>
              </w:rPr>
            </w:pPr>
            <w:r>
              <w:rPr>
                <w:rFonts w:ascii="Arial" w:cs="Arial" w:eastAsia="Arial" w:hAnsi="Arial"/>
                <w:sz w:val="13"/>
                <w:szCs w:val="13"/>
                <w:color w:val="0000FF"/>
              </w:rPr>
              <w:t>6</w:t>
            </w:r>
          </w:p>
        </w:tc>
        <w:tc>
          <w:tcPr>
            <w:tcW w:w="1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3"/>
                <w:szCs w:val="13"/>
                <w:color w:val="0000FF"/>
                <w:w w:val="87"/>
              </w:rPr>
              <w:t>Consolidated Statements of Cash Flows (Unaudited) for the Three Months Ended September 30, 2022 and 2021</w:t>
            </w:r>
          </w:p>
        </w:tc>
        <w:tc>
          <w:tcPr>
            <w:tcW w:w="1060" w:type="dxa"/>
            <w:vAlign w:val="bottom"/>
            <w:tcBorders>
              <w:top w:val="single" w:sz="8" w:color="0000FF"/>
            </w:tcBorders>
            <w:gridSpan w:val="2"/>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3"/>
                <w:szCs w:val="13"/>
                <w:color w:val="0000FF"/>
              </w:rPr>
              <w:t>7</w:t>
            </w:r>
          </w:p>
        </w:tc>
        <w:tc>
          <w:tcPr>
            <w:tcW w:w="1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Arial" w:cs="Arial" w:eastAsia="Arial" w:hAnsi="Arial"/>
                <w:sz w:val="13"/>
                <w:szCs w:val="13"/>
                <w:color w:val="0000FF"/>
              </w:rPr>
              <w:t>Notes to Consolidated Financial Statements</w:t>
            </w:r>
          </w:p>
        </w:tc>
        <w:tc>
          <w:tcPr>
            <w:tcW w:w="1640" w:type="dxa"/>
            <w:vAlign w:val="bottom"/>
            <w:gridSpan w:val="2"/>
          </w:tcPr>
          <w:p>
            <w:pPr>
              <w:jc w:val="center"/>
              <w:ind w:left="1496"/>
              <w:spacing w:after="0"/>
              <w:rPr>
                <w:sz w:val="20"/>
                <w:szCs w:val="20"/>
                <w:color w:val="auto"/>
              </w:rPr>
            </w:pPr>
            <w:r>
              <w:rPr>
                <w:rFonts w:ascii="Arial" w:cs="Arial" w:eastAsia="Arial" w:hAnsi="Arial"/>
                <w:sz w:val="13"/>
                <w:szCs w:val="13"/>
                <w:color w:val="0000FF"/>
              </w:rPr>
              <w:t>9</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2.</w:t>
            </w:r>
          </w:p>
        </w:tc>
        <w:tc>
          <w:tcPr>
            <w:tcW w:w="8240" w:type="dxa"/>
            <w:vAlign w:val="bottom"/>
            <w:gridSpan w:val="18"/>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31</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3.</w:t>
            </w:r>
          </w:p>
        </w:tc>
        <w:tc>
          <w:tcPr>
            <w:tcW w:w="3060" w:type="dxa"/>
            <w:vAlign w:val="bottom"/>
            <w:gridSpan w:val="11"/>
          </w:tcPr>
          <w:p>
            <w:pPr>
              <w:spacing w:after="0"/>
              <w:rPr>
                <w:sz w:val="20"/>
                <w:szCs w:val="20"/>
                <w:color w:val="auto"/>
              </w:rPr>
            </w:pPr>
            <w:r>
              <w:rPr>
                <w:rFonts w:ascii="Arial" w:cs="Arial" w:eastAsia="Arial" w:hAnsi="Arial"/>
                <w:sz w:val="13"/>
                <w:szCs w:val="13"/>
                <w:color w:val="0000FF"/>
                <w:w w:val="89"/>
              </w:rPr>
              <w:t>Quantitative and Qualitative Disclosures about Market Risk</w:t>
            </w:r>
          </w:p>
        </w:tc>
        <w:tc>
          <w:tcPr>
            <w:tcW w:w="1500" w:type="dxa"/>
            <w:vAlign w:val="bottom"/>
            <w:gridSpan w:val="2"/>
          </w:tcPr>
          <w:p>
            <w:pPr>
              <w:spacing w:after="0"/>
              <w:rPr>
                <w:sz w:val="24"/>
                <w:szCs w:val="24"/>
                <w:color w:val="auto"/>
              </w:rPr>
            </w:pPr>
          </w:p>
        </w:tc>
        <w:tc>
          <w:tcPr>
            <w:tcW w:w="3680" w:type="dxa"/>
            <w:vAlign w:val="bottom"/>
            <w:gridSpan w:val="5"/>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42</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gridSpan w:val="8"/>
          </w:tcPr>
          <w:p>
            <w:pPr>
              <w:spacing w:after="0"/>
              <w:rPr>
                <w:sz w:val="20"/>
                <w:szCs w:val="20"/>
                <w:color w:val="auto"/>
              </w:rPr>
            </w:pPr>
            <w:r>
              <w:rPr>
                <w:rFonts w:ascii="Arial" w:cs="Arial" w:eastAsia="Arial" w:hAnsi="Arial"/>
                <w:sz w:val="13"/>
                <w:szCs w:val="13"/>
                <w:color w:val="0000FF"/>
                <w:w w:val="86"/>
              </w:rPr>
              <w:t>Controls and Procedures</w:t>
            </w:r>
          </w:p>
        </w:tc>
        <w:tc>
          <w:tcPr>
            <w:tcW w:w="1800" w:type="dxa"/>
            <w:vAlign w:val="bottom"/>
            <w:gridSpan w:val="3"/>
          </w:tcPr>
          <w:p>
            <w:pPr>
              <w:spacing w:after="0"/>
              <w:rPr>
                <w:sz w:val="24"/>
                <w:szCs w:val="24"/>
                <w:color w:val="auto"/>
              </w:rPr>
            </w:pPr>
          </w:p>
        </w:tc>
        <w:tc>
          <w:tcPr>
            <w:tcW w:w="5180" w:type="dxa"/>
            <w:vAlign w:val="bottom"/>
            <w:gridSpan w:val="7"/>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404"/>
        </w:trPr>
        <w:tc>
          <w:tcPr>
            <w:tcW w:w="9260" w:type="dxa"/>
            <w:vAlign w:val="bottom"/>
            <w:gridSpan w:val="20"/>
          </w:tcPr>
          <w:p>
            <w:pPr>
              <w:spacing w:after="0"/>
              <w:rPr>
                <w:sz w:val="20"/>
                <w:szCs w:val="20"/>
                <w:color w:val="auto"/>
              </w:rPr>
            </w:pPr>
            <w:r>
              <w:rPr>
                <w:rFonts w:ascii="Arial" w:cs="Arial" w:eastAsia="Arial" w:hAnsi="Arial"/>
                <w:sz w:val="13"/>
                <w:szCs w:val="13"/>
                <w:b w:val="1"/>
                <w:bCs w:val="1"/>
                <w:color w:val="0000FF"/>
              </w:rPr>
              <w:t>PART II OTHER INFORMATION</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1.</w:t>
            </w:r>
          </w:p>
        </w:tc>
        <w:tc>
          <w:tcPr>
            <w:tcW w:w="940" w:type="dxa"/>
            <w:vAlign w:val="bottom"/>
            <w:gridSpan w:val="5"/>
          </w:tcPr>
          <w:p>
            <w:pPr>
              <w:spacing w:after="0"/>
              <w:rPr>
                <w:sz w:val="20"/>
                <w:szCs w:val="20"/>
                <w:color w:val="auto"/>
              </w:rPr>
            </w:pPr>
            <w:r>
              <w:rPr>
                <w:rFonts w:ascii="Arial" w:cs="Arial" w:eastAsia="Arial" w:hAnsi="Arial"/>
                <w:sz w:val="13"/>
                <w:szCs w:val="13"/>
                <w:color w:val="0000FF"/>
                <w:w w:val="83"/>
              </w:rPr>
              <w:t>Legal Proceedings</w:t>
            </w:r>
          </w:p>
        </w:tc>
        <w:tc>
          <w:tcPr>
            <w:tcW w:w="7300" w:type="dxa"/>
            <w:vAlign w:val="bottom"/>
            <w:gridSpan w:val="13"/>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1A.</w:t>
            </w:r>
          </w:p>
        </w:tc>
        <w:tc>
          <w:tcPr>
            <w:tcW w:w="940" w:type="dxa"/>
            <w:vAlign w:val="bottom"/>
            <w:gridSpan w:val="5"/>
          </w:tcPr>
          <w:p>
            <w:pPr>
              <w:spacing w:after="0"/>
              <w:rPr>
                <w:sz w:val="20"/>
                <w:szCs w:val="20"/>
                <w:color w:val="auto"/>
              </w:rPr>
            </w:pPr>
            <w:r>
              <w:rPr>
                <w:rFonts w:ascii="Arial" w:cs="Arial" w:eastAsia="Arial" w:hAnsi="Arial"/>
                <w:sz w:val="13"/>
                <w:szCs w:val="13"/>
                <w:color w:val="0000FF"/>
              </w:rPr>
              <w:t>Risk Factors</w:t>
            </w:r>
          </w:p>
        </w:tc>
        <w:tc>
          <w:tcPr>
            <w:tcW w:w="7300" w:type="dxa"/>
            <w:vAlign w:val="bottom"/>
            <w:gridSpan w:val="13"/>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2.</w:t>
            </w:r>
          </w:p>
        </w:tc>
        <w:tc>
          <w:tcPr>
            <w:tcW w:w="8240" w:type="dxa"/>
            <w:vAlign w:val="bottom"/>
            <w:gridSpan w:val="18"/>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3.</w:t>
            </w:r>
          </w:p>
        </w:tc>
        <w:tc>
          <w:tcPr>
            <w:tcW w:w="1660" w:type="dxa"/>
            <w:vAlign w:val="bottom"/>
            <w:gridSpan w:val="9"/>
          </w:tcPr>
          <w:p>
            <w:pPr>
              <w:spacing w:after="0"/>
              <w:rPr>
                <w:sz w:val="20"/>
                <w:szCs w:val="20"/>
                <w:color w:val="auto"/>
              </w:rPr>
            </w:pPr>
            <w:r>
              <w:rPr>
                <w:rFonts w:ascii="Arial" w:cs="Arial" w:eastAsia="Arial" w:hAnsi="Arial"/>
                <w:sz w:val="13"/>
                <w:szCs w:val="13"/>
                <w:color w:val="0000FF"/>
                <w:w w:val="88"/>
              </w:rPr>
              <w:t>Defaults Upon Senior Securities</w:t>
            </w:r>
          </w:p>
        </w:tc>
        <w:tc>
          <w:tcPr>
            <w:tcW w:w="1400" w:type="dxa"/>
            <w:vAlign w:val="bottom"/>
            <w:gridSpan w:val="2"/>
          </w:tcPr>
          <w:p>
            <w:pPr>
              <w:spacing w:after="0"/>
              <w:rPr>
                <w:sz w:val="24"/>
                <w:szCs w:val="24"/>
                <w:color w:val="auto"/>
              </w:rPr>
            </w:pPr>
          </w:p>
        </w:tc>
        <w:tc>
          <w:tcPr>
            <w:tcW w:w="5180" w:type="dxa"/>
            <w:vAlign w:val="bottom"/>
            <w:gridSpan w:val="7"/>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gridSpan w:val="8"/>
          </w:tcPr>
          <w:p>
            <w:pPr>
              <w:spacing w:after="0"/>
              <w:rPr>
                <w:sz w:val="20"/>
                <w:szCs w:val="20"/>
                <w:color w:val="auto"/>
              </w:rPr>
            </w:pPr>
            <w:r>
              <w:rPr>
                <w:rFonts w:ascii="Arial" w:cs="Arial" w:eastAsia="Arial" w:hAnsi="Arial"/>
                <w:sz w:val="13"/>
                <w:szCs w:val="13"/>
                <w:color w:val="0000FF"/>
                <w:w w:val="88"/>
              </w:rPr>
              <w:t>Mine Safety Disclosures</w:t>
            </w:r>
          </w:p>
        </w:tc>
        <w:tc>
          <w:tcPr>
            <w:tcW w:w="400" w:type="dxa"/>
            <w:vAlign w:val="bottom"/>
          </w:tcPr>
          <w:p>
            <w:pPr>
              <w:spacing w:after="0"/>
              <w:rPr>
                <w:sz w:val="24"/>
                <w:szCs w:val="24"/>
                <w:color w:val="auto"/>
              </w:rPr>
            </w:pPr>
          </w:p>
        </w:tc>
        <w:tc>
          <w:tcPr>
            <w:tcW w:w="6580" w:type="dxa"/>
            <w:vAlign w:val="bottom"/>
            <w:gridSpan w:val="9"/>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5</w:t>
            </w:r>
          </w:p>
        </w:tc>
        <w:tc>
          <w:tcPr>
            <w:tcW w:w="940" w:type="dxa"/>
            <w:vAlign w:val="bottom"/>
            <w:gridSpan w:val="5"/>
          </w:tcPr>
          <w:p>
            <w:pPr>
              <w:spacing w:after="0"/>
              <w:rPr>
                <w:sz w:val="20"/>
                <w:szCs w:val="20"/>
                <w:color w:val="auto"/>
              </w:rPr>
            </w:pPr>
            <w:r>
              <w:rPr>
                <w:rFonts w:ascii="Arial" w:cs="Arial" w:eastAsia="Arial" w:hAnsi="Arial"/>
                <w:sz w:val="13"/>
                <w:szCs w:val="13"/>
                <w:color w:val="0000FF"/>
                <w:w w:val="88"/>
              </w:rPr>
              <w:t>Other Information</w:t>
            </w:r>
          </w:p>
        </w:tc>
        <w:tc>
          <w:tcPr>
            <w:tcW w:w="320" w:type="dxa"/>
            <w:vAlign w:val="bottom"/>
            <w:gridSpan w:val="3"/>
          </w:tcPr>
          <w:p>
            <w:pPr>
              <w:spacing w:after="0"/>
              <w:rPr>
                <w:sz w:val="24"/>
                <w:szCs w:val="24"/>
                <w:color w:val="auto"/>
              </w:rPr>
            </w:pPr>
          </w:p>
        </w:tc>
        <w:tc>
          <w:tcPr>
            <w:tcW w:w="6980" w:type="dxa"/>
            <w:vAlign w:val="bottom"/>
            <w:gridSpan w:val="10"/>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43</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300" w:type="dxa"/>
            <w:vAlign w:val="bottom"/>
            <w:gridSpan w:val="13"/>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6.</w:t>
            </w:r>
          </w:p>
        </w:tc>
        <w:tc>
          <w:tcPr>
            <w:tcW w:w="440" w:type="dxa"/>
            <w:vAlign w:val="bottom"/>
            <w:gridSpan w:val="2"/>
          </w:tcPr>
          <w:p>
            <w:pPr>
              <w:spacing w:after="0"/>
              <w:rPr>
                <w:sz w:val="20"/>
                <w:szCs w:val="20"/>
                <w:color w:val="auto"/>
              </w:rPr>
            </w:pPr>
            <w:r>
              <w:rPr>
                <w:rFonts w:ascii="Arial" w:cs="Arial" w:eastAsia="Arial" w:hAnsi="Arial"/>
                <w:sz w:val="13"/>
                <w:szCs w:val="13"/>
                <w:color w:val="0000FF"/>
                <w:w w:val="92"/>
              </w:rPr>
              <w:t>Exhibits</w:t>
            </w:r>
          </w:p>
        </w:tc>
        <w:tc>
          <w:tcPr>
            <w:tcW w:w="500" w:type="dxa"/>
            <w:vAlign w:val="bottom"/>
            <w:gridSpan w:val="3"/>
          </w:tcPr>
          <w:p>
            <w:pPr>
              <w:spacing w:after="0"/>
              <w:rPr>
                <w:sz w:val="24"/>
                <w:szCs w:val="24"/>
                <w:color w:val="auto"/>
              </w:rPr>
            </w:pPr>
          </w:p>
        </w:tc>
        <w:tc>
          <w:tcPr>
            <w:tcW w:w="7300" w:type="dxa"/>
            <w:vAlign w:val="bottom"/>
            <w:gridSpan w:val="13"/>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44</w:t>
            </w:r>
          </w:p>
        </w:tc>
        <w:tc>
          <w:tcPr>
            <w:tcW w:w="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62"/>
        </w:trPr>
        <w:tc>
          <w:tcPr>
            <w:tcW w:w="780" w:type="dxa"/>
            <w:vAlign w:val="bottom"/>
          </w:tcPr>
          <w:p>
            <w:pPr>
              <w:spacing w:after="0"/>
              <w:rPr>
                <w:sz w:val="20"/>
                <w:szCs w:val="20"/>
                <w:color w:val="auto"/>
              </w:rPr>
            </w:pPr>
            <w:r>
              <w:rPr>
                <w:rFonts w:ascii="Arial" w:cs="Arial" w:eastAsia="Arial" w:hAnsi="Arial"/>
                <w:sz w:val="13"/>
                <w:szCs w:val="13"/>
                <w:color w:val="0000FF"/>
                <w:w w:val="89"/>
              </w:rPr>
              <w:t>SIGNATURES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gridSpan w:val="2"/>
          </w:tcPr>
          <w:p>
            <w:pPr>
              <w:jc w:val="center"/>
              <w:ind w:left="1456"/>
              <w:spacing w:after="0"/>
              <w:rPr>
                <w:sz w:val="20"/>
                <w:szCs w:val="20"/>
                <w:color w:val="auto"/>
              </w:rPr>
            </w:pPr>
            <w:r>
              <w:rPr>
                <w:rFonts w:ascii="Arial" w:cs="Arial" w:eastAsia="Arial" w:hAnsi="Arial"/>
                <w:sz w:val="13"/>
                <w:szCs w:val="13"/>
                <w:color w:val="0000FF"/>
                <w:w w:val="82"/>
              </w:rPr>
              <w:t>46</w:t>
            </w:r>
          </w:p>
        </w:tc>
        <w:tc>
          <w:tcPr>
            <w:tcW w:w="16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20" w:top="893" w:right="5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Glossary of Defined Terms</w:t>
      </w:r>
    </w:p>
    <w:p>
      <w:pPr>
        <w:spacing w:after="0" w:line="45" w:lineRule="exact"/>
        <w:rPr>
          <w:sz w:val="20"/>
          <w:szCs w:val="20"/>
          <w:color w:val="auto"/>
        </w:rPr>
      </w:pPr>
    </w:p>
    <w:p>
      <w:pPr>
        <w:ind w:right="380"/>
        <w:spacing w:after="0" w:line="274" w:lineRule="auto"/>
        <w:rPr>
          <w:sz w:val="20"/>
          <w:szCs w:val="20"/>
          <w:color w:val="auto"/>
        </w:rPr>
      </w:pPr>
      <w:r>
        <w:rPr>
          <w:rFonts w:ascii="Arial" w:cs="Arial" w:eastAsia="Arial" w:hAnsi="Arial"/>
          <w:sz w:val="13"/>
          <w:szCs w:val="13"/>
          <w:color w:val="auto"/>
        </w:rPr>
        <w:t>The following items may be used throughout this Form 10-Q, including the Notes to Consolidated Financial Statements in Item 1 and Management's Discussion and Analysis of Financial Condition and Results of Operations in Item 2 of this Form 10-Q.</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Term</w:t>
            </w:r>
          </w:p>
        </w:tc>
        <w:tc>
          <w:tcPr>
            <w:tcW w:w="180" w:type="dxa"/>
            <w:vAlign w:val="bottom"/>
            <w:tcBorders>
              <w:bottom w:val="single" w:sz="8" w:color="CCEEFF"/>
            </w:tcBorders>
          </w:tcPr>
          <w:p>
            <w:pPr>
              <w:spacing w:after="0"/>
              <w:rPr>
                <w:sz w:val="14"/>
                <w:szCs w:val="14"/>
                <w:color w:val="auto"/>
              </w:rPr>
            </w:pP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ACL</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Credit Losses</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AFS</w:t>
            </w:r>
          </w:p>
        </w:tc>
        <w:tc>
          <w:tcPr>
            <w:tcW w:w="8580" w:type="dxa"/>
            <w:vAlign w:val="bottom"/>
          </w:tcPr>
          <w:p>
            <w:pPr>
              <w:ind w:left="20"/>
              <w:spacing w:after="0"/>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ASC</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Accounting Standards Codification</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ASU</w:t>
            </w:r>
          </w:p>
        </w:tc>
        <w:tc>
          <w:tcPr>
            <w:tcW w:w="8580" w:type="dxa"/>
            <w:vAlign w:val="bottom"/>
          </w:tcPr>
          <w:p>
            <w:pPr>
              <w:ind w:left="20"/>
              <w:spacing w:after="0"/>
              <w:rPr>
                <w:sz w:val="20"/>
                <w:szCs w:val="20"/>
                <w:color w:val="auto"/>
              </w:rPr>
            </w:pPr>
            <w:r>
              <w:rPr>
                <w:rFonts w:ascii="Arial" w:cs="Arial" w:eastAsia="Arial" w:hAnsi="Arial"/>
                <w:sz w:val="13"/>
                <w:szCs w:val="13"/>
                <w:color w:val="auto"/>
              </w:rPr>
              <w:t>Accounting Standards Update</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BOLI</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Owned Life Insurance</w:t>
            </w: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CARES Act</w:t>
            </w:r>
          </w:p>
        </w:tc>
        <w:tc>
          <w:tcPr>
            <w:tcW w:w="8580" w:type="dxa"/>
            <w:vAlign w:val="bottom"/>
          </w:tcPr>
          <w:p>
            <w:pPr>
              <w:ind w:left="20"/>
              <w:spacing w:after="0"/>
              <w:rPr>
                <w:sz w:val="20"/>
                <w:szCs w:val="20"/>
                <w:color w:val="auto"/>
              </w:rPr>
            </w:pPr>
            <w:r>
              <w:rPr>
                <w:rFonts w:ascii="Arial" w:cs="Arial" w:eastAsia="Arial" w:hAnsi="Arial"/>
                <w:sz w:val="13"/>
                <w:szCs w:val="13"/>
                <w:color w:val="auto"/>
              </w:rPr>
              <w:t>Coronavirus Aid, Relief, and Economic Security Act of 2020</w:t>
            </w:r>
          </w:p>
        </w:tc>
        <w:tc>
          <w:tcPr>
            <w:tcW w:w="0" w:type="dxa"/>
            <w:vAlign w:val="bottom"/>
          </w:tcPr>
          <w:p>
            <w:pPr>
              <w:spacing w:after="0"/>
              <w:rPr>
                <w:sz w:val="1"/>
                <w:szCs w:val="1"/>
                <w:color w:val="auto"/>
              </w:rPr>
            </w:pPr>
          </w:p>
        </w:tc>
      </w:tr>
      <w:tr>
        <w:trPr>
          <w:trHeight w:val="130"/>
        </w:trPr>
        <w:tc>
          <w:tcPr>
            <w:tcW w:w="2540" w:type="dxa"/>
            <w:vAlign w:val="bottom"/>
            <w:gridSpan w:val="2"/>
            <w:vMerge w:val="continue"/>
          </w:tcPr>
          <w:p>
            <w:pPr>
              <w:spacing w:after="0"/>
              <w:rPr>
                <w:sz w:val="11"/>
                <w:szCs w:val="11"/>
                <w:color w:val="auto"/>
              </w:rPr>
            </w:pPr>
          </w:p>
        </w:tc>
        <w:tc>
          <w:tcPr>
            <w:tcW w:w="8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CD</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 of Deposit</w:t>
            </w:r>
          </w:p>
        </w:tc>
        <w:tc>
          <w:tcPr>
            <w:tcW w:w="0" w:type="dxa"/>
            <w:vAlign w:val="bottom"/>
          </w:tcPr>
          <w:p>
            <w:pPr>
              <w:spacing w:after="0"/>
              <w:rPr>
                <w:sz w:val="1"/>
                <w:szCs w:val="1"/>
                <w:color w:val="auto"/>
              </w:rPr>
            </w:pPr>
          </w:p>
        </w:tc>
      </w:tr>
      <w:tr>
        <w:trPr>
          <w:trHeight w:val="132"/>
        </w:trPr>
        <w:tc>
          <w:tcPr>
            <w:tcW w:w="2540" w:type="dxa"/>
            <w:vAlign w:val="bottom"/>
            <w:gridSpan w:val="2"/>
            <w:vMerge w:val="continue"/>
            <w:shd w:val="clear" w:color="auto" w:fill="CCEEFF"/>
          </w:tcPr>
          <w:p>
            <w:pPr>
              <w:spacing w:after="0"/>
              <w:rPr>
                <w:sz w:val="11"/>
                <w:szCs w:val="11"/>
                <w:color w:val="auto"/>
              </w:rPr>
            </w:pPr>
          </w:p>
        </w:tc>
        <w:tc>
          <w:tcPr>
            <w:tcW w:w="8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CDA</w:t>
            </w:r>
          </w:p>
        </w:tc>
        <w:tc>
          <w:tcPr>
            <w:tcW w:w="8580" w:type="dxa"/>
            <w:vAlign w:val="bottom"/>
          </w:tcPr>
          <w:p>
            <w:pPr>
              <w:ind w:left="20"/>
              <w:spacing w:after="0"/>
              <w:rPr>
                <w:sz w:val="20"/>
                <w:szCs w:val="20"/>
                <w:color w:val="auto"/>
              </w:rPr>
            </w:pPr>
            <w:r>
              <w:rPr>
                <w:rFonts w:ascii="Arial" w:cs="Arial" w:eastAsia="Arial" w:hAnsi="Arial"/>
                <w:sz w:val="13"/>
                <w:szCs w:val="13"/>
                <w:color w:val="auto"/>
              </w:rPr>
              <w:t>Collateral Dependent Asset</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CECL</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Expected Credit Losses</w:t>
            </w: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CET1</w:t>
            </w:r>
          </w:p>
        </w:tc>
        <w:tc>
          <w:tcPr>
            <w:tcW w:w="8580" w:type="dxa"/>
            <w:vAlign w:val="bottom"/>
          </w:tcPr>
          <w:p>
            <w:pPr>
              <w:ind w:left="20"/>
              <w:spacing w:after="0"/>
              <w:rPr>
                <w:sz w:val="20"/>
                <w:szCs w:val="20"/>
                <w:color w:val="auto"/>
              </w:rPr>
            </w:pPr>
            <w:r>
              <w:rPr>
                <w:rFonts w:ascii="Arial" w:cs="Arial" w:eastAsia="Arial" w:hAnsi="Arial"/>
                <w:sz w:val="13"/>
                <w:szCs w:val="13"/>
                <w:color w:val="auto"/>
              </w:rPr>
              <w:t>Common Equity Tier 1</w:t>
            </w:r>
          </w:p>
        </w:tc>
        <w:tc>
          <w:tcPr>
            <w:tcW w:w="0" w:type="dxa"/>
            <w:vAlign w:val="bottom"/>
          </w:tcPr>
          <w:p>
            <w:pPr>
              <w:spacing w:after="0"/>
              <w:rPr>
                <w:sz w:val="1"/>
                <w:szCs w:val="1"/>
                <w:color w:val="auto"/>
              </w:rPr>
            </w:pPr>
          </w:p>
        </w:tc>
      </w:tr>
      <w:tr>
        <w:trPr>
          <w:trHeight w:val="130"/>
        </w:trPr>
        <w:tc>
          <w:tcPr>
            <w:tcW w:w="2540" w:type="dxa"/>
            <w:vAlign w:val="bottom"/>
            <w:gridSpan w:val="2"/>
            <w:vMerge w:val="continue"/>
          </w:tcPr>
          <w:p>
            <w:pPr>
              <w:spacing w:after="0"/>
              <w:rPr>
                <w:sz w:val="11"/>
                <w:szCs w:val="11"/>
                <w:color w:val="auto"/>
              </w:rPr>
            </w:pPr>
          </w:p>
        </w:tc>
        <w:tc>
          <w:tcPr>
            <w:tcW w:w="8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COVID-19</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Coronavirus Disease 2019</w:t>
            </w:r>
          </w:p>
        </w:tc>
        <w:tc>
          <w:tcPr>
            <w:tcW w:w="0" w:type="dxa"/>
            <w:vAlign w:val="bottom"/>
          </w:tcPr>
          <w:p>
            <w:pPr>
              <w:spacing w:after="0"/>
              <w:rPr>
                <w:sz w:val="1"/>
                <w:szCs w:val="1"/>
                <w:color w:val="auto"/>
              </w:rPr>
            </w:pPr>
          </w:p>
        </w:tc>
      </w:tr>
      <w:tr>
        <w:trPr>
          <w:trHeight w:val="132"/>
        </w:trPr>
        <w:tc>
          <w:tcPr>
            <w:tcW w:w="2540" w:type="dxa"/>
            <w:vAlign w:val="bottom"/>
            <w:gridSpan w:val="2"/>
            <w:vMerge w:val="continue"/>
            <w:shd w:val="clear" w:color="auto" w:fill="CCEEFF"/>
          </w:tcPr>
          <w:p>
            <w:pPr>
              <w:spacing w:after="0"/>
              <w:rPr>
                <w:sz w:val="11"/>
                <w:szCs w:val="11"/>
                <w:color w:val="auto"/>
              </w:rPr>
            </w:pPr>
          </w:p>
        </w:tc>
        <w:tc>
          <w:tcPr>
            <w:tcW w:w="8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CPI</w:t>
            </w:r>
          </w:p>
        </w:tc>
        <w:tc>
          <w:tcPr>
            <w:tcW w:w="8580" w:type="dxa"/>
            <w:vAlign w:val="bottom"/>
          </w:tcPr>
          <w:p>
            <w:pPr>
              <w:ind w:left="20"/>
              <w:spacing w:after="0"/>
              <w:rPr>
                <w:sz w:val="20"/>
                <w:szCs w:val="20"/>
                <w:color w:val="auto"/>
              </w:rPr>
            </w:pPr>
            <w:r>
              <w:rPr>
                <w:rFonts w:ascii="Arial" w:cs="Arial" w:eastAsia="Arial" w:hAnsi="Arial"/>
                <w:sz w:val="13"/>
                <w:szCs w:val="13"/>
                <w:color w:val="auto"/>
              </w:rPr>
              <w:t>Consumer Price Index</w:t>
            </w:r>
          </w:p>
        </w:tc>
        <w:tc>
          <w:tcPr>
            <w:tcW w:w="0" w:type="dxa"/>
            <w:vAlign w:val="bottom"/>
          </w:tcPr>
          <w:p>
            <w:pPr>
              <w:spacing w:after="0"/>
              <w:rPr>
                <w:sz w:val="1"/>
                <w:szCs w:val="1"/>
                <w:color w:val="auto"/>
              </w:rPr>
            </w:pPr>
          </w:p>
        </w:tc>
      </w:tr>
      <w:tr>
        <w:trPr>
          <w:trHeight w:val="130"/>
        </w:trPr>
        <w:tc>
          <w:tcPr>
            <w:tcW w:w="2540" w:type="dxa"/>
            <w:vAlign w:val="bottom"/>
            <w:gridSpan w:val="2"/>
            <w:vMerge w:val="continue"/>
          </w:tcPr>
          <w:p>
            <w:pPr>
              <w:spacing w:after="0"/>
              <w:rPr>
                <w:sz w:val="11"/>
                <w:szCs w:val="11"/>
                <w:color w:val="auto"/>
              </w:rPr>
            </w:pPr>
          </w:p>
        </w:tc>
        <w:tc>
          <w:tcPr>
            <w:tcW w:w="8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DCF</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EPS</w:t>
            </w:r>
          </w:p>
        </w:tc>
        <w:tc>
          <w:tcPr>
            <w:tcW w:w="8580" w:type="dxa"/>
            <w:vAlign w:val="bottom"/>
          </w:tcPr>
          <w:p>
            <w:pPr>
              <w:ind w:left="20"/>
              <w:spacing w:after="0"/>
              <w:rPr>
                <w:sz w:val="20"/>
                <w:szCs w:val="20"/>
                <w:color w:val="auto"/>
              </w:rPr>
            </w:pPr>
            <w:r>
              <w:rPr>
                <w:rFonts w:ascii="Arial" w:cs="Arial" w:eastAsia="Arial" w:hAnsi="Arial"/>
                <w:sz w:val="13"/>
                <w:szCs w:val="13"/>
                <w:color w:val="auto"/>
              </w:rPr>
              <w:t>Earnings Per Share</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ESOP</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Ownership Plan</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FASB</w:t>
            </w:r>
          </w:p>
        </w:tc>
        <w:tc>
          <w:tcPr>
            <w:tcW w:w="8580" w:type="dxa"/>
            <w:vAlign w:val="bottom"/>
          </w:tcPr>
          <w:p>
            <w:pPr>
              <w:ind w:left="20"/>
              <w:spacing w:after="0"/>
              <w:rPr>
                <w:sz w:val="20"/>
                <w:szCs w:val="20"/>
                <w:color w:val="auto"/>
              </w:rPr>
            </w:pPr>
            <w:r>
              <w:rPr>
                <w:rFonts w:ascii="Arial" w:cs="Arial" w:eastAsia="Arial" w:hAnsi="Arial"/>
                <w:sz w:val="13"/>
                <w:szCs w:val="13"/>
                <w:color w:val="auto"/>
              </w:rPr>
              <w:t>Financial Accounting Standards Board</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FDIC</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Deposit Insurance Corporation</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FHLB or FHLB of Atlanta</w:t>
            </w:r>
          </w:p>
        </w:tc>
        <w:tc>
          <w:tcPr>
            <w:tcW w:w="8580" w:type="dxa"/>
            <w:vAlign w:val="bottom"/>
          </w:tcPr>
          <w:p>
            <w:pPr>
              <w:ind w:left="20"/>
              <w:spacing w:after="0"/>
              <w:rPr>
                <w:sz w:val="20"/>
                <w:szCs w:val="20"/>
                <w:color w:val="auto"/>
              </w:rPr>
            </w:pPr>
            <w:r>
              <w:rPr>
                <w:rFonts w:ascii="Arial" w:cs="Arial" w:eastAsia="Arial" w:hAnsi="Arial"/>
                <w:sz w:val="13"/>
                <w:szCs w:val="13"/>
                <w:color w:val="auto"/>
              </w:rPr>
              <w:t>Federal Home Loan Bank</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FRB</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Reserve Bank of Richmond</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GSE</w:t>
            </w:r>
          </w:p>
        </w:tc>
        <w:tc>
          <w:tcPr>
            <w:tcW w:w="8580" w:type="dxa"/>
            <w:vAlign w:val="bottom"/>
          </w:tcPr>
          <w:p>
            <w:pPr>
              <w:ind w:left="20"/>
              <w:spacing w:after="0"/>
              <w:rPr>
                <w:sz w:val="20"/>
                <w:szCs w:val="20"/>
                <w:color w:val="auto"/>
              </w:rPr>
            </w:pPr>
            <w:r>
              <w:rPr>
                <w:rFonts w:ascii="Arial" w:cs="Arial" w:eastAsia="Arial" w:hAnsi="Arial"/>
                <w:sz w:val="13"/>
                <w:szCs w:val="13"/>
                <w:color w:val="auto"/>
              </w:rPr>
              <w:t>Government-Sponsored Enterprises</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 Equity Line of Credit</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LIBOR</w:t>
            </w:r>
          </w:p>
        </w:tc>
        <w:tc>
          <w:tcPr>
            <w:tcW w:w="8580" w:type="dxa"/>
            <w:vAlign w:val="bottom"/>
          </w:tcPr>
          <w:p>
            <w:pPr>
              <w:ind w:left="20"/>
              <w:spacing w:after="0"/>
              <w:rPr>
                <w:sz w:val="20"/>
                <w:szCs w:val="20"/>
                <w:color w:val="auto"/>
              </w:rPr>
            </w:pPr>
            <w:r>
              <w:rPr>
                <w:rFonts w:ascii="Arial" w:cs="Arial" w:eastAsia="Arial" w:hAnsi="Arial"/>
                <w:sz w:val="13"/>
                <w:szCs w:val="13"/>
                <w:color w:val="auto"/>
              </w:rPr>
              <w:t>London Interbank Offered Rate</w:t>
            </w:r>
          </w:p>
        </w:tc>
        <w:tc>
          <w:tcPr>
            <w:tcW w:w="0" w:type="dxa"/>
            <w:vAlign w:val="bottom"/>
          </w:tcPr>
          <w:p>
            <w:pPr>
              <w:spacing w:after="0"/>
              <w:rPr>
                <w:sz w:val="1"/>
                <w:szCs w:val="1"/>
                <w:color w:val="auto"/>
              </w:rPr>
            </w:pPr>
          </w:p>
        </w:tc>
      </w:tr>
      <w:tr>
        <w:trPr>
          <w:trHeight w:val="168"/>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MBS</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w:t>
            </w:r>
          </w:p>
        </w:tc>
        <w:tc>
          <w:tcPr>
            <w:tcW w:w="0" w:type="dxa"/>
            <w:vAlign w:val="bottom"/>
          </w:tcPr>
          <w:p>
            <w:pPr>
              <w:spacing w:after="0"/>
              <w:rPr>
                <w:sz w:val="1"/>
                <w:szCs w:val="1"/>
                <w:color w:val="auto"/>
              </w:rPr>
            </w:pPr>
          </w:p>
        </w:tc>
      </w:tr>
      <w:tr>
        <w:trPr>
          <w:trHeight w:val="132"/>
        </w:trPr>
        <w:tc>
          <w:tcPr>
            <w:tcW w:w="2540" w:type="dxa"/>
            <w:vAlign w:val="bottom"/>
            <w:gridSpan w:val="2"/>
            <w:vMerge w:val="continue"/>
            <w:shd w:val="clear" w:color="auto" w:fill="CCEEFF"/>
          </w:tcPr>
          <w:p>
            <w:pPr>
              <w:spacing w:after="0"/>
              <w:rPr>
                <w:sz w:val="11"/>
                <w:szCs w:val="11"/>
                <w:color w:val="auto"/>
              </w:rPr>
            </w:pPr>
          </w:p>
        </w:tc>
        <w:tc>
          <w:tcPr>
            <w:tcW w:w="8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NCCOB</w:t>
            </w:r>
          </w:p>
        </w:tc>
        <w:tc>
          <w:tcPr>
            <w:tcW w:w="8580" w:type="dxa"/>
            <w:vAlign w:val="bottom"/>
          </w:tcPr>
          <w:p>
            <w:pPr>
              <w:ind w:left="20"/>
              <w:spacing w:after="0"/>
              <w:rPr>
                <w:sz w:val="20"/>
                <w:szCs w:val="20"/>
                <w:color w:val="auto"/>
              </w:rPr>
            </w:pPr>
            <w:r>
              <w:rPr>
                <w:rFonts w:ascii="Arial" w:cs="Arial" w:eastAsia="Arial" w:hAnsi="Arial"/>
                <w:sz w:val="13"/>
                <w:szCs w:val="13"/>
                <w:color w:val="auto"/>
              </w:rPr>
              <w:t>North Carolina Office of the Commissioner of Banks</w:t>
            </w:r>
          </w:p>
        </w:tc>
        <w:tc>
          <w:tcPr>
            <w:tcW w:w="0" w:type="dxa"/>
            <w:vAlign w:val="bottom"/>
          </w:tcPr>
          <w:p>
            <w:pPr>
              <w:spacing w:after="0"/>
              <w:rPr>
                <w:sz w:val="1"/>
                <w:szCs w:val="1"/>
                <w:color w:val="auto"/>
              </w:rPr>
            </w:pPr>
          </w:p>
        </w:tc>
      </w:tr>
      <w:tr>
        <w:trPr>
          <w:trHeight w:val="130"/>
        </w:trPr>
        <w:tc>
          <w:tcPr>
            <w:tcW w:w="2540" w:type="dxa"/>
            <w:vAlign w:val="bottom"/>
            <w:gridSpan w:val="2"/>
            <w:vMerge w:val="continue"/>
          </w:tcPr>
          <w:p>
            <w:pPr>
              <w:spacing w:after="0"/>
              <w:rPr>
                <w:sz w:val="11"/>
                <w:szCs w:val="11"/>
                <w:color w:val="auto"/>
              </w:rPr>
            </w:pPr>
          </w:p>
        </w:tc>
        <w:tc>
          <w:tcPr>
            <w:tcW w:w="8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PCD</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Purchased Financial Assets with Credit Deterioration</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PPP</w:t>
            </w:r>
          </w:p>
        </w:tc>
        <w:tc>
          <w:tcPr>
            <w:tcW w:w="8580" w:type="dxa"/>
            <w:vAlign w:val="bottom"/>
          </w:tcPr>
          <w:p>
            <w:pPr>
              <w:ind w:left="20"/>
              <w:spacing w:after="0"/>
              <w:rPr>
                <w:sz w:val="20"/>
                <w:szCs w:val="20"/>
                <w:color w:val="auto"/>
              </w:rPr>
            </w:pPr>
            <w:r>
              <w:rPr>
                <w:rFonts w:ascii="Arial" w:cs="Arial" w:eastAsia="Arial" w:hAnsi="Arial"/>
                <w:sz w:val="13"/>
                <w:szCs w:val="13"/>
                <w:color w:val="auto"/>
              </w:rPr>
              <w:t>Paycheck Protection Program</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REO</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 Owned</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ROU</w:t>
            </w:r>
          </w:p>
        </w:tc>
        <w:tc>
          <w:tcPr>
            <w:tcW w:w="8580" w:type="dxa"/>
            <w:vAlign w:val="bottom"/>
          </w:tcPr>
          <w:p>
            <w:pPr>
              <w:ind w:left="20"/>
              <w:spacing w:after="0"/>
              <w:rPr>
                <w:sz w:val="20"/>
                <w:szCs w:val="20"/>
                <w:color w:val="auto"/>
              </w:rPr>
            </w:pPr>
            <w:r>
              <w:rPr>
                <w:rFonts w:ascii="Arial" w:cs="Arial" w:eastAsia="Arial" w:hAnsi="Arial"/>
                <w:sz w:val="13"/>
                <w:szCs w:val="13"/>
                <w:color w:val="auto"/>
              </w:rPr>
              <w:t>Right of Use</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RSU</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w:t>
            </w: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SBA</w:t>
            </w:r>
          </w:p>
        </w:tc>
        <w:tc>
          <w:tcPr>
            <w:tcW w:w="8580" w:type="dxa"/>
            <w:vAlign w:val="bottom"/>
          </w:tcPr>
          <w:p>
            <w:pPr>
              <w:ind w:left="20"/>
              <w:spacing w:after="0"/>
              <w:rPr>
                <w:sz w:val="20"/>
                <w:szCs w:val="20"/>
                <w:color w:val="auto"/>
              </w:rPr>
            </w:pPr>
            <w:r>
              <w:rPr>
                <w:rFonts w:ascii="Arial" w:cs="Arial" w:eastAsia="Arial" w:hAnsi="Arial"/>
                <w:sz w:val="13"/>
                <w:szCs w:val="13"/>
                <w:color w:val="auto"/>
              </w:rPr>
              <w:t>U.S. Small Business Administration</w:t>
            </w: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SBIC</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Small Business Investment Companies</w:t>
            </w: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SEC</w:t>
            </w:r>
          </w:p>
        </w:tc>
        <w:tc>
          <w:tcPr>
            <w:tcW w:w="8580" w:type="dxa"/>
            <w:vAlign w:val="bottom"/>
          </w:tcPr>
          <w:p>
            <w:pPr>
              <w:ind w:left="20"/>
              <w:spacing w:after="0"/>
              <w:rPr>
                <w:sz w:val="20"/>
                <w:szCs w:val="20"/>
                <w:color w:val="auto"/>
              </w:rPr>
            </w:pPr>
            <w:r>
              <w:rPr>
                <w:rFonts w:ascii="Arial" w:cs="Arial" w:eastAsia="Arial" w:hAnsi="Arial"/>
                <w:sz w:val="13"/>
                <w:szCs w:val="13"/>
                <w:color w:val="auto"/>
              </w:rPr>
              <w:t>Securities and Exchange Commission</w:t>
            </w:r>
          </w:p>
        </w:tc>
        <w:tc>
          <w:tcPr>
            <w:tcW w:w="0" w:type="dxa"/>
            <w:vAlign w:val="bottom"/>
          </w:tcPr>
          <w:p>
            <w:pPr>
              <w:spacing w:after="0"/>
              <w:rPr>
                <w:sz w:val="1"/>
                <w:szCs w:val="1"/>
                <w:color w:val="auto"/>
              </w:rPr>
            </w:pPr>
          </w:p>
        </w:tc>
      </w:tr>
      <w:tr>
        <w:trPr>
          <w:trHeight w:val="130"/>
        </w:trPr>
        <w:tc>
          <w:tcPr>
            <w:tcW w:w="2540" w:type="dxa"/>
            <w:vAlign w:val="bottom"/>
            <w:gridSpan w:val="2"/>
            <w:vMerge w:val="continue"/>
          </w:tcPr>
          <w:p>
            <w:pPr>
              <w:spacing w:after="0"/>
              <w:rPr>
                <w:sz w:val="11"/>
                <w:szCs w:val="11"/>
                <w:color w:val="auto"/>
              </w:rPr>
            </w:pPr>
          </w:p>
        </w:tc>
        <w:tc>
          <w:tcPr>
            <w:tcW w:w="8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TDR</w:t>
            </w: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Troubled Debt Restructuring</w:t>
            </w: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US GAAP</w:t>
            </w:r>
          </w:p>
        </w:tc>
        <w:tc>
          <w:tcPr>
            <w:tcW w:w="8580" w:type="dxa"/>
            <w:vAlign w:val="bottom"/>
          </w:tcPr>
          <w:p>
            <w:pPr>
              <w:ind w:left="20"/>
              <w:spacing w:after="0"/>
              <w:rPr>
                <w:sz w:val="20"/>
                <w:szCs w:val="20"/>
                <w:color w:val="auto"/>
              </w:rPr>
            </w:pPr>
            <w:r>
              <w:rPr>
                <w:rFonts w:ascii="Arial" w:cs="Arial" w:eastAsia="Arial" w:hAnsi="Arial"/>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127"/>
        </w:trPr>
        <w:tc>
          <w:tcPr>
            <w:tcW w:w="2540" w:type="dxa"/>
            <w:vAlign w:val="bottom"/>
            <w:gridSpan w:val="2"/>
            <w:vMerge w:val="continue"/>
          </w:tcPr>
          <w:p>
            <w:pPr>
              <w:spacing w:after="0"/>
              <w:rPr>
                <w:sz w:val="11"/>
                <w:szCs w:val="11"/>
                <w:color w:val="auto"/>
              </w:rPr>
            </w:pPr>
          </w:p>
        </w:tc>
        <w:tc>
          <w:tcPr>
            <w:tcW w:w="8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93"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8600" w:type="dxa"/>
            <w:vAlign w:val="bottom"/>
          </w:tcPr>
          <w:p>
            <w:pPr>
              <w:spacing w:after="0"/>
              <w:rPr>
                <w:sz w:val="20"/>
                <w:szCs w:val="20"/>
                <w:color w:val="auto"/>
              </w:rPr>
            </w:pPr>
            <w:r>
              <w:rPr>
                <w:rFonts w:ascii="Arial" w:cs="Arial" w:eastAsia="Arial" w:hAnsi="Arial"/>
                <w:sz w:val="13"/>
                <w:szCs w:val="13"/>
                <w:b w:val="1"/>
                <w:bCs w:val="1"/>
                <w:color w:val="auto"/>
              </w:rPr>
              <w:t>PART I. FINANCIAL INFORMATION</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600" w:type="dxa"/>
            <w:vAlign w:val="bottom"/>
          </w:tcPr>
          <w:p>
            <w:pPr>
              <w:spacing w:after="0"/>
              <w:rPr>
                <w:sz w:val="20"/>
                <w:szCs w:val="20"/>
                <w:color w:val="auto"/>
              </w:rPr>
            </w:pPr>
            <w:r>
              <w:rPr>
                <w:rFonts w:ascii="Arial" w:cs="Arial" w:eastAsia="Arial" w:hAnsi="Arial"/>
                <w:sz w:val="13"/>
                <w:szCs w:val="13"/>
                <w:b w:val="1"/>
                <w:bCs w:val="1"/>
                <w:color w:val="auto"/>
              </w:rPr>
              <w:t>Item 1.  Financial Statements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8600" w:type="dxa"/>
            <w:vAlign w:val="bottom"/>
          </w:tcPr>
          <w:p>
            <w:pPr>
              <w:ind w:left="4120"/>
              <w:spacing w:after="0"/>
              <w:rPr>
                <w:sz w:val="20"/>
                <w:szCs w:val="20"/>
                <w:color w:val="auto"/>
              </w:rPr>
            </w:pPr>
            <w:r>
              <w:rPr>
                <w:rFonts w:ascii="Arial" w:cs="Arial" w:eastAsia="Arial" w:hAnsi="Arial"/>
                <w:sz w:val="13"/>
                <w:szCs w:val="13"/>
                <w:color w:val="auto"/>
              </w:rPr>
              <w:t>HOMETRUST BANCSHARES, INC. AND SUBSIDIARY</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600" w:type="dxa"/>
            <w:vAlign w:val="bottom"/>
          </w:tcPr>
          <w:p>
            <w:pPr>
              <w:ind w:left="4900"/>
              <w:spacing w:after="0"/>
              <w:rPr>
                <w:sz w:val="20"/>
                <w:szCs w:val="20"/>
                <w:color w:val="auto"/>
              </w:rPr>
            </w:pPr>
            <w:r>
              <w:rPr>
                <w:rFonts w:ascii="Arial" w:cs="Arial" w:eastAsia="Arial" w:hAnsi="Arial"/>
                <w:sz w:val="13"/>
                <w:szCs w:val="13"/>
                <w:color w:val="auto"/>
              </w:rPr>
              <w:t>Consolidated Balance Sheets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00" w:type="dxa"/>
            <w:vAlign w:val="bottom"/>
          </w:tcPr>
          <w:p>
            <w:pPr>
              <w:ind w:left="4520"/>
              <w:spacing w:after="0"/>
              <w:rPr>
                <w:sz w:val="20"/>
                <w:szCs w:val="20"/>
                <w:color w:val="auto"/>
              </w:rPr>
            </w:pPr>
            <w:r>
              <w:rPr>
                <w:rFonts w:ascii="Arial" w:cs="Arial" w:eastAsia="Arial" w:hAnsi="Arial"/>
                <w:sz w:val="13"/>
                <w:szCs w:val="13"/>
                <w:color w:val="auto"/>
              </w:rPr>
              <w:t>(Dollars in thousands, except per share data)</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September 30, 2022</w:t>
            </w:r>
          </w:p>
        </w:tc>
        <w:tc>
          <w:tcPr>
            <w:tcW w:w="160" w:type="dxa"/>
            <w:vAlign w:val="bottom"/>
          </w:tcPr>
          <w:p>
            <w:pPr>
              <w:spacing w:after="0"/>
              <w:rPr>
                <w:sz w:val="14"/>
                <w:szCs w:val="14"/>
                <w:color w:val="auto"/>
              </w:rPr>
            </w:pPr>
          </w:p>
        </w:tc>
        <w:tc>
          <w:tcPr>
            <w:tcW w:w="1080" w:type="dxa"/>
            <w:vAlign w:val="bottom"/>
          </w:tcPr>
          <w:p>
            <w:pPr>
              <w:jc w:val="right"/>
              <w:ind w:right="196"/>
              <w:spacing w:after="0"/>
              <w:rPr>
                <w:sz w:val="20"/>
                <w:szCs w:val="20"/>
                <w:color w:val="auto"/>
              </w:rPr>
            </w:pPr>
            <w:r>
              <w:rPr>
                <w:rFonts w:ascii="Arial" w:cs="Arial" w:eastAsia="Arial" w:hAnsi="Arial"/>
                <w:sz w:val="13"/>
                <w:szCs w:val="13"/>
                <w:b w:val="1"/>
                <w:bCs w:val="1"/>
                <w:color w:val="auto"/>
                <w:w w:val="94"/>
              </w:rPr>
              <w:t>June 30, 2022</w:t>
            </w:r>
          </w:p>
        </w:tc>
        <w:tc>
          <w:tcPr>
            <w:tcW w:w="0" w:type="dxa"/>
            <w:vAlign w:val="bottom"/>
          </w:tcPr>
          <w:p>
            <w:pPr>
              <w:spacing w:after="0"/>
              <w:rPr>
                <w:sz w:val="1"/>
                <w:szCs w:val="1"/>
                <w:color w:val="auto"/>
              </w:rPr>
            </w:pPr>
          </w:p>
        </w:tc>
      </w:tr>
      <w:tr>
        <w:trPr>
          <w:trHeight w:val="152"/>
        </w:trPr>
        <w:tc>
          <w:tcPr>
            <w:tcW w:w="86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Cash</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18,026</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20,910</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76,133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84,209</w:t>
            </w:r>
          </w:p>
        </w:tc>
        <w:tc>
          <w:tcPr>
            <w:tcW w:w="0" w:type="dxa"/>
            <w:vAlign w:val="bottom"/>
          </w:tcPr>
          <w:p>
            <w:pPr>
              <w:spacing w:after="0"/>
              <w:rPr>
                <w:sz w:val="1"/>
                <w:szCs w:val="1"/>
                <w:color w:val="auto"/>
              </w:rPr>
            </w:pPr>
          </w:p>
        </w:tc>
      </w:tr>
      <w:tr>
        <w:trPr>
          <w:trHeight w:val="158"/>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Cash and cash equivalents</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94,159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105,119</w:t>
            </w:r>
          </w:p>
        </w:tc>
        <w:tc>
          <w:tcPr>
            <w:tcW w:w="0" w:type="dxa"/>
            <w:vAlign w:val="bottom"/>
          </w:tcPr>
          <w:p>
            <w:pPr>
              <w:spacing w:after="0"/>
              <w:rPr>
                <w:sz w:val="1"/>
                <w:szCs w:val="1"/>
                <w:color w:val="auto"/>
              </w:rPr>
            </w:pPr>
          </w:p>
        </w:tc>
      </w:tr>
      <w:tr>
        <w:trPr>
          <w:trHeight w:val="163"/>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 net</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Certificates of deposit in other banks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27,535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23,551</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 securities available for sale, at fair value (amortized cost of $167,000 and $130,099 at September 30, 2022 and June 30, 2022, respectively)</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FHLB and FRB stock</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9,404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9,326</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SBIC investments, at cost</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Loans held for sale</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76,252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79,307</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loans, net of deferred loan fees and costs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2,867,783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2,769,295</w:t>
            </w:r>
          </w:p>
        </w:tc>
        <w:tc>
          <w:tcPr>
            <w:tcW w:w="0" w:type="dxa"/>
            <w:vAlign w:val="bottom"/>
          </w:tcPr>
          <w:p>
            <w:pPr>
              <w:spacing w:after="0"/>
              <w:rPr>
                <w:sz w:val="1"/>
                <w:szCs w:val="1"/>
                <w:color w:val="auto"/>
              </w:rPr>
            </w:pPr>
          </w:p>
        </w:tc>
      </w:tr>
      <w:tr>
        <w:trPr>
          <w:trHeight w:val="168"/>
        </w:trPr>
        <w:tc>
          <w:tcPr>
            <w:tcW w:w="8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Allowance for credit losses – loans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(38,301)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(34,690)</w:t>
            </w:r>
          </w:p>
        </w:tc>
        <w:tc>
          <w:tcPr>
            <w:tcW w:w="0" w:type="dxa"/>
            <w:vAlign w:val="bottom"/>
          </w:tcPr>
          <w:p>
            <w:pPr>
              <w:spacing w:after="0"/>
              <w:rPr>
                <w:sz w:val="1"/>
                <w:szCs w:val="1"/>
                <w:color w:val="auto"/>
              </w:rPr>
            </w:pPr>
          </w:p>
        </w:tc>
      </w:tr>
      <w:tr>
        <w:trPr>
          <w:trHeight w:val="163"/>
        </w:trPr>
        <w:tc>
          <w:tcPr>
            <w:tcW w:w="8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Loans, net</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2,829,482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2,734,605</w:t>
            </w:r>
          </w:p>
        </w:tc>
        <w:tc>
          <w:tcPr>
            <w:tcW w:w="0" w:type="dxa"/>
            <w:vAlign w:val="bottom"/>
          </w:tcPr>
          <w:p>
            <w:pPr>
              <w:spacing w:after="0"/>
              <w:rPr>
                <w:sz w:val="1"/>
                <w:szCs w:val="1"/>
                <w:color w:val="auto"/>
              </w:rPr>
            </w:pPr>
          </w:p>
        </w:tc>
      </w:tr>
      <w:tr>
        <w:trPr>
          <w:trHeight w:val="158"/>
        </w:trPr>
        <w:tc>
          <w:tcPr>
            <w:tcW w:w="8600" w:type="dxa"/>
            <w:vAlign w:val="bottom"/>
          </w:tcPr>
          <w:p>
            <w:pPr>
              <w:ind w:left="100"/>
              <w:spacing w:after="0"/>
              <w:rPr>
                <w:sz w:val="20"/>
                <w:szCs w:val="20"/>
                <w:color w:val="auto"/>
              </w:rPr>
            </w:pPr>
            <w:r>
              <w:rPr>
                <w:rFonts w:ascii="Arial" w:cs="Arial" w:eastAsia="Arial" w:hAnsi="Arial"/>
                <w:sz w:val="13"/>
                <w:szCs w:val="13"/>
                <w:color w:val="auto"/>
              </w:rPr>
              <w:t>Premises and equipment, net</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68,705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69,094</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8,573</w:t>
            </w: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Deferred income taxes, net</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11,838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11,487</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BOLI</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95,281</w:t>
            </w: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25,638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25,638</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Core deposit intangibles, net</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8"/>
        </w:trPr>
        <w:tc>
          <w:tcPr>
            <w:tcW w:w="8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47,339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52,967</w:t>
            </w:r>
          </w:p>
        </w:tc>
        <w:tc>
          <w:tcPr>
            <w:tcW w:w="0" w:type="dxa"/>
            <w:vAlign w:val="bottom"/>
          </w:tcPr>
          <w:p>
            <w:pPr>
              <w:spacing w:after="0"/>
              <w:rPr>
                <w:sz w:val="1"/>
                <w:szCs w:val="1"/>
                <w:color w:val="auto"/>
              </w:rPr>
            </w:pPr>
          </w:p>
        </w:tc>
      </w:tr>
      <w:tr>
        <w:trPr>
          <w:trHeight w:val="188"/>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3,555,186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3,549,204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Deposits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3,102,668</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3,099,761</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liabilities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56,296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60,598</w:t>
            </w:r>
          </w:p>
        </w:tc>
        <w:tc>
          <w:tcPr>
            <w:tcW w:w="0" w:type="dxa"/>
            <w:vAlign w:val="bottom"/>
          </w:tcPr>
          <w:p>
            <w:pPr>
              <w:spacing w:after="0"/>
              <w:rPr>
                <w:sz w:val="1"/>
                <w:szCs w:val="1"/>
                <w:color w:val="auto"/>
              </w:rPr>
            </w:pPr>
          </w:p>
        </w:tc>
      </w:tr>
      <w:tr>
        <w:trPr>
          <w:trHeight w:val="163"/>
        </w:trPr>
        <w:tc>
          <w:tcPr>
            <w:tcW w:w="86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3,158,964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3,160,359</w:t>
            </w:r>
          </w:p>
        </w:tc>
        <w:tc>
          <w:tcPr>
            <w:tcW w:w="0" w:type="dxa"/>
            <w:vAlign w:val="bottom"/>
          </w:tcPr>
          <w:p>
            <w:pPr>
              <w:spacing w:after="0"/>
              <w:rPr>
                <w:sz w:val="1"/>
                <w:szCs w:val="1"/>
                <w:color w:val="auto"/>
              </w:rPr>
            </w:pPr>
          </w:p>
        </w:tc>
      </w:tr>
      <w:tr>
        <w:trPr>
          <w:trHeight w:val="148"/>
        </w:trPr>
        <w:tc>
          <w:tcPr>
            <w:tcW w:w="860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Commitments and contingencies – See Note 9</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Preferred stock, $0.01 par value, 10,000,000 shares authorized, none issued or outstanding</w:t>
            </w:r>
          </w:p>
        </w:tc>
        <w:tc>
          <w:tcPr>
            <w:tcW w:w="12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860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rPr>
              <w:t>Common stock, $0.01 par value, 60,000,000 shares authorized, 15,632,348 shares</w:t>
            </w:r>
          </w:p>
        </w:tc>
        <w:tc>
          <w:tcPr>
            <w:tcW w:w="1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6"/>
        </w:trPr>
        <w:tc>
          <w:tcPr>
            <w:tcW w:w="8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issued and outstanding at September 30, 2022; 15,591,466 at June 30, 2022</w:t>
            </w: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Additional paid in capital</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127,153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126,106</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270,276</w:t>
            </w:r>
          </w:p>
        </w:tc>
        <w:tc>
          <w:tcPr>
            <w:tcW w:w="0" w:type="dxa"/>
            <w:vAlign w:val="bottom"/>
          </w:tcPr>
          <w:p>
            <w:pPr>
              <w:spacing w:after="0"/>
              <w:rPr>
                <w:sz w:val="1"/>
                <w:szCs w:val="1"/>
                <w:color w:val="auto"/>
              </w:rPr>
            </w:pPr>
          </w:p>
        </w:tc>
      </w:tr>
      <w:tr>
        <w:trPr>
          <w:trHeight w:val="168"/>
        </w:trPr>
        <w:tc>
          <w:tcPr>
            <w:tcW w:w="8600" w:type="dxa"/>
            <w:vAlign w:val="bottom"/>
          </w:tcPr>
          <w:p>
            <w:pPr>
              <w:ind w:left="100"/>
              <w:spacing w:after="0"/>
              <w:rPr>
                <w:sz w:val="20"/>
                <w:szCs w:val="20"/>
                <w:color w:val="auto"/>
              </w:rPr>
            </w:pPr>
            <w:r>
              <w:rPr>
                <w:rFonts w:ascii="Arial" w:cs="Arial" w:eastAsia="Arial" w:hAnsi="Arial"/>
                <w:sz w:val="13"/>
                <w:szCs w:val="13"/>
                <w:color w:val="auto"/>
              </w:rPr>
              <w:t>Unearned ESOP shares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(5,290)</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other comprehensive loss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0" w:type="dxa"/>
            <w:vAlign w:val="bottom"/>
          </w:tcPr>
          <w:p>
            <w:pPr>
              <w:spacing w:after="0"/>
              <w:rPr>
                <w:sz w:val="1"/>
                <w:szCs w:val="1"/>
                <w:color w:val="auto"/>
              </w:rPr>
            </w:pPr>
          </w:p>
        </w:tc>
      </w:tr>
      <w:tr>
        <w:trPr>
          <w:trHeight w:val="158"/>
        </w:trPr>
        <w:tc>
          <w:tcPr>
            <w:tcW w:w="8600" w:type="dxa"/>
            <w:vAlign w:val="bottom"/>
            <w:tcBorders>
              <w:bottom w:val="single" w:sz="8" w:color="CCEEFF"/>
            </w:tcBorders>
          </w:tcPr>
          <w:p>
            <w:pPr>
              <w:ind w:left="200"/>
              <w:spacing w:after="0"/>
              <w:rPr>
                <w:sz w:val="20"/>
                <w:szCs w:val="20"/>
                <w:color w:val="auto"/>
              </w:rPr>
            </w:pPr>
            <w:r>
              <w:rPr>
                <w:rFonts w:ascii="Arial" w:cs="Arial" w:eastAsia="Arial" w:hAnsi="Arial"/>
                <w:sz w:val="13"/>
                <w:szCs w:val="13"/>
                <w:b w:val="1"/>
                <w:bCs w:val="1"/>
                <w:color w:val="auto"/>
              </w:rPr>
              <w:t>Total stockholders' equity</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396,222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388,845</w:t>
            </w:r>
          </w:p>
        </w:tc>
        <w:tc>
          <w:tcPr>
            <w:tcW w:w="0" w:type="dxa"/>
            <w:vAlign w:val="bottom"/>
          </w:tcPr>
          <w:p>
            <w:pPr>
              <w:spacing w:after="0"/>
              <w:rPr>
                <w:sz w:val="1"/>
                <w:szCs w:val="1"/>
                <w:color w:val="auto"/>
              </w:rPr>
            </w:pPr>
          </w:p>
        </w:tc>
      </w:tr>
      <w:tr>
        <w:trPr>
          <w:trHeight w:val="188"/>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3,555,186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3,549,204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980" w:type="dxa"/>
            <w:vAlign w:val="bottom"/>
            <w:gridSpan w:val="2"/>
          </w:tcPr>
          <w:p>
            <w:pPr>
              <w:jc w:val="right"/>
              <w:ind w:right="2080"/>
              <w:spacing w:after="0"/>
              <w:rPr>
                <w:sz w:val="20"/>
                <w:szCs w:val="20"/>
                <w:color w:val="auto"/>
              </w:rPr>
            </w:pPr>
            <w:r>
              <w:rPr>
                <w:rFonts w:ascii="Arial" w:cs="Arial" w:eastAsia="Arial" w:hAnsi="Arial"/>
                <w:sz w:val="13"/>
                <w:szCs w:val="13"/>
                <w:color w:val="auto"/>
              </w:rPr>
              <w:t>(Dollars in thousands, except per share data)</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39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center"/>
              <w:ind w:left="496"/>
              <w:spacing w:after="0"/>
              <w:rPr>
                <w:sz w:val="20"/>
                <w:szCs w:val="20"/>
                <w:color w:val="auto"/>
              </w:rPr>
            </w:pPr>
            <w:r>
              <w:rPr>
                <w:rFonts w:ascii="Arial" w:cs="Arial" w:eastAsia="Arial" w:hAnsi="Arial"/>
                <w:sz w:val="13"/>
                <w:szCs w:val="13"/>
                <w:b w:val="1"/>
                <w:bCs w:val="1"/>
                <w:color w:val="auto"/>
                <w:w w:val="91"/>
              </w:rPr>
              <w:t>(Unaudited)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3"/>
                <w:szCs w:val="13"/>
                <w:b w:val="1"/>
                <w:bCs w:val="1"/>
                <w:color w:val="auto"/>
                <w:w w:val="87"/>
              </w:rPr>
              <w:t>September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00" w:type="dxa"/>
            <w:vAlign w:val="bottom"/>
            <w:tcBorders>
              <w:bottom w:val="single" w:sz="8" w:color="CCEEFF"/>
            </w:tcBorders>
          </w:tcPr>
          <w:p>
            <w:pPr>
              <w:spacing w:after="0"/>
              <w:rPr>
                <w:sz w:val="13"/>
                <w:szCs w:val="13"/>
                <w:color w:val="auto"/>
              </w:rPr>
            </w:pPr>
          </w:p>
        </w:tc>
        <w:tc>
          <w:tcPr>
            <w:tcW w:w="46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2"/>
        </w:trPr>
        <w:tc>
          <w:tcPr>
            <w:tcW w:w="3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 and dividend income</w:t>
            </w:r>
          </w:p>
        </w:tc>
        <w:tc>
          <w:tcPr>
            <w:tcW w:w="4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Loans</w:t>
            </w:r>
          </w:p>
        </w:tc>
        <w:tc>
          <w:tcPr>
            <w:tcW w:w="4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33,245</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27,895</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paper</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Debt securities available for sale</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investments and interest-bearing deposits</w:t>
            </w:r>
          </w:p>
        </w:tc>
        <w:tc>
          <w:tcPr>
            <w:tcW w:w="46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58"/>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interest and dividend income</w:t>
            </w:r>
          </w:p>
        </w:tc>
        <w:tc>
          <w:tcPr>
            <w:tcW w:w="46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35,927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29,305</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expense</w:t>
            </w:r>
          </w:p>
        </w:tc>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Deposits</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1,395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1,572</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Borrowings</w:t>
            </w:r>
          </w:p>
        </w:tc>
        <w:tc>
          <w:tcPr>
            <w:tcW w:w="46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8"/>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interest expense</w:t>
            </w:r>
          </w:p>
        </w:tc>
        <w:tc>
          <w:tcPr>
            <w:tcW w:w="46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1,598</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27,707</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Provision (benefit) for credit losses</w:t>
            </w:r>
          </w:p>
        </w:tc>
        <w:tc>
          <w:tcPr>
            <w:tcW w:w="4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interest income after provision (benefit) for credit losses</w:t>
            </w:r>
          </w:p>
        </w:tc>
        <w:tc>
          <w:tcPr>
            <w:tcW w:w="46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30,533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29,167</w:t>
            </w: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Noninterest income</w:t>
            </w: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 charges and fees on deposit accounts</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2,372</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Loan income and fees</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979</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sale of loans held for sale</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BOLI income</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income</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4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noninterest income</w:t>
            </w:r>
          </w:p>
        </w:tc>
        <w:tc>
          <w:tcPr>
            <w:tcW w:w="46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10,352</w:t>
            </w: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Noninterest expense</w:t>
            </w: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Salaries and employee benefits</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15,280</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Occupancy expense, net</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2,408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Computer services</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Telephone, postage, and supplies</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Marketing and advertising</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Deposit insurance premiums</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Core deposit intangible amortization</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8"/>
        </w:trPr>
        <w:tc>
          <w:tcPr>
            <w:tcW w:w="3900" w:type="dxa"/>
            <w:vAlign w:val="bottom"/>
          </w:tcPr>
          <w:p>
            <w:pPr>
              <w:ind w:left="120"/>
              <w:spacing w:after="0"/>
              <w:rPr>
                <w:sz w:val="20"/>
                <w:szCs w:val="20"/>
                <w:color w:val="auto"/>
              </w:rPr>
            </w:pPr>
            <w:r>
              <w:rPr>
                <w:rFonts w:ascii="Arial" w:cs="Arial" w:eastAsia="Arial" w:hAnsi="Arial"/>
                <w:sz w:val="13"/>
                <w:szCs w:val="13"/>
                <w:color w:val="auto"/>
              </w:rPr>
              <w:t>Merger-related expenses</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46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3,872</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3,884</w:t>
            </w:r>
          </w:p>
        </w:tc>
        <w:tc>
          <w:tcPr>
            <w:tcW w:w="0" w:type="dxa"/>
            <w:vAlign w:val="bottom"/>
          </w:tcPr>
          <w:p>
            <w:pPr>
              <w:spacing w:after="0"/>
              <w:rPr>
                <w:sz w:val="1"/>
                <w:szCs w:val="1"/>
                <w:color w:val="auto"/>
              </w:rPr>
            </w:pPr>
          </w:p>
        </w:tc>
      </w:tr>
      <w:tr>
        <w:trPr>
          <w:trHeight w:val="158"/>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noninterest expense</w:t>
            </w:r>
          </w:p>
        </w:tc>
        <w:tc>
          <w:tcPr>
            <w:tcW w:w="46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26,101</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26,016</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before income taxes</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13,503</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4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2,976</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4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Per share data</w:t>
            </w: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00" w:type="dxa"/>
            <w:vAlign w:val="bottom"/>
            <w:vMerge w:val="continue"/>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per common share</w:t>
            </w: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Basic</w:t>
            </w:r>
          </w:p>
        </w:tc>
        <w:tc>
          <w:tcPr>
            <w:tcW w:w="4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0.61</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4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r>
        <w:trPr>
          <w:trHeight w:val="210"/>
        </w:trPr>
        <w:tc>
          <w:tcPr>
            <w:tcW w:w="3900" w:type="dxa"/>
            <w:vAlign w:val="bottom"/>
          </w:tcPr>
          <w:p>
            <w:pPr>
              <w:ind w:left="100"/>
              <w:spacing w:after="0"/>
              <w:rPr>
                <w:sz w:val="20"/>
                <w:szCs w:val="20"/>
                <w:color w:val="auto"/>
              </w:rPr>
            </w:pPr>
            <w:r>
              <w:rPr>
                <w:rFonts w:ascii="Arial" w:cs="Arial" w:eastAsia="Arial" w:hAnsi="Arial"/>
                <w:sz w:val="13"/>
                <w:szCs w:val="13"/>
                <w:color w:val="auto"/>
              </w:rPr>
              <w:t>Average shares outstanding</w:t>
            </w: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4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14,988,006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15,761,247</w:t>
            </w:r>
          </w:p>
        </w:tc>
        <w:tc>
          <w:tcPr>
            <w:tcW w:w="0" w:type="dxa"/>
            <w:vAlign w:val="bottom"/>
          </w:tcPr>
          <w:p>
            <w:pPr>
              <w:spacing w:after="0"/>
              <w:rPr>
                <w:sz w:val="1"/>
                <w:szCs w:val="1"/>
                <w:color w:val="auto"/>
              </w:rPr>
            </w:pPr>
          </w:p>
        </w:tc>
      </w:tr>
      <w:tr>
        <w:trPr>
          <w:trHeight w:val="165"/>
        </w:trPr>
        <w:tc>
          <w:tcPr>
            <w:tcW w:w="3900" w:type="dxa"/>
            <w:vAlign w:val="bottom"/>
          </w:tcPr>
          <w:p>
            <w:pPr>
              <w:ind w:left="180"/>
              <w:spacing w:after="0"/>
              <w:rPr>
                <w:sz w:val="20"/>
                <w:szCs w:val="20"/>
                <w:color w:val="auto"/>
              </w:rPr>
            </w:pPr>
            <w:r>
              <w:rPr>
                <w:rFonts w:ascii="Arial" w:cs="Arial" w:eastAsia="Arial" w:hAnsi="Arial"/>
                <w:sz w:val="13"/>
                <w:szCs w:val="13"/>
                <w:color w:val="auto"/>
              </w:rPr>
              <w:t>Diluted</w:t>
            </w: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15,130,762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16,146,611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5" w:name="page6"/>
    <w:bookmarkEnd w:id="5"/>
    <w:p>
      <w:pPr>
        <w:jc w:val="center"/>
        <w:ind w:left="3240"/>
        <w:spacing w:after="0"/>
        <w:rPr>
          <w:sz w:val="20"/>
          <w:szCs w:val="20"/>
          <w:color w:val="auto"/>
        </w:rPr>
      </w:pPr>
      <w:r>
        <w:rPr>
          <w:rFonts w:ascii="Arial" w:cs="Arial" w:eastAsia="Arial" w:hAnsi="Arial"/>
          <w:sz w:val="12"/>
          <w:szCs w:val="12"/>
          <w:color w:val="auto"/>
        </w:rPr>
        <w:t>HOMETRUST BANCSHARES, INC. AND SUBSIDIARY</w:t>
      </w:r>
    </w:p>
    <w:p>
      <w:pPr>
        <w:spacing w:after="0" w:line="21" w:lineRule="exact"/>
        <w:rPr>
          <w:sz w:val="20"/>
          <w:szCs w:val="20"/>
          <w:color w:val="auto"/>
        </w:rPr>
      </w:pPr>
    </w:p>
    <w:p>
      <w:pPr>
        <w:jc w:val="center"/>
        <w:ind w:left="3240"/>
        <w:spacing w:after="0"/>
        <w:rPr>
          <w:sz w:val="20"/>
          <w:szCs w:val="20"/>
          <w:color w:val="auto"/>
        </w:rPr>
      </w:pPr>
      <w:r>
        <w:rPr>
          <w:rFonts w:ascii="Arial" w:cs="Arial" w:eastAsia="Arial" w:hAnsi="Arial"/>
          <w:sz w:val="13"/>
          <w:szCs w:val="13"/>
          <w:color w:val="auto"/>
        </w:rPr>
        <w:t>Consolidated Statements of Comprehensive Income</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Other comprehensive loss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3"/>
          <w:szCs w:val="13"/>
          <w:color w:val="auto"/>
        </w:rPr>
        <w:t>Unrealized holding losses on debt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07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Losses arising during the period</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3"/>
          <w:szCs w:val="13"/>
          <w:color w:val="auto"/>
        </w:rPr>
        <w:t>Total other comprehensive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Comprehensive income</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4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15830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 w:type="dxa"/>
            <w:vAlign w:val="bottom"/>
          </w:tcPr>
          <w:p>
            <w:pPr>
              <w:spacing w:after="0"/>
              <w:rPr>
                <w:sz w:val="14"/>
                <w:szCs w:val="14"/>
                <w:color w:val="auto"/>
              </w:rPr>
            </w:pPr>
          </w:p>
        </w:tc>
        <w:tc>
          <w:tcPr>
            <w:tcW w:w="920" w:type="dxa"/>
            <w:vAlign w:val="bottom"/>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96"/>
              <w:spacing w:after="0"/>
              <w:rPr>
                <w:sz w:val="20"/>
                <w:szCs w:val="20"/>
                <w:color w:val="auto"/>
              </w:rPr>
            </w:pPr>
            <w:r>
              <w:rPr>
                <w:rFonts w:ascii="Arial" w:cs="Arial" w:eastAsia="Arial" w:hAnsi="Arial"/>
                <w:sz w:val="13"/>
                <w:szCs w:val="13"/>
                <w:b w:val="1"/>
                <w:bCs w:val="1"/>
                <w:color w:val="auto"/>
              </w:rPr>
              <w:t>2021</w:t>
            </w:r>
          </w:p>
        </w:tc>
      </w:tr>
      <w:tr>
        <w:trPr>
          <w:trHeight w:val="26"/>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6"/>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9,199</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10,527</w:t>
            </w:r>
          </w:p>
        </w:tc>
      </w:tr>
      <w:tr>
        <w:trPr>
          <w:trHeight w:val="594"/>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(305)</w:t>
            </w:r>
          </w:p>
        </w:tc>
      </w:tr>
      <w:tr>
        <w:trPr>
          <w:trHeight w:val="172"/>
        </w:trPr>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r>
      <w:tr>
        <w:trPr>
          <w:trHeight w:val="160"/>
        </w:trPr>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w:t>
            </w:r>
          </w:p>
        </w:tc>
      </w:tr>
      <w:tr>
        <w:trPr>
          <w:trHeight w:val="160"/>
        </w:trPr>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060" w:space="720"/>
            <w:col w:w="2500"/>
          </w:cols>
          <w:pgMar w:left="300" w:top="897"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Changes in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jc w:val="center"/>
              <w:ind w:left="77"/>
              <w:spacing w:after="0"/>
              <w:rPr>
                <w:sz w:val="20"/>
                <w:szCs w:val="20"/>
                <w:color w:val="auto"/>
              </w:rPr>
            </w:pPr>
            <w:r>
              <w:rPr>
                <w:rFonts w:ascii="Arial" w:cs="Arial" w:eastAsia="Arial" w:hAnsi="Arial"/>
                <w:sz w:val="13"/>
                <w:szCs w:val="13"/>
                <w:b w:val="1"/>
                <w:bCs w:val="1"/>
                <w:color w:val="auto"/>
                <w:w w:val="91"/>
              </w:rPr>
              <w:t>(Unaudited)</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3"/>
          </w:tcPr>
          <w:p>
            <w:pPr>
              <w:jc w:val="center"/>
              <w:ind w:left="317"/>
              <w:spacing w:after="0"/>
              <w:rPr>
                <w:sz w:val="20"/>
                <w:szCs w:val="20"/>
                <w:color w:val="auto"/>
              </w:rPr>
            </w:pPr>
            <w:r>
              <w:rPr>
                <w:rFonts w:ascii="Arial" w:cs="Arial" w:eastAsia="Arial" w:hAnsi="Arial"/>
                <w:sz w:val="13"/>
                <w:szCs w:val="13"/>
                <w:b w:val="1"/>
                <w:bCs w:val="1"/>
                <w:color w:val="auto"/>
                <w:w w:val="89"/>
              </w:rPr>
              <w:t>Three Months Ended September 30, 2022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Unearned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center"/>
              <w:ind w:right="28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6"/>
            <w:vMerge w:val="restart"/>
          </w:tcPr>
          <w:p>
            <w:pPr>
              <w:jc w:val="right"/>
              <w:ind w:right="596"/>
              <w:spacing w:after="0"/>
              <w:rPr>
                <w:sz w:val="20"/>
                <w:szCs w:val="20"/>
                <w:color w:val="auto"/>
              </w:rPr>
            </w:pPr>
            <w:r>
              <w:rPr>
                <w:rFonts w:ascii="Arial" w:cs="Arial" w:eastAsia="Arial" w:hAnsi="Arial"/>
                <w:sz w:val="13"/>
                <w:szCs w:val="13"/>
                <w:b w:val="1"/>
                <w:bCs w:val="1"/>
                <w:color w:val="auto"/>
              </w:rPr>
              <w:t>Common Stock</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28"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6"/>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jc w:val="center"/>
              <w:ind w:right="280"/>
              <w:spacing w:after="0" w:line="104" w:lineRule="exact"/>
              <w:rPr>
                <w:sz w:val="20"/>
                <w:szCs w:val="20"/>
                <w:color w:val="auto"/>
              </w:rPr>
            </w:pPr>
            <w:r>
              <w:rPr>
                <w:rFonts w:ascii="Arial" w:cs="Arial" w:eastAsia="Arial" w:hAnsi="Arial"/>
                <w:sz w:val="12"/>
                <w:szCs w:val="12"/>
                <w:b w:val="1"/>
                <w:bCs w:val="1"/>
                <w:color w:val="auto"/>
              </w:rPr>
              <w:t>Paid In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tcPr>
          <w:p>
            <w:pPr>
              <w:ind w:left="80"/>
              <w:spacing w:after="0" w:line="104" w:lineRule="exact"/>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tcPr>
          <w:p>
            <w:pPr>
              <w:ind w:left="140"/>
              <w:spacing w:after="0" w:line="104" w:lineRule="exact"/>
              <w:rPr>
                <w:sz w:val="20"/>
                <w:szCs w:val="20"/>
                <w:color w:val="auto"/>
              </w:rPr>
            </w:pPr>
            <w:r>
              <w:rPr>
                <w:rFonts w:ascii="Arial" w:cs="Arial" w:eastAsia="Arial" w:hAnsi="Arial"/>
                <w:sz w:val="12"/>
                <w:szCs w:val="12"/>
                <w:b w:val="1"/>
                <w:bCs w:val="1"/>
                <w:color w:val="auto"/>
              </w:rPr>
              <w:t>ESOP</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3"/>
          </w:tcPr>
          <w:p>
            <w:pPr>
              <w:jc w:val="center"/>
              <w:ind w:right="300"/>
              <w:spacing w:after="0" w:line="104" w:lineRule="exact"/>
              <w:rPr>
                <w:sz w:val="20"/>
                <w:szCs w:val="20"/>
                <w:color w:val="auto"/>
              </w:rPr>
            </w:pPr>
            <w:r>
              <w:rPr>
                <w:rFonts w:ascii="Arial" w:cs="Arial" w:eastAsia="Arial" w:hAnsi="Arial"/>
                <w:sz w:val="12"/>
                <w:szCs w:val="12"/>
                <w:b w:val="1"/>
                <w:bCs w:val="1"/>
                <w:color w:val="auto"/>
                <w:w w:val="95"/>
              </w:rPr>
              <w:t>Comprehensive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00"/>
              <w:spacing w:after="0" w:line="104" w:lineRule="exact"/>
              <w:rPr>
                <w:sz w:val="20"/>
                <w:szCs w:val="20"/>
                <w:color w:val="auto"/>
              </w:rPr>
            </w:pPr>
            <w:r>
              <w:rPr>
                <w:rFonts w:ascii="Arial" w:cs="Arial" w:eastAsia="Arial" w:hAnsi="Arial"/>
                <w:sz w:val="12"/>
                <w:szCs w:val="12"/>
                <w:b w:val="1"/>
                <w:bCs w:val="1"/>
                <w:color w:val="auto"/>
                <w:w w:val="96"/>
              </w:rPr>
              <w:t>Stockholders'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ind w:left="3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88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Balance at June 30, 2022</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15,591,466</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126,106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270,276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388,845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288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w w:val="96"/>
              </w:rPr>
              <w:t>Cash dividends declared on common stock, $0.09/</w:t>
            </w:r>
          </w:p>
        </w:tc>
        <w:tc>
          <w:tcPr>
            <w:tcW w:w="20" w:type="dxa"/>
            <w:vAlign w:val="bottom"/>
            <w:shd w:val="clear" w:color="auto" w:fill="CCEEFF"/>
          </w:tcPr>
          <w:p>
            <w:pPr>
              <w:spacing w:after="0"/>
              <w:rPr>
                <w:sz w:val="11"/>
                <w:szCs w:val="11"/>
                <w:color w:val="auto"/>
              </w:rPr>
            </w:pPr>
          </w:p>
        </w:tc>
        <w:tc>
          <w:tcPr>
            <w:tcW w:w="11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3"/>
            <w:vMerge w:val="restart"/>
            <w:shd w:val="clear" w:color="auto" w:fill="CCEEFF"/>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common share</w:t>
            </w:r>
          </w:p>
        </w:tc>
        <w:tc>
          <w:tcPr>
            <w:tcW w:w="20" w:type="dxa"/>
            <w:vAlign w:val="bottom"/>
            <w:shd w:val="clear" w:color="auto" w:fill="CCEEFF"/>
          </w:tcPr>
          <w:p>
            <w:pPr>
              <w:spacing w:after="0"/>
              <w:rPr>
                <w:sz w:val="14"/>
                <w:szCs w:val="14"/>
                <w:color w:val="auto"/>
              </w:rPr>
            </w:pPr>
          </w:p>
        </w:tc>
        <w:tc>
          <w:tcPr>
            <w:tcW w:w="11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Forfeited restricted stock</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Retired stock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Granted restricted stock</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4,500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Stock issued for RSUs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13,861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Exercised stock options</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27,000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ESOP compensation expense</w:t>
            </w:r>
          </w:p>
        </w:tc>
        <w:tc>
          <w:tcPr>
            <w:tcW w:w="2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8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80" w:type="dxa"/>
            <w:vAlign w:val="bottom"/>
          </w:tcPr>
          <w:p>
            <w:pPr>
              <w:spacing w:after="0" w:line="146" w:lineRule="exact"/>
              <w:rPr>
                <w:sz w:val="20"/>
                <w:szCs w:val="20"/>
                <w:color w:val="auto"/>
              </w:rPr>
            </w:pPr>
            <w:r>
              <w:rPr>
                <w:rFonts w:ascii="Arial" w:cs="Arial" w:eastAsia="Arial" w:hAnsi="Arial"/>
                <w:sz w:val="13"/>
                <w:szCs w:val="13"/>
                <w:b w:val="1"/>
                <w:bCs w:val="1"/>
                <w:color w:val="auto"/>
              </w:rPr>
              <w:t>Balance at September 30, 2022</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15,632,348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127,153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278,120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396,222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5"/>
          </w:tcPr>
          <w:p>
            <w:pPr>
              <w:jc w:val="center"/>
              <w:ind w:left="117"/>
              <w:spacing w:after="0"/>
              <w:rPr>
                <w:sz w:val="20"/>
                <w:szCs w:val="20"/>
                <w:color w:val="auto"/>
              </w:rPr>
            </w:pPr>
            <w:r>
              <w:rPr>
                <w:rFonts w:ascii="Arial" w:cs="Arial" w:eastAsia="Arial" w:hAnsi="Arial"/>
                <w:sz w:val="13"/>
                <w:szCs w:val="13"/>
                <w:b w:val="1"/>
                <w:bCs w:val="1"/>
                <w:color w:val="auto"/>
                <w:w w:val="91"/>
              </w:rPr>
              <w:t>(Unaudited)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3"/>
          </w:tcPr>
          <w:p>
            <w:pPr>
              <w:jc w:val="center"/>
              <w:ind w:left="357"/>
              <w:spacing w:after="0"/>
              <w:rPr>
                <w:sz w:val="20"/>
                <w:szCs w:val="20"/>
                <w:color w:val="auto"/>
              </w:rPr>
            </w:pPr>
            <w:r>
              <w:rPr>
                <w:rFonts w:ascii="Arial" w:cs="Arial" w:eastAsia="Arial" w:hAnsi="Arial"/>
                <w:sz w:val="13"/>
                <w:szCs w:val="13"/>
                <w:b w:val="1"/>
                <w:bCs w:val="1"/>
                <w:color w:val="auto"/>
                <w:w w:val="89"/>
              </w:rPr>
              <w:t>Three Months Ended September 30,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9"/>
              </w:rPr>
              <w:t>Unearned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restart"/>
          </w:tcPr>
          <w:p>
            <w:pPr>
              <w:jc w:val="right"/>
              <w:ind w:right="660"/>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jc w:val="center"/>
              <w:ind w:right="240"/>
              <w:spacing w:after="0" w:line="128"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Borders>
              <w:bottom w:val="single" w:sz="8" w:color="auto"/>
            </w:tcBorders>
            <w:gridSpan w:val="7"/>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tcPr>
          <w:p>
            <w:pPr>
              <w:jc w:val="center"/>
              <w:ind w:right="200"/>
              <w:spacing w:after="0" w:line="93" w:lineRule="exact"/>
              <w:rPr>
                <w:sz w:val="20"/>
                <w:szCs w:val="20"/>
                <w:color w:val="auto"/>
              </w:rPr>
            </w:pPr>
            <w:r>
              <w:rPr>
                <w:rFonts w:ascii="Arial" w:cs="Arial" w:eastAsia="Arial" w:hAnsi="Arial"/>
                <w:sz w:val="10"/>
                <w:szCs w:val="10"/>
                <w:b w:val="1"/>
                <w:bCs w:val="1"/>
                <w:color w:val="auto"/>
              </w:rPr>
              <w:t>Paid In</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tcPr>
          <w:p>
            <w:pPr>
              <w:ind w:left="100"/>
              <w:spacing w:after="0" w:line="93" w:lineRule="exact"/>
              <w:rPr>
                <w:sz w:val="20"/>
                <w:szCs w:val="20"/>
                <w:color w:val="auto"/>
              </w:rPr>
            </w:pPr>
            <w:r>
              <w:rPr>
                <w:rFonts w:ascii="Arial" w:cs="Arial" w:eastAsia="Arial" w:hAnsi="Arial"/>
                <w:sz w:val="10"/>
                <w:szCs w:val="10"/>
                <w:b w:val="1"/>
                <w:bCs w:val="1"/>
                <w:color w:val="auto"/>
              </w:rPr>
              <w:t>Retained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tcPr>
          <w:p>
            <w:pPr>
              <w:jc w:val="center"/>
              <w:ind w:right="200"/>
              <w:spacing w:after="0" w:line="93" w:lineRule="exact"/>
              <w:rPr>
                <w:sz w:val="20"/>
                <w:szCs w:val="20"/>
                <w:color w:val="auto"/>
              </w:rPr>
            </w:pPr>
            <w:r>
              <w:rPr>
                <w:rFonts w:ascii="Arial" w:cs="Arial" w:eastAsia="Arial" w:hAnsi="Arial"/>
                <w:sz w:val="10"/>
                <w:szCs w:val="10"/>
                <w:b w:val="1"/>
                <w:bCs w:val="1"/>
                <w:color w:val="auto"/>
              </w:rPr>
              <w:t>ESOP</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gridSpan w:val="3"/>
          </w:tcPr>
          <w:p>
            <w:pPr>
              <w:jc w:val="center"/>
              <w:ind w:right="240"/>
              <w:spacing w:after="0" w:line="93" w:lineRule="exact"/>
              <w:rPr>
                <w:sz w:val="20"/>
                <w:szCs w:val="20"/>
                <w:color w:val="auto"/>
              </w:rPr>
            </w:pPr>
            <w:r>
              <w:rPr>
                <w:rFonts w:ascii="Arial" w:cs="Arial" w:eastAsia="Arial" w:hAnsi="Arial"/>
                <w:sz w:val="10"/>
                <w:szCs w:val="10"/>
                <w:b w:val="1"/>
                <w:bCs w:val="1"/>
                <w:color w:val="auto"/>
              </w:rPr>
              <w:t>Comprehensive</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140"/>
              <w:spacing w:after="0" w:line="93"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3"/>
        </w:trPr>
        <w:tc>
          <w:tcPr>
            <w:tcW w:w="2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June 30, 2021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16,636,483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160,582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240,075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(5,819)</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396,519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10,527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 w:type="dxa"/>
            <w:vAlign w:val="bottom"/>
            <w:shd w:val="clear" w:color="auto" w:fill="CCEEFF"/>
          </w:tcPr>
          <w:p>
            <w:pPr>
              <w:spacing w:after="0"/>
              <w:rPr>
                <w:sz w:val="11"/>
                <w:szCs w:val="11"/>
                <w:color w:val="auto"/>
              </w:rPr>
            </w:pPr>
          </w:p>
        </w:tc>
        <w:tc>
          <w:tcPr>
            <w:tcW w:w="288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Cash dividends declared on common stock,</w:t>
            </w:r>
          </w:p>
        </w:tc>
        <w:tc>
          <w:tcPr>
            <w:tcW w:w="20" w:type="dxa"/>
            <w:vAlign w:val="bottom"/>
            <w:shd w:val="clear" w:color="auto" w:fill="CCEEFF"/>
          </w:tcPr>
          <w:p>
            <w:pPr>
              <w:spacing w:after="0"/>
              <w:rPr>
                <w:sz w:val="11"/>
                <w:szCs w:val="11"/>
                <w:color w:val="auto"/>
              </w:rPr>
            </w:pPr>
          </w:p>
        </w:tc>
        <w:tc>
          <w:tcPr>
            <w:tcW w:w="11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(1,271)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(1,271)</w:t>
            </w:r>
          </w:p>
        </w:tc>
        <w:tc>
          <w:tcPr>
            <w:tcW w:w="0" w:type="dxa"/>
            <w:vAlign w:val="bottom"/>
          </w:tcPr>
          <w:p>
            <w:pPr>
              <w:spacing w:after="0"/>
              <w:rPr>
                <w:sz w:val="1"/>
                <w:szCs w:val="1"/>
                <w:color w:val="auto"/>
              </w:rPr>
            </w:pPr>
          </w:p>
        </w:tc>
      </w:tr>
      <w:tr>
        <w:trPr>
          <w:trHeight w:val="166"/>
        </w:trPr>
        <w:tc>
          <w:tcPr>
            <w:tcW w:w="40" w:type="dxa"/>
            <w:vAlign w:val="bottom"/>
            <w:shd w:val="clear" w:color="auto" w:fill="CCEEFF"/>
          </w:tcPr>
          <w:p>
            <w:pPr>
              <w:spacing w:after="0"/>
              <w:rPr>
                <w:sz w:val="14"/>
                <w:szCs w:val="14"/>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$0.08/common share</w:t>
            </w:r>
          </w:p>
        </w:tc>
        <w:tc>
          <w:tcPr>
            <w:tcW w:w="20" w:type="dxa"/>
            <w:vAlign w:val="bottom"/>
            <w:shd w:val="clear" w:color="auto" w:fill="CCEEFF"/>
          </w:tcPr>
          <w:p>
            <w:pPr>
              <w:spacing w:after="0"/>
              <w:rPr>
                <w:sz w:val="14"/>
                <w:szCs w:val="14"/>
                <w:color w:val="auto"/>
              </w:rPr>
            </w:pPr>
          </w:p>
        </w:tc>
        <w:tc>
          <w:tcPr>
            <w:tcW w:w="11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Arial" w:cs="Arial" w:eastAsia="Arial" w:hAnsi="Arial"/>
                <w:sz w:val="13"/>
                <w:szCs w:val="13"/>
                <w:color w:val="auto"/>
              </w:rPr>
              <w:t>Common stock repurchased</w:t>
            </w:r>
          </w:p>
        </w:tc>
        <w:tc>
          <w:tcPr>
            <w:tcW w:w="1100" w:type="dxa"/>
            <w:vAlign w:val="bottom"/>
            <w:gridSpan w:val="3"/>
          </w:tcPr>
          <w:p>
            <w:pPr>
              <w:jc w:val="right"/>
              <w:ind w:right="20"/>
              <w:spacing w:after="0"/>
              <w:rPr>
                <w:sz w:val="20"/>
                <w:szCs w:val="20"/>
                <w:color w:val="auto"/>
              </w:rPr>
            </w:pPr>
            <w:r>
              <w:rPr>
                <w:rFonts w:ascii="Arial" w:cs="Arial" w:eastAsia="Arial" w:hAnsi="Arial"/>
                <w:sz w:val="13"/>
                <w:szCs w:val="13"/>
                <w:color w:val="auto"/>
              </w:rPr>
              <w:t>(376,435)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(10,429)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(10,433)</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Forfeited restricted stock</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(3,000)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Arial" w:cs="Arial" w:eastAsia="Arial" w:hAnsi="Arial"/>
                <w:sz w:val="13"/>
                <w:szCs w:val="13"/>
                <w:color w:val="auto"/>
              </w:rPr>
              <w:t>Retired stock</w:t>
            </w:r>
          </w:p>
        </w:tc>
        <w:tc>
          <w:tcPr>
            <w:tcW w:w="1100" w:type="dxa"/>
            <w:vAlign w:val="bottom"/>
            <w:gridSpan w:val="3"/>
          </w:tcPr>
          <w:p>
            <w:pPr>
              <w:jc w:val="right"/>
              <w:ind w:right="20"/>
              <w:spacing w:after="0"/>
              <w:rPr>
                <w:sz w:val="20"/>
                <w:szCs w:val="20"/>
                <w:color w:val="auto"/>
              </w:rPr>
            </w:pPr>
            <w:r>
              <w:rPr>
                <w:rFonts w:ascii="Arial" w:cs="Arial" w:eastAsia="Arial" w:hAnsi="Arial"/>
                <w:sz w:val="13"/>
                <w:szCs w:val="13"/>
                <w:color w:val="auto"/>
              </w:rPr>
              <w:t>(2,708)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issued for RSUs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7,118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Arial" w:cs="Arial" w:eastAsia="Arial" w:hAnsi="Arial"/>
                <w:sz w:val="13"/>
                <w:szCs w:val="13"/>
                <w:color w:val="auto"/>
              </w:rPr>
              <w:t>Exercised stock options</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46,200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Arial" w:cs="Arial" w:eastAsia="Arial" w:hAnsi="Arial"/>
                <w:sz w:val="13"/>
                <w:szCs w:val="13"/>
                <w:color w:val="auto"/>
              </w:rPr>
              <w:t>ESOP compensation expense</w:t>
            </w:r>
          </w:p>
        </w:tc>
        <w:tc>
          <w:tcPr>
            <w:tcW w:w="2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center"/>
              <w:ind w:left="877"/>
              <w:spacing w:after="0"/>
              <w:rPr>
                <w:sz w:val="20"/>
                <w:szCs w:val="20"/>
                <w:color w:val="auto"/>
              </w:rPr>
            </w:pPr>
            <w:r>
              <w:rPr>
                <w:rFonts w:ascii="Arial" w:cs="Arial" w:eastAsia="Arial" w:hAnsi="Arial"/>
                <w:sz w:val="13"/>
                <w:szCs w:val="13"/>
                <w:color w:val="auto"/>
                <w:w w:val="92"/>
              </w:rPr>
              <w:t>(235)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8"/>
        </w:trPr>
        <w:tc>
          <w:tcPr>
            <w:tcW w:w="292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Balance at September 30, 2021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16,307,658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151,425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249,331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(5,687)</w:t>
            </w:r>
          </w:p>
        </w:tc>
        <w:tc>
          <w:tcPr>
            <w:tcW w:w="80" w:type="dxa"/>
            <w:vAlign w:val="bottom"/>
          </w:tcPr>
          <w:p>
            <w:pPr>
              <w:spacing w:after="0"/>
              <w:rPr>
                <w:sz w:val="13"/>
                <w:szCs w:val="13"/>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1,279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396,511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8480" w:type="dxa"/>
            <w:vAlign w:val="bottom"/>
          </w:tcPr>
          <w:p>
            <w:pPr>
              <w:jc w:val="center"/>
              <w:ind w:left="2436"/>
              <w:spacing w:after="0"/>
              <w:rPr>
                <w:sz w:val="20"/>
                <w:szCs w:val="20"/>
                <w:color w:val="auto"/>
              </w:rPr>
            </w:pPr>
            <w:r>
              <w:rPr>
                <w:rFonts w:ascii="Arial" w:cs="Arial" w:eastAsia="Arial" w:hAnsi="Arial"/>
                <w:sz w:val="13"/>
                <w:szCs w:val="13"/>
                <w:color w:val="auto"/>
                <w:w w:val="94"/>
              </w:rPr>
              <w:t>HOMETRUST BANCSHARES, INC. AND SUBSIDIARY</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8480" w:type="dxa"/>
            <w:vAlign w:val="bottom"/>
          </w:tcPr>
          <w:p>
            <w:pPr>
              <w:jc w:val="center"/>
              <w:ind w:left="2416"/>
              <w:spacing w:after="0"/>
              <w:rPr>
                <w:sz w:val="20"/>
                <w:szCs w:val="20"/>
                <w:color w:val="auto"/>
              </w:rPr>
            </w:pPr>
            <w:r>
              <w:rPr>
                <w:rFonts w:ascii="Arial" w:cs="Arial" w:eastAsia="Arial" w:hAnsi="Arial"/>
                <w:sz w:val="13"/>
                <w:szCs w:val="13"/>
                <w:color w:val="auto"/>
                <w:w w:val="88"/>
              </w:rPr>
              <w:t>Consolidated Statements of Cash Flows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1"/>
        </w:trPr>
        <w:tc>
          <w:tcPr>
            <w:tcW w:w="8480" w:type="dxa"/>
            <w:vAlign w:val="bottom"/>
          </w:tcPr>
          <w:p>
            <w:pPr>
              <w:jc w:val="center"/>
              <w:ind w:left="2416"/>
              <w:spacing w:after="0"/>
              <w:rPr>
                <w:sz w:val="20"/>
                <w:szCs w:val="20"/>
                <w:color w:val="auto"/>
              </w:rPr>
            </w:pPr>
            <w:r>
              <w:rPr>
                <w:rFonts w:ascii="Arial" w:cs="Arial" w:eastAsia="Arial" w:hAnsi="Arial"/>
                <w:sz w:val="13"/>
                <w:szCs w:val="13"/>
                <w:color w:val="auto"/>
                <w:w w:val="88"/>
              </w:rPr>
              <w:t>(Dollars in thousands)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8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right"/>
              <w:ind w:right="52"/>
              <w:spacing w:after="0"/>
              <w:rPr>
                <w:sz w:val="20"/>
                <w:szCs w:val="20"/>
                <w:color w:val="auto"/>
              </w:rPr>
            </w:pPr>
            <w:r>
              <w:rPr>
                <w:rFonts w:ascii="Arial" w:cs="Arial" w:eastAsia="Arial" w:hAnsi="Arial"/>
                <w:sz w:val="13"/>
                <w:szCs w:val="13"/>
                <w:b w:val="1"/>
                <w:bCs w:val="1"/>
                <w:color w:val="auto"/>
              </w:rPr>
              <w:t>(Unaudited)</w:t>
            </w:r>
          </w:p>
        </w:tc>
        <w:tc>
          <w:tcPr>
            <w:tcW w:w="820" w:type="dxa"/>
            <w:vAlign w:val="bottom"/>
          </w:tcPr>
          <w:p>
            <w:pPr>
              <w:spacing w:after="0"/>
              <w:rPr>
                <w:sz w:val="15"/>
                <w:szCs w:val="15"/>
                <w:color w:val="auto"/>
              </w:rPr>
            </w:pPr>
          </w:p>
        </w:tc>
      </w:tr>
      <w:tr>
        <w:trPr>
          <w:trHeight w:val="172"/>
        </w:trPr>
        <w:tc>
          <w:tcPr>
            <w:tcW w:w="8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3"/>
                <w:szCs w:val="13"/>
                <w:b w:val="1"/>
                <w:bCs w:val="1"/>
                <w:color w:val="auto"/>
                <w:w w:val="93"/>
              </w:rPr>
              <w:t>Three Months Ended September 30,</w:t>
            </w:r>
          </w:p>
        </w:tc>
      </w:tr>
      <w:tr>
        <w:trPr>
          <w:trHeight w:val="190"/>
        </w:trPr>
        <w:tc>
          <w:tcPr>
            <w:tcW w:w="8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r>
      <w:tr>
        <w:trPr>
          <w:trHeight w:val="152"/>
        </w:trPr>
        <w:tc>
          <w:tcPr>
            <w:tcW w:w="8480" w:type="dxa"/>
            <w:vAlign w:val="bottom"/>
          </w:tcPr>
          <w:p>
            <w:pPr>
              <w:spacing w:after="0"/>
              <w:rPr>
                <w:sz w:val="20"/>
                <w:szCs w:val="20"/>
                <w:color w:val="auto"/>
              </w:rPr>
            </w:pPr>
            <w:r>
              <w:rPr>
                <w:rFonts w:ascii="Arial" w:cs="Arial" w:eastAsia="Arial" w:hAnsi="Arial"/>
                <w:sz w:val="13"/>
                <w:szCs w:val="13"/>
                <w:b w:val="1"/>
                <w:bCs w:val="1"/>
                <w:color w:val="auto"/>
              </w:rPr>
              <w:t>Operating activities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10,527</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Provision (benefit) for credit losses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Depreciation and amortization of premises and equipment and equipment for operating leases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2,279</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income tax expense (benefit)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Net accretion of purchase accounting adjustments on loans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(428)</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amortization and accretion</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Loss from sale of premises and equipment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Gain on sale of REO</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BOLI income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(518)</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Gain on sale of loans held for sale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Origination of loans held for sale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(58,035)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(140,626)</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Proceeds from sale of loans held for sale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129,679</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New deferred loan origination fees, net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(971)</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Decrease in accrued interest receivable and other assets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r>
      <w:tr>
        <w:trPr>
          <w:trHeight w:val="168"/>
        </w:trPr>
        <w:tc>
          <w:tcPr>
            <w:tcW w:w="8480" w:type="dxa"/>
            <w:vAlign w:val="bottom"/>
          </w:tcPr>
          <w:p>
            <w:pPr>
              <w:ind w:left="160"/>
              <w:spacing w:after="0"/>
              <w:rPr>
                <w:sz w:val="20"/>
                <w:szCs w:val="20"/>
                <w:color w:val="auto"/>
              </w:rPr>
            </w:pPr>
            <w:r>
              <w:rPr>
                <w:rFonts w:ascii="Arial" w:cs="Arial" w:eastAsia="Arial" w:hAnsi="Arial"/>
                <w:sz w:val="13"/>
                <w:szCs w:val="13"/>
                <w:color w:val="auto"/>
              </w:rPr>
              <w:t>ESOP compensation expense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72"/>
        </w:trPr>
        <w:tc>
          <w:tcPr>
            <w:tcW w:w="8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 expense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r>
      <w:tr>
        <w:trPr>
          <w:trHeight w:val="168"/>
        </w:trPr>
        <w:tc>
          <w:tcPr>
            <w:tcW w:w="84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Increase (decrease) in other liabilities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163"/>
        </w:trPr>
        <w:tc>
          <w:tcPr>
            <w:tcW w:w="848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(1,883)</w:t>
            </w:r>
          </w:p>
        </w:tc>
      </w:tr>
      <w:tr>
        <w:trPr>
          <w:trHeight w:val="201"/>
        </w:trPr>
        <w:tc>
          <w:tcPr>
            <w:tcW w:w="848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debt securities available for sale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(5,261)</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Proceeds from maturities, calls and paydowns of debt securities available for sale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36,225</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commercial paper</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(133,901)</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Proceeds from maturities and calls of commercial paper</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320,689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127,000</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CDs in other banks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Proceeds from maturities of CDs in other banks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5,623</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(purchases) redemptions of FHLB and FRB stock</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Net (purchases) redemptions of SBIC investments, at cost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(360)</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(increase) decrease in loans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17,696</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Purchase of BOLI</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 of equipment for operating leases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Payoff of equipment for operating leases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1,165</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 of premises and equipment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Proceeds from sale of assets held for sale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sale of REO</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58"/>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(20,928)</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47,802</w:t>
            </w:r>
          </w:p>
        </w:tc>
      </w:tr>
      <w:tr>
        <w:trPr>
          <w:trHeight w:val="205"/>
        </w:trPr>
        <w:tc>
          <w:tcPr>
            <w:tcW w:w="8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Net increase in deposits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31,743</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decrease in short-term borrowings</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Common stock repurchased</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(10,433)</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dividends paid</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r>
      <w:tr>
        <w:trPr>
          <w:trHeight w:val="168"/>
        </w:trPr>
        <w:tc>
          <w:tcPr>
            <w:tcW w:w="8480" w:type="dxa"/>
            <w:vAlign w:val="bottom"/>
          </w:tcPr>
          <w:p>
            <w:pPr>
              <w:ind w:left="80"/>
              <w:spacing w:after="0"/>
              <w:rPr>
                <w:sz w:val="20"/>
                <w:szCs w:val="20"/>
                <w:color w:val="auto"/>
              </w:rPr>
            </w:pPr>
            <w:r>
              <w:rPr>
                <w:rFonts w:ascii="Arial" w:cs="Arial" w:eastAsia="Arial" w:hAnsi="Arial"/>
                <w:sz w:val="13"/>
                <w:szCs w:val="13"/>
                <w:color w:val="auto"/>
              </w:rPr>
              <w:t>Retired stock</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72"/>
        </w:trPr>
        <w:tc>
          <w:tcPr>
            <w:tcW w:w="8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Exercised stock options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w:t>
            </w:r>
          </w:p>
        </w:tc>
      </w:tr>
      <w:tr>
        <w:trPr>
          <w:trHeight w:val="158"/>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(54,336)</w:t>
            </w:r>
          </w:p>
        </w:tc>
      </w:tr>
      <w:tr>
        <w:trPr>
          <w:trHeight w:val="163"/>
        </w:trPr>
        <w:tc>
          <w:tcPr>
            <w:tcW w:w="8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decrease in cash and cash equivalents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(8,417)</w:t>
            </w:r>
          </w:p>
        </w:tc>
      </w:tr>
      <w:tr>
        <w:trPr>
          <w:trHeight w:val="168"/>
        </w:trPr>
        <w:tc>
          <w:tcPr>
            <w:tcW w:w="84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105,119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50,990</w:t>
            </w:r>
          </w:p>
        </w:tc>
      </w:tr>
      <w:tr>
        <w:trPr>
          <w:trHeight w:val="188"/>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94,159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42,573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460" w:top="896"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8780" w:type="dxa"/>
            <w:vAlign w:val="bottom"/>
          </w:tcPr>
          <w:p>
            <w:pPr>
              <w:jc w:val="center"/>
              <w:ind w:left="2456"/>
              <w:spacing w:after="0"/>
              <w:rPr>
                <w:sz w:val="20"/>
                <w:szCs w:val="20"/>
                <w:color w:val="auto"/>
              </w:rPr>
            </w:pPr>
            <w:r>
              <w:rPr>
                <w:rFonts w:ascii="Arial" w:cs="Arial" w:eastAsia="Arial" w:hAnsi="Arial"/>
                <w:sz w:val="13"/>
                <w:szCs w:val="13"/>
                <w:color w:val="auto"/>
                <w:w w:val="94"/>
              </w:rPr>
              <w:t>HOMETRUST BANCSHARES, INC. AND SUBSIDIARY</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8780" w:type="dxa"/>
            <w:vAlign w:val="bottom"/>
          </w:tcPr>
          <w:p>
            <w:pPr>
              <w:jc w:val="center"/>
              <w:ind w:left="2436"/>
              <w:spacing w:after="0"/>
              <w:rPr>
                <w:sz w:val="20"/>
                <w:szCs w:val="20"/>
                <w:color w:val="auto"/>
              </w:rPr>
            </w:pPr>
            <w:r>
              <w:rPr>
                <w:rFonts w:ascii="Arial" w:cs="Arial" w:eastAsia="Arial" w:hAnsi="Arial"/>
                <w:sz w:val="13"/>
                <w:szCs w:val="13"/>
                <w:color w:val="auto"/>
                <w:w w:val="88"/>
              </w:rPr>
              <w:t>Consolidated Statements of Cash Flows (continued)</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1"/>
        </w:trPr>
        <w:tc>
          <w:tcPr>
            <w:tcW w:w="8780" w:type="dxa"/>
            <w:vAlign w:val="bottom"/>
          </w:tcPr>
          <w:p>
            <w:pPr>
              <w:jc w:val="center"/>
              <w:ind w:left="2436"/>
              <w:spacing w:after="0"/>
              <w:rPr>
                <w:sz w:val="20"/>
                <w:szCs w:val="20"/>
                <w:color w:val="auto"/>
              </w:rPr>
            </w:pPr>
            <w:r>
              <w:rPr>
                <w:rFonts w:ascii="Arial" w:cs="Arial" w:eastAsia="Arial" w:hAnsi="Arial"/>
                <w:sz w:val="13"/>
                <w:szCs w:val="13"/>
                <w:color w:val="auto"/>
                <w:w w:val="88"/>
              </w:rPr>
              <w:t>(Dollars in thousands)</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8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(Unaudited)</w:t>
            </w:r>
          </w:p>
        </w:tc>
        <w:tc>
          <w:tcPr>
            <w:tcW w:w="820" w:type="dxa"/>
            <w:vAlign w:val="bottom"/>
          </w:tcPr>
          <w:p>
            <w:pPr>
              <w:spacing w:after="0"/>
              <w:rPr>
                <w:sz w:val="15"/>
                <w:szCs w:val="15"/>
                <w:color w:val="auto"/>
              </w:rPr>
            </w:pPr>
          </w:p>
        </w:tc>
      </w:tr>
      <w:tr>
        <w:trPr>
          <w:trHeight w:val="172"/>
        </w:trPr>
        <w:tc>
          <w:tcPr>
            <w:tcW w:w="8780" w:type="dxa"/>
            <w:vAlign w:val="bottom"/>
          </w:tcPr>
          <w:p>
            <w:pPr>
              <w:spacing w:after="0"/>
              <w:rPr>
                <w:sz w:val="14"/>
                <w:szCs w:val="14"/>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8"/>
              </w:rPr>
              <w:t>Three Months Ended September 30,</w:t>
            </w:r>
          </w:p>
        </w:tc>
      </w:tr>
      <w:tr>
        <w:trPr>
          <w:trHeight w:val="169"/>
        </w:trPr>
        <w:tc>
          <w:tcPr>
            <w:tcW w:w="8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96"/>
              <w:spacing w:after="0"/>
              <w:rPr>
                <w:sz w:val="20"/>
                <w:szCs w:val="20"/>
                <w:color w:val="auto"/>
              </w:rPr>
            </w:pPr>
            <w:r>
              <w:rPr>
                <w:rFonts w:ascii="Arial" w:cs="Arial" w:eastAsia="Arial" w:hAnsi="Arial"/>
                <w:sz w:val="13"/>
                <w:szCs w:val="13"/>
                <w:b w:val="1"/>
                <w:bCs w:val="1"/>
                <w:color w:val="auto"/>
              </w:rPr>
              <w:t>2021</w:t>
            </w:r>
          </w:p>
        </w:tc>
      </w:tr>
      <w:tr>
        <w:trPr>
          <w:trHeight w:val="26"/>
        </w:trPr>
        <w:tc>
          <w:tcPr>
            <w:tcW w:w="8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50"/>
        </w:trPr>
        <w:tc>
          <w:tcPr>
            <w:tcW w:w="87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Supplemental disclosures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8"/>
        </w:trPr>
        <w:tc>
          <w:tcPr>
            <w:tcW w:w="8780" w:type="dxa"/>
            <w:vAlign w:val="bottom"/>
          </w:tcPr>
          <w:p>
            <w:pPr>
              <w:ind w:left="100"/>
              <w:spacing w:after="0"/>
              <w:rPr>
                <w:sz w:val="20"/>
                <w:szCs w:val="20"/>
                <w:color w:val="auto"/>
              </w:rPr>
            </w:pPr>
            <w:r>
              <w:rPr>
                <w:rFonts w:ascii="Arial" w:cs="Arial" w:eastAsia="Arial" w:hAnsi="Arial"/>
                <w:sz w:val="13"/>
                <w:szCs w:val="13"/>
                <w:color w:val="auto"/>
              </w:rPr>
              <w:t>Cash paid during the period for:</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8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w:t>
            </w:r>
          </w:p>
        </w:tc>
      </w:tr>
      <w:tr>
        <w:trPr>
          <w:trHeight w:val="168"/>
        </w:trPr>
        <w:tc>
          <w:tcPr>
            <w:tcW w:w="878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94"/>
        </w:trPr>
        <w:tc>
          <w:tcPr>
            <w:tcW w:w="8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Noncash transactions:</w:t>
            </w:r>
          </w:p>
        </w:tc>
        <w:tc>
          <w:tcPr>
            <w:tcW w:w="7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68"/>
        </w:trPr>
        <w:tc>
          <w:tcPr>
            <w:tcW w:w="8780" w:type="dxa"/>
            <w:vAlign w:val="bottom"/>
          </w:tcPr>
          <w:p>
            <w:pPr>
              <w:ind w:left="200"/>
              <w:spacing w:after="0"/>
              <w:rPr>
                <w:sz w:val="20"/>
                <w:szCs w:val="20"/>
                <w:color w:val="auto"/>
              </w:rPr>
            </w:pPr>
            <w:r>
              <w:rPr>
                <w:rFonts w:ascii="Arial" w:cs="Arial" w:eastAsia="Arial" w:hAnsi="Arial"/>
                <w:sz w:val="13"/>
                <w:szCs w:val="13"/>
                <w:color w:val="auto"/>
              </w:rPr>
              <w:t>Unrealized loss in value of debt securities available for sale, net of income taxes</w:t>
            </w: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(1,646)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(235)</w:t>
            </w:r>
          </w:p>
        </w:tc>
      </w:tr>
      <w:tr>
        <w:trPr>
          <w:trHeight w:val="172"/>
        </w:trPr>
        <w:tc>
          <w:tcPr>
            <w:tcW w:w="8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Transfer of loans held for sale to loans held for investment</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4,094</w:t>
            </w:r>
          </w:p>
        </w:tc>
      </w:tr>
      <w:tr>
        <w:trPr>
          <w:trHeight w:val="168"/>
        </w:trPr>
        <w:tc>
          <w:tcPr>
            <w:tcW w:w="8780" w:type="dxa"/>
            <w:vAlign w:val="bottom"/>
          </w:tcPr>
          <w:p>
            <w:pPr>
              <w:ind w:left="200"/>
              <w:spacing w:after="0"/>
              <w:rPr>
                <w:sz w:val="20"/>
                <w:szCs w:val="20"/>
                <w:color w:val="auto"/>
              </w:rPr>
            </w:pPr>
            <w:r>
              <w:rPr>
                <w:rFonts w:ascii="Arial" w:cs="Arial" w:eastAsia="Arial" w:hAnsi="Arial"/>
                <w:sz w:val="13"/>
                <w:szCs w:val="13"/>
                <w:color w:val="auto"/>
              </w:rPr>
              <w:t>ROU asset and lease liabilities for operating lease accounting</w:t>
            </w:r>
          </w:p>
        </w:tc>
        <w:tc>
          <w:tcPr>
            <w:tcW w:w="7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959</w:t>
            </w:r>
          </w:p>
        </w:tc>
      </w:tr>
      <w:tr>
        <w:trPr>
          <w:trHeight w:val="172"/>
        </w:trPr>
        <w:tc>
          <w:tcPr>
            <w:tcW w:w="8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Transfer of premises and equipment to assets held for sale (included in other assets)</w:t>
            </w:r>
          </w:p>
        </w:tc>
        <w:tc>
          <w:tcPr>
            <w:tcW w:w="7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3,229</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6"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120" w:lineRule="exact"/>
        <w:rPr>
          <w:sz w:val="20"/>
          <w:szCs w:val="20"/>
          <w:color w:val="auto"/>
        </w:rPr>
      </w:pPr>
    </w:p>
    <w:p>
      <w:pPr>
        <w:ind w:left="220" w:hanging="215"/>
        <w:spacing w:after="0"/>
        <w:tabs>
          <w:tab w:leader="none" w:pos="2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Summary of Significant Accounting Policies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consolidated financial statements presented in this report include the accounts of HomeTrust Bancshares, Inc., a Maryland corporation ("HomeTrust"), and its wholly-owned subsidiary, HomeTrust Bank (the "Bank"). As used throughout this report, the term the "Company" refers to HomeTrust and the Bank, its consolidated subsidiary, unless the context otherwise requires.</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accompanying unaudited consolidated financial statements have been prepared in accordance with US GAAP for interim financial information and in accordance with the instructions to Form 10-Q and Article 10 of Regulation S- 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June 30, 2022 ("2022 Form 10-K") filed with the SEC on September 12, 2022. The results of operations for the three months ended September 30, 2022 are not necessarily indicative of results that may be expected for the entire fiscal year ending June 30, 2023.</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this policy, is critical to an understanding of the Company's financial statements. This policy and the related judgments, estimates and assumptions is described in greater detail in the notes to the Consolidated Financial Statements and Management's Discussion and Analysis of Financial Condition and Results of Operations (Critical Accounting Policies) in the 2022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this estimate and the Company's financial condition and operating results in future periods.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Reclassifications and corrections. </w:t>
      </w:r>
      <w:r>
        <w:rPr>
          <w:rFonts w:ascii="Arial" w:cs="Arial" w:eastAsia="Arial" w:hAnsi="Arial"/>
          <w:sz w:val="13"/>
          <w:szCs w:val="13"/>
          <w:color w:val="auto"/>
        </w:rPr>
        <w:t>To maintain consistency and comparability, certain amounts from prior periods have been reclassified to conform to current period presentation with no effect on net income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stockholders’ equity as previously reported.</w:t>
      </w:r>
    </w:p>
    <w:p>
      <w:pPr>
        <w:spacing w:after="0" w:line="111" w:lineRule="exact"/>
        <w:rPr>
          <w:sz w:val="20"/>
          <w:szCs w:val="20"/>
          <w:color w:val="auto"/>
        </w:rPr>
      </w:pPr>
    </w:p>
    <w:p>
      <w:pPr>
        <w:ind w:right="9080" w:firstLine="5"/>
        <w:spacing w:after="0" w:line="366" w:lineRule="auto"/>
        <w:tabs>
          <w:tab w:leader="none" w:pos="223" w:val="left"/>
        </w:tabs>
        <w:numPr>
          <w:ilvl w:val="0"/>
          <w:numId w:val="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Recent Accounting Pronouncements </w:t>
      </w:r>
      <w:r>
        <w:rPr>
          <w:rFonts w:ascii="Arial" w:cs="Arial" w:eastAsia="Arial" w:hAnsi="Arial"/>
          <w:sz w:val="11"/>
          <w:szCs w:val="11"/>
          <w:b w:val="1"/>
          <w:bCs w:val="1"/>
          <w:i w:val="1"/>
          <w:iCs w:val="1"/>
          <w:color w:val="212529"/>
        </w:rPr>
        <w:t>Adoption of New Accounting Standards</w:t>
      </w:r>
    </w:p>
    <w:p>
      <w:pPr>
        <w:jc w:val="both"/>
        <w:spacing w:after="0" w:line="251" w:lineRule="auto"/>
        <w:rPr>
          <w:sz w:val="20"/>
          <w:szCs w:val="20"/>
          <w:color w:val="auto"/>
        </w:rPr>
      </w:pPr>
      <w:r>
        <w:rPr>
          <w:rFonts w:ascii="Arial" w:cs="Arial" w:eastAsia="Arial" w:hAnsi="Arial"/>
          <w:sz w:val="13"/>
          <w:szCs w:val="13"/>
          <w:i w:val="1"/>
          <w:iCs w:val="1"/>
          <w:color w:val="auto"/>
        </w:rPr>
        <w:t xml:space="preserve">ASU 2021-05, "Leases (Topic 842): Lessors—Certain Leases with Variable Lease Payments." </w:t>
      </w:r>
      <w:r>
        <w:rPr>
          <w:rFonts w:ascii="Arial" w:cs="Arial" w:eastAsia="Arial" w:hAnsi="Arial"/>
          <w:sz w:val="13"/>
          <w:szCs w:val="13"/>
          <w:color w:val="auto"/>
        </w:rPr>
        <w:t>This ASU amended the lease classification requirements for lessors to classify as an operating lease any lease that would</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be classified as a sales-type or direct financing lease that would result in the recognition of a day-one loss at lease commencement, provided that the lease includes variable lease payments that do not depend on an index or rate. When a lease is classified as operating, the lessor does not recognize a net investment in the lease, does not derecognize the underlying asset and therefore, does not recognize a selling profit or loss. The amendments in this ASU are effective for fiscal years beginning after December 15, 2021, and interim periods within those fiscal years. The adoption of this standard on July 1, 2022, did not have a material impact on the Company's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12529"/>
        </w:rPr>
        <w:t>Newly Issued but Not Yet Effective Accounting Standards</w:t>
      </w:r>
    </w:p>
    <w:p>
      <w:pPr>
        <w:spacing w:after="0" w:line="5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i w:val="1"/>
          <w:iCs w:val="1"/>
          <w:color w:val="auto"/>
        </w:rPr>
        <w:t xml:space="preserve">ASU 2022-02, "Financial Instruments—Credit Losses (Topic 326): Troubled Debt Restructurings and Vintage Disclosures." </w:t>
      </w:r>
      <w:r>
        <w:rPr>
          <w:rFonts w:ascii="Arial" w:cs="Arial" w:eastAsia="Arial" w:hAnsi="Arial"/>
          <w:sz w:val="12"/>
          <w:szCs w:val="12"/>
          <w:color w:val="auto"/>
        </w:rPr>
        <w:t>This ASU eliminates the TDR recognition and measurement guidance and requires that an entity</w:t>
      </w:r>
      <w:r>
        <w:rPr>
          <w:rFonts w:ascii="Arial" w:cs="Arial" w:eastAsia="Arial" w:hAnsi="Arial"/>
          <w:sz w:val="12"/>
          <w:szCs w:val="12"/>
          <w:i w:val="1"/>
          <w:iCs w:val="1"/>
          <w:color w:val="auto"/>
        </w:rPr>
        <w:t xml:space="preserve"> </w:t>
      </w:r>
      <w:r>
        <w:rPr>
          <w:rFonts w:ascii="Arial" w:cs="Arial" w:eastAsia="Arial" w:hAnsi="Arial"/>
          <w:sz w:val="12"/>
          <w:szCs w:val="12"/>
          <w:color w:val="auto"/>
        </w:rPr>
        <w:t>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 The amendments in this ASU are effective for fiscal years beginning after December 15, 2022, and interim periods within those fiscal years and early adoption is permitted. The Company is currently evaluating the impact of adopting the new guidance on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3.  Debt Securities</w:t>
            </w: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20" w:type="dxa"/>
            <w:vAlign w:val="bottom"/>
            <w:gridSpan w:val="3"/>
          </w:tcPr>
          <w:p>
            <w:pPr>
              <w:spacing w:after="0"/>
              <w:rPr>
                <w:sz w:val="20"/>
                <w:szCs w:val="20"/>
                <w:color w:val="auto"/>
              </w:rPr>
            </w:pPr>
            <w:r>
              <w:rPr>
                <w:rFonts w:ascii="Arial" w:cs="Arial" w:eastAsia="Arial" w:hAnsi="Arial"/>
                <w:sz w:val="13"/>
                <w:szCs w:val="13"/>
                <w:color w:val="auto"/>
              </w:rPr>
              <w:t>Debt securities available for sale consist of the following at the dates indicated:</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ind w:left="860"/>
              <w:spacing w:after="0"/>
              <w:rPr>
                <w:sz w:val="20"/>
                <w:szCs w:val="20"/>
                <w:color w:val="auto"/>
              </w:rPr>
            </w:pPr>
            <w:r>
              <w:rPr>
                <w:rFonts w:ascii="Arial" w:cs="Arial" w:eastAsia="Arial" w:hAnsi="Arial"/>
                <w:sz w:val="13"/>
                <w:szCs w:val="13"/>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Amortized</w:t>
            </w:r>
          </w:p>
        </w:tc>
        <w:tc>
          <w:tcPr>
            <w:tcW w:w="980" w:type="dxa"/>
            <w:vAlign w:val="bottom"/>
          </w:tcPr>
          <w:p>
            <w:pPr>
              <w:jc w:val="center"/>
              <w:ind w:left="276"/>
              <w:spacing w:after="0" w:line="120" w:lineRule="exact"/>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jc w:val="center"/>
              <w:ind w:right="460"/>
              <w:spacing w:after="0" w:line="120" w:lineRule="exact"/>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1120" w:type="dxa"/>
            <w:vAlign w:val="bottom"/>
          </w:tcPr>
          <w:p>
            <w:pPr>
              <w:jc w:val="center"/>
              <w:ind w:right="176"/>
              <w:spacing w:after="0" w:line="120" w:lineRule="exact"/>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98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88"/>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center"/>
              <w:ind w:right="460"/>
              <w:spacing w:after="0" w:line="128"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ind w:left="436"/>
              <w:spacing w:after="0"/>
              <w:rPr>
                <w:sz w:val="20"/>
                <w:szCs w:val="20"/>
                <w:color w:val="auto"/>
              </w:rPr>
            </w:pPr>
            <w:r>
              <w:rPr>
                <w:rFonts w:ascii="Arial" w:cs="Arial" w:eastAsia="Arial" w:hAnsi="Arial"/>
                <w:sz w:val="13"/>
                <w:szCs w:val="13"/>
                <w:b w:val="1"/>
                <w:bCs w:val="1"/>
                <w:color w:val="auto"/>
                <w:w w:val="82"/>
              </w:rPr>
              <w:t>Cost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88"/>
              </w:rPr>
              <w:t>Gains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6"/>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562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U.S. government agencies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17,316</w:t>
            </w:r>
          </w:p>
        </w:tc>
        <w:tc>
          <w:tcPr>
            <w:tcW w:w="0" w:type="dxa"/>
            <w:vAlign w:val="bottom"/>
          </w:tcPr>
          <w:p>
            <w:pPr>
              <w:spacing w:after="0"/>
              <w:rPr>
                <w:sz w:val="1"/>
                <w:szCs w:val="1"/>
                <w:color w:val="auto"/>
              </w:rPr>
            </w:pPr>
          </w:p>
        </w:tc>
      </w:tr>
      <w:tr>
        <w:trPr>
          <w:trHeight w:val="168"/>
        </w:trPr>
        <w:tc>
          <w:tcPr>
            <w:tcW w:w="5620" w:type="dxa"/>
            <w:vAlign w:val="bottom"/>
            <w:gridSpan w:val="3"/>
          </w:tcPr>
          <w:p>
            <w:pPr>
              <w:ind w:left="20"/>
              <w:spacing w:after="0"/>
              <w:rPr>
                <w:sz w:val="20"/>
                <w:szCs w:val="20"/>
                <w:color w:val="auto"/>
              </w:rPr>
            </w:pPr>
            <w:r>
              <w:rPr>
                <w:rFonts w:ascii="Arial" w:cs="Arial" w:eastAsia="Arial" w:hAnsi="Arial"/>
                <w:sz w:val="13"/>
                <w:szCs w:val="13"/>
                <w:color w:val="auto"/>
              </w:rPr>
              <w:t>MBS, residential</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94,178</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91,507</w:t>
            </w:r>
          </w:p>
        </w:tc>
        <w:tc>
          <w:tcPr>
            <w:tcW w:w="0" w:type="dxa"/>
            <w:vAlign w:val="bottom"/>
          </w:tcPr>
          <w:p>
            <w:pPr>
              <w:spacing w:after="0"/>
              <w:rPr>
                <w:sz w:val="1"/>
                <w:szCs w:val="1"/>
                <w:color w:val="auto"/>
              </w:rPr>
            </w:pPr>
          </w:p>
        </w:tc>
      </w:tr>
      <w:tr>
        <w:trPr>
          <w:trHeight w:val="172"/>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5,420</w:t>
            </w:r>
          </w:p>
        </w:tc>
        <w:tc>
          <w:tcPr>
            <w:tcW w:w="0" w:type="dxa"/>
            <w:vAlign w:val="bottom"/>
          </w:tcPr>
          <w:p>
            <w:pPr>
              <w:spacing w:after="0"/>
              <w:rPr>
                <w:sz w:val="1"/>
                <w:szCs w:val="1"/>
                <w:color w:val="auto"/>
              </w:rPr>
            </w:pPr>
          </w:p>
        </w:tc>
      </w:tr>
      <w:tr>
        <w:trPr>
          <w:trHeight w:val="168"/>
        </w:trPr>
        <w:tc>
          <w:tcPr>
            <w:tcW w:w="5620" w:type="dxa"/>
            <w:vAlign w:val="bottom"/>
            <w:gridSpan w:val="3"/>
          </w:tcPr>
          <w:p>
            <w:pPr>
              <w:ind w:left="20"/>
              <w:spacing w:after="0"/>
              <w:rPr>
                <w:sz w:val="20"/>
                <w:szCs w:val="20"/>
                <w:color w:val="auto"/>
              </w:rPr>
            </w:pPr>
            <w:r>
              <w:rPr>
                <w:rFonts w:ascii="Arial" w:cs="Arial" w:eastAsia="Arial" w:hAnsi="Arial"/>
                <w:sz w:val="13"/>
                <w:szCs w:val="13"/>
                <w:color w:val="auto"/>
              </w:rPr>
              <w:t>Corporate bonds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49,292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47,498</w:t>
            </w:r>
          </w:p>
        </w:tc>
        <w:tc>
          <w:tcPr>
            <w:tcW w:w="0" w:type="dxa"/>
            <w:vAlign w:val="bottom"/>
          </w:tcPr>
          <w:p>
            <w:pPr>
              <w:spacing w:after="0"/>
              <w:rPr>
                <w:sz w:val="1"/>
                <w:szCs w:val="1"/>
                <w:color w:val="auto"/>
              </w:rPr>
            </w:pPr>
          </w:p>
        </w:tc>
      </w:tr>
      <w:tr>
        <w:trPr>
          <w:trHeight w:val="185"/>
        </w:trPr>
        <w:tc>
          <w:tcPr>
            <w:tcW w:w="562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167,000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161,741</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June 30, 2022</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Amortized</w:t>
            </w:r>
          </w:p>
        </w:tc>
        <w:tc>
          <w:tcPr>
            <w:tcW w:w="980" w:type="dxa"/>
            <w:vAlign w:val="bottom"/>
          </w:tcPr>
          <w:p>
            <w:pPr>
              <w:jc w:val="center"/>
              <w:ind w:left="276"/>
              <w:spacing w:after="0" w:line="120" w:lineRule="exact"/>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jc w:val="center"/>
              <w:ind w:right="460"/>
              <w:spacing w:after="0" w:line="120" w:lineRule="exact"/>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1120" w:type="dxa"/>
            <w:vAlign w:val="bottom"/>
          </w:tcPr>
          <w:p>
            <w:pPr>
              <w:jc w:val="center"/>
              <w:ind w:right="176"/>
              <w:spacing w:after="0" w:line="120" w:lineRule="exact"/>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98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88"/>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center"/>
              <w:ind w:right="460"/>
              <w:spacing w:after="0" w:line="128"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center"/>
              <w:ind w:left="436"/>
              <w:spacing w:after="0"/>
              <w:rPr>
                <w:sz w:val="20"/>
                <w:szCs w:val="20"/>
                <w:color w:val="auto"/>
              </w:rPr>
            </w:pPr>
            <w:r>
              <w:rPr>
                <w:rFonts w:ascii="Arial" w:cs="Arial" w:eastAsia="Arial" w:hAnsi="Arial"/>
                <w:sz w:val="13"/>
                <w:szCs w:val="13"/>
                <w:b w:val="1"/>
                <w:bCs w:val="1"/>
                <w:color w:val="auto"/>
                <w:w w:val="82"/>
              </w:rPr>
              <w:t>Cost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left="276"/>
              <w:spacing w:after="0"/>
              <w:rPr>
                <w:sz w:val="20"/>
                <w:szCs w:val="20"/>
                <w:color w:val="auto"/>
              </w:rPr>
            </w:pPr>
            <w:r>
              <w:rPr>
                <w:rFonts w:ascii="Arial" w:cs="Arial" w:eastAsia="Arial" w:hAnsi="Arial"/>
                <w:sz w:val="13"/>
                <w:szCs w:val="13"/>
                <w:b w:val="1"/>
                <w:bCs w:val="1"/>
                <w:color w:val="auto"/>
                <w:w w:val="88"/>
              </w:rPr>
              <w:t>Gains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75"/>
              </w:rPr>
              <w:t>Losses</w:t>
            </w:r>
          </w:p>
        </w:tc>
        <w:tc>
          <w:tcPr>
            <w:tcW w:w="220" w:type="dxa"/>
            <w:vAlign w:val="bottom"/>
          </w:tcPr>
          <w:p>
            <w:pPr>
              <w:spacing w:after="0"/>
              <w:rPr>
                <w:sz w:val="14"/>
                <w:szCs w:val="14"/>
                <w:color w:val="auto"/>
              </w:rPr>
            </w:pPr>
          </w:p>
        </w:tc>
        <w:tc>
          <w:tcPr>
            <w:tcW w:w="1120" w:type="dxa"/>
            <w:vAlign w:val="bottom"/>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5620" w:type="dxa"/>
            <w:vAlign w:val="bottom"/>
            <w:tcBorders>
              <w:top w:val="single" w:sz="8" w:color="CCEEFF"/>
            </w:tcBorders>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U.S. government agencies</w:t>
            </w:r>
          </w:p>
        </w:tc>
        <w:tc>
          <w:tcPr>
            <w:tcW w:w="82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18,993</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18,459</w:t>
            </w:r>
          </w:p>
        </w:tc>
        <w:tc>
          <w:tcPr>
            <w:tcW w:w="0" w:type="dxa"/>
            <w:vAlign w:val="bottom"/>
          </w:tcPr>
          <w:p>
            <w:pPr>
              <w:spacing w:after="0"/>
              <w:rPr>
                <w:sz w:val="1"/>
                <w:szCs w:val="1"/>
                <w:color w:val="auto"/>
              </w:rPr>
            </w:pPr>
          </w:p>
        </w:tc>
      </w:tr>
      <w:tr>
        <w:trPr>
          <w:trHeight w:val="168"/>
        </w:trPr>
        <w:tc>
          <w:tcPr>
            <w:tcW w:w="5620" w:type="dxa"/>
            <w:vAlign w:val="bottom"/>
            <w:gridSpan w:val="3"/>
          </w:tcPr>
          <w:p>
            <w:pPr>
              <w:ind w:left="20"/>
              <w:spacing w:after="0"/>
              <w:rPr>
                <w:sz w:val="20"/>
                <w:szCs w:val="20"/>
                <w:color w:val="auto"/>
              </w:rPr>
            </w:pPr>
            <w:r>
              <w:rPr>
                <w:rFonts w:ascii="Arial" w:cs="Arial" w:eastAsia="Arial" w:hAnsi="Arial"/>
                <w:sz w:val="13"/>
                <w:szCs w:val="13"/>
                <w:color w:val="auto"/>
              </w:rPr>
              <w:t>MBS, residential</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48,377</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47,233</w:t>
            </w:r>
          </w:p>
        </w:tc>
        <w:tc>
          <w:tcPr>
            <w:tcW w:w="0" w:type="dxa"/>
            <w:vAlign w:val="bottom"/>
          </w:tcPr>
          <w:p>
            <w:pPr>
              <w:spacing w:after="0"/>
              <w:rPr>
                <w:sz w:val="1"/>
                <w:szCs w:val="1"/>
                <w:color w:val="auto"/>
              </w:rPr>
            </w:pPr>
          </w:p>
        </w:tc>
      </w:tr>
      <w:tr>
        <w:trPr>
          <w:trHeight w:val="172"/>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0" w:type="dxa"/>
            <w:vAlign w:val="bottom"/>
          </w:tcPr>
          <w:p>
            <w:pPr>
              <w:spacing w:after="0"/>
              <w:rPr>
                <w:sz w:val="1"/>
                <w:szCs w:val="1"/>
                <w:color w:val="auto"/>
              </w:rPr>
            </w:pPr>
          </w:p>
        </w:tc>
      </w:tr>
      <w:tr>
        <w:trPr>
          <w:trHeight w:val="168"/>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Corporate bonds</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57,184</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55,728</w:t>
            </w:r>
          </w:p>
        </w:tc>
        <w:tc>
          <w:tcPr>
            <w:tcW w:w="0" w:type="dxa"/>
            <w:vAlign w:val="bottom"/>
          </w:tcPr>
          <w:p>
            <w:pPr>
              <w:spacing w:after="0"/>
              <w:rPr>
                <w:sz w:val="1"/>
                <w:szCs w:val="1"/>
                <w:color w:val="auto"/>
              </w:rPr>
            </w:pPr>
          </w:p>
        </w:tc>
      </w:tr>
      <w:tr>
        <w:trPr>
          <w:trHeight w:val="185"/>
        </w:trPr>
        <w:tc>
          <w:tcPr>
            <w:tcW w:w="56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130,099</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Debt securities available for sale by contractual maturity at September 30, 2022 and June 30, 2022 are shown below. MBS are not included in the maturity categories because the borrowers in the underlying pools may prepay without penalty; therefore, it is unlikely that the securities will pay at their stated maturity schedule.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3"/>
                <w:szCs w:val="13"/>
                <w:b w:val="1"/>
                <w:bCs w:val="1"/>
                <w:color w:val="auto"/>
              </w:rPr>
              <w:t>September 30, 2022</w:t>
            </w:r>
          </w:p>
        </w:tc>
      </w:tr>
      <w:tr>
        <w:trPr>
          <w:trHeight w:val="120"/>
        </w:trPr>
        <w:tc>
          <w:tcPr>
            <w:tcW w:w="8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1"/>
              </w:rPr>
              <w:t>Amortized</w:t>
            </w: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Arial" w:cs="Arial" w:eastAsia="Arial" w:hAnsi="Arial"/>
                <w:sz w:val="13"/>
                <w:szCs w:val="13"/>
                <w:b w:val="1"/>
                <w:bCs w:val="1"/>
                <w:color w:val="auto"/>
              </w:rPr>
              <w:t>Estimated</w:t>
            </w:r>
          </w:p>
        </w:tc>
      </w:tr>
      <w:tr>
        <w:trPr>
          <w:trHeight w:val="168"/>
        </w:trPr>
        <w:tc>
          <w:tcPr>
            <w:tcW w:w="8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Cost</w:t>
            </w:r>
          </w:p>
        </w:tc>
        <w:tc>
          <w:tcPr>
            <w:tcW w:w="24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Arial" w:cs="Arial" w:eastAsia="Arial" w:hAnsi="Arial"/>
                <w:sz w:val="13"/>
                <w:szCs w:val="13"/>
                <w:b w:val="1"/>
                <w:bCs w:val="1"/>
                <w:color w:val="auto"/>
              </w:rPr>
              <w:t>Fair Value</w:t>
            </w:r>
          </w:p>
        </w:tc>
      </w:tr>
      <w:tr>
        <w:trPr>
          <w:trHeight w:val="16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Due within one year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34,292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33,933</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33,012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31,271</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5,030</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MBS, residential</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94,178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91,507</w:t>
            </w:r>
          </w:p>
        </w:tc>
      </w:tr>
      <w:tr>
        <w:trPr>
          <w:trHeight w:val="163"/>
        </w:trPr>
        <w:tc>
          <w:tcPr>
            <w:tcW w:w="850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167,000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161,741</w:t>
            </w: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2022</w:t>
            </w:r>
          </w:p>
        </w:tc>
        <w:tc>
          <w:tcPr>
            <w:tcW w:w="980" w:type="dxa"/>
            <w:vAlign w:val="bottom"/>
            <w:tcBorders>
              <w:bottom w:val="single" w:sz="8" w:color="auto"/>
            </w:tcBorders>
          </w:tcPr>
          <w:p>
            <w:pPr>
              <w:spacing w:after="0"/>
              <w:rPr>
                <w:sz w:val="14"/>
                <w:szCs w:val="14"/>
                <w:color w:val="auto"/>
              </w:rPr>
            </w:pPr>
          </w:p>
        </w:tc>
      </w:tr>
      <w:tr>
        <w:trPr>
          <w:trHeight w:val="120"/>
        </w:trPr>
        <w:tc>
          <w:tcPr>
            <w:tcW w:w="8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1"/>
              </w:rPr>
              <w:t>Amortized</w:t>
            </w:r>
          </w:p>
        </w:tc>
        <w:tc>
          <w:tcPr>
            <w:tcW w:w="360" w:type="dxa"/>
            <w:vAlign w:val="bottom"/>
          </w:tcPr>
          <w:p>
            <w:pPr>
              <w:spacing w:after="0"/>
              <w:rPr>
                <w:sz w:val="10"/>
                <w:szCs w:val="10"/>
                <w:color w:val="auto"/>
              </w:rPr>
            </w:pPr>
          </w:p>
        </w:tc>
        <w:tc>
          <w:tcPr>
            <w:tcW w:w="980" w:type="dxa"/>
            <w:vAlign w:val="bottom"/>
          </w:tcPr>
          <w:p>
            <w:pPr>
              <w:jc w:val="right"/>
              <w:ind w:right="336"/>
              <w:spacing w:after="0" w:line="120" w:lineRule="exact"/>
              <w:rPr>
                <w:sz w:val="20"/>
                <w:szCs w:val="20"/>
                <w:color w:val="auto"/>
              </w:rPr>
            </w:pPr>
            <w:r>
              <w:rPr>
                <w:rFonts w:ascii="Arial" w:cs="Arial" w:eastAsia="Arial" w:hAnsi="Arial"/>
                <w:sz w:val="13"/>
                <w:szCs w:val="13"/>
                <w:b w:val="1"/>
                <w:bCs w:val="1"/>
                <w:color w:val="auto"/>
                <w:w w:val="90"/>
              </w:rPr>
              <w:t>Estimated</w:t>
            </w:r>
          </w:p>
        </w:tc>
      </w:tr>
      <w:tr>
        <w:trPr>
          <w:trHeight w:val="168"/>
        </w:trPr>
        <w:tc>
          <w:tcPr>
            <w:tcW w:w="8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Cost</w:t>
            </w:r>
          </w:p>
        </w:tc>
        <w:tc>
          <w:tcPr>
            <w:tcW w:w="36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3"/>
                <w:szCs w:val="13"/>
                <w:b w:val="1"/>
                <w:bCs w:val="1"/>
                <w:color w:val="auto"/>
                <w:w w:val="93"/>
              </w:rPr>
              <w:t>Fair Value</w:t>
            </w:r>
          </w:p>
        </w:tc>
      </w:tr>
      <w:tr>
        <w:trPr>
          <w:trHeight w:val="16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Due within one year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35,350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34,956</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40,325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39,018</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MBS, residential</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48,377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47,233</w:t>
            </w:r>
          </w:p>
        </w:tc>
      </w:tr>
      <w:tr>
        <w:trPr>
          <w:trHeight w:val="163"/>
        </w:trPr>
        <w:tc>
          <w:tcPr>
            <w:tcW w:w="850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130,099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126,978</w:t>
            </w: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no sales of debt securities available for sale and no gross realized gains or losses were recognized during the three months ended September 30, 2022 and 2021.</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Debt securities available for sale with amortized costs totaling $67,877 and $43,187 and market values of $65,439 and $41,876 at September 30, 2022 and June 30, 2022, respectively, were pledged as collateral to secure various public deposits and other borrowings.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The gross unrealized losses and the fair value for debt securities available for sale aggregated by the length of time that individual securities have been in a continuous unrealized loss position as of September 30, 2022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June 30, 2022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September 30, 2022</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36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12 Months or More</w:t>
            </w:r>
          </w:p>
        </w:tc>
        <w:tc>
          <w:tcPr>
            <w:tcW w:w="240" w:type="dxa"/>
            <w:vAlign w:val="bottom"/>
          </w:tcPr>
          <w:p>
            <w:pPr>
              <w:spacing w:after="0"/>
              <w:rPr>
                <w:sz w:val="13"/>
                <w:szCs w:val="13"/>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3"/>
                <w:szCs w:val="13"/>
                <w:color w:val="auto"/>
              </w:rPr>
            </w:pPr>
          </w:p>
        </w:tc>
      </w:tr>
      <w:tr>
        <w:trPr>
          <w:trHeight w:val="120"/>
        </w:trPr>
        <w:tc>
          <w:tcPr>
            <w:tcW w:w="4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w w:val="92"/>
              </w:rPr>
              <w:t>Fair</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6"/>
              <w:spacing w:after="0" w:line="120" w:lineRule="exact"/>
              <w:rPr>
                <w:sz w:val="20"/>
                <w:szCs w:val="20"/>
                <w:color w:val="auto"/>
              </w:rPr>
            </w:pPr>
            <w:r>
              <w:rPr>
                <w:rFonts w:ascii="Arial" w:cs="Arial" w:eastAsia="Arial" w:hAnsi="Arial"/>
                <w:sz w:val="13"/>
                <w:szCs w:val="13"/>
                <w:b w:val="1"/>
                <w:bCs w:val="1"/>
                <w:color w:val="auto"/>
                <w:w w:val="88"/>
              </w:rPr>
              <w:t>Unrealized</w:t>
            </w:r>
          </w:p>
        </w:tc>
      </w:tr>
      <w:tr>
        <w:trPr>
          <w:trHeight w:val="168"/>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Value</w:t>
            </w:r>
          </w:p>
        </w:tc>
        <w:tc>
          <w:tcPr>
            <w:tcW w:w="180" w:type="dxa"/>
            <w:vAlign w:val="bottom"/>
          </w:tcPr>
          <w:p>
            <w:pPr>
              <w:spacing w:after="0"/>
              <w:rPr>
                <w:sz w:val="14"/>
                <w:szCs w:val="14"/>
                <w:color w:val="auto"/>
              </w:rPr>
            </w:pPr>
          </w:p>
        </w:tc>
        <w:tc>
          <w:tcPr>
            <w:tcW w:w="920" w:type="dxa"/>
            <w:vAlign w:val="bottom"/>
          </w:tcPr>
          <w:p>
            <w:pPr>
              <w:jc w:val="center"/>
              <w:ind w:right="116"/>
              <w:spacing w:after="0"/>
              <w:rPr>
                <w:sz w:val="20"/>
                <w:szCs w:val="20"/>
                <w:color w:val="auto"/>
              </w:rPr>
            </w:pPr>
            <w:r>
              <w:rPr>
                <w:rFonts w:ascii="Arial" w:cs="Arial" w:eastAsia="Arial" w:hAnsi="Arial"/>
                <w:sz w:val="13"/>
                <w:szCs w:val="13"/>
                <w:b w:val="1"/>
                <w:bCs w:val="1"/>
                <w:color w:val="auto"/>
                <w:w w:val="75"/>
              </w:rPr>
              <w:t>Losses</w:t>
            </w:r>
          </w:p>
        </w:tc>
      </w:tr>
      <w:tr>
        <w:trPr>
          <w:trHeight w:val="16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12,544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84,197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91,478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(2,671)</w:t>
            </w:r>
          </w:p>
        </w:tc>
      </w:tr>
      <w:tr>
        <w:trPr>
          <w:trHeight w:val="17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6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31,983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45,998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r>
      <w:tr>
        <w:trPr>
          <w:trHeight w:val="188"/>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26,061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159,204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57"/>
        </w:trPr>
        <w:tc>
          <w:tcPr>
            <w:tcW w:w="4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June 30, 2022</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6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36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12 Months or More</w:t>
            </w:r>
          </w:p>
        </w:tc>
        <w:tc>
          <w:tcPr>
            <w:tcW w:w="240" w:type="dxa"/>
            <w:vAlign w:val="bottom"/>
          </w:tcPr>
          <w:p>
            <w:pPr>
              <w:spacing w:after="0"/>
              <w:rPr>
                <w:sz w:val="13"/>
                <w:szCs w:val="13"/>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3"/>
                <w:szCs w:val="13"/>
                <w:color w:val="auto"/>
              </w:rPr>
            </w:pPr>
          </w:p>
        </w:tc>
      </w:tr>
      <w:tr>
        <w:trPr>
          <w:trHeight w:val="120"/>
        </w:trPr>
        <w:tc>
          <w:tcPr>
            <w:tcW w:w="4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w w:val="92"/>
              </w:rPr>
              <w:t>Fair</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6"/>
              <w:spacing w:after="0" w:line="120" w:lineRule="exact"/>
              <w:rPr>
                <w:sz w:val="20"/>
                <w:szCs w:val="20"/>
                <w:color w:val="auto"/>
              </w:rPr>
            </w:pPr>
            <w:r>
              <w:rPr>
                <w:rFonts w:ascii="Arial" w:cs="Arial" w:eastAsia="Arial" w:hAnsi="Arial"/>
                <w:sz w:val="13"/>
                <w:szCs w:val="13"/>
                <w:b w:val="1"/>
                <w:bCs w:val="1"/>
                <w:color w:val="auto"/>
                <w:w w:val="88"/>
              </w:rPr>
              <w:t>Unrealized</w:t>
            </w:r>
          </w:p>
        </w:tc>
      </w:tr>
      <w:tr>
        <w:trPr>
          <w:trHeight w:val="168"/>
        </w:trPr>
        <w:tc>
          <w:tcPr>
            <w:tcW w:w="4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75"/>
              </w:rPr>
              <w:t>Losses</w:t>
            </w:r>
          </w:p>
        </w:tc>
      </w:tr>
      <w:tr>
        <w:trPr>
          <w:trHeight w:val="163"/>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41,658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46,927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(1,147)</w:t>
            </w:r>
          </w:p>
        </w:tc>
      </w:tr>
      <w:tr>
        <w:trPr>
          <w:trHeight w:val="17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14,273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53,727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w:t>
            </w:r>
          </w:p>
        </w:tc>
      </w:tr>
      <w:tr>
        <w:trPr>
          <w:trHeight w:val="188"/>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securities with unrealized losses at September 30, 2022 and June 30, 2022 were 208 and 177, respectively.</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September 30, 2022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2022 Form 10-K for further discussion.</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Management excludes the accrued interest receivable balance from the amortized cost basis in measuring expected credit losses on investment securities and does not record an ACL on accrued interest receivable. As of September 30, 2022, the accrued interest receivable for debt securities available for sale was $600.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gridSpan w:val="3"/>
          </w:tcPr>
          <w:p>
            <w:pPr>
              <w:spacing w:after="0"/>
              <w:rPr>
                <w:sz w:val="20"/>
                <w:szCs w:val="20"/>
                <w:color w:val="auto"/>
              </w:rPr>
            </w:pPr>
            <w:r>
              <w:rPr>
                <w:rFonts w:ascii="Arial" w:cs="Arial" w:eastAsia="Arial" w:hAnsi="Arial"/>
                <w:sz w:val="13"/>
                <w:szCs w:val="13"/>
                <w:b w:val="1"/>
                <w:bCs w:val="1"/>
                <w:color w:val="auto"/>
              </w:rPr>
              <w:t>4.  Loans Held For Sale</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9"/>
        </w:trPr>
        <w:tc>
          <w:tcPr>
            <w:tcW w:w="7420" w:type="dxa"/>
            <w:vAlign w:val="bottom"/>
            <w:gridSpan w:val="3"/>
          </w:tcPr>
          <w:p>
            <w:pPr>
              <w:spacing w:after="0"/>
              <w:rPr>
                <w:sz w:val="20"/>
                <w:szCs w:val="20"/>
                <w:color w:val="auto"/>
              </w:rPr>
            </w:pPr>
            <w:r>
              <w:rPr>
                <w:rFonts w:ascii="Arial" w:cs="Arial" w:eastAsia="Arial" w:hAnsi="Arial"/>
                <w:sz w:val="13"/>
                <w:szCs w:val="13"/>
                <w:color w:val="auto"/>
              </w:rPr>
              <w:t>Loans held for sale as of the dates indicated consist of the following:</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3"/>
        </w:trPr>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2022</w:t>
            </w:r>
          </w:p>
        </w:tc>
        <w:tc>
          <w:tcPr>
            <w:tcW w:w="300" w:type="dxa"/>
            <w:vAlign w:val="bottom"/>
          </w:tcPr>
          <w:p>
            <w:pPr>
              <w:spacing w:after="0"/>
              <w:rPr>
                <w:sz w:val="15"/>
                <w:szCs w:val="15"/>
                <w:color w:val="auto"/>
              </w:rPr>
            </w:pPr>
          </w:p>
        </w:tc>
        <w:tc>
          <w:tcPr>
            <w:tcW w:w="1460" w:type="dxa"/>
            <w:vAlign w:val="bottom"/>
          </w:tcPr>
          <w:p>
            <w:pPr>
              <w:jc w:val="right"/>
              <w:ind w:right="436"/>
              <w:spacing w:after="0"/>
              <w:rPr>
                <w:sz w:val="20"/>
                <w:szCs w:val="20"/>
                <w:color w:val="auto"/>
              </w:rPr>
            </w:pPr>
            <w:r>
              <w:rPr>
                <w:rFonts w:ascii="Arial" w:cs="Arial" w:eastAsia="Arial" w:hAnsi="Arial"/>
                <w:sz w:val="13"/>
                <w:szCs w:val="13"/>
                <w:b w:val="1"/>
                <w:bCs w:val="1"/>
                <w:color w:val="auto"/>
              </w:rPr>
              <w:t>June 30, 2022</w:t>
            </w:r>
          </w:p>
        </w:tc>
      </w:tr>
      <w:tr>
        <w:trPr>
          <w:trHeight w:val="163"/>
        </w:trPr>
        <w:tc>
          <w:tcPr>
            <w:tcW w:w="74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One-to-four family</w:t>
            </w: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4,176</w:t>
            </w:r>
          </w:p>
        </w:tc>
      </w:tr>
      <w:tr>
        <w:trPr>
          <w:trHeight w:val="168"/>
        </w:trPr>
        <w:tc>
          <w:tcPr>
            <w:tcW w:w="7420" w:type="dxa"/>
            <w:vAlign w:val="bottom"/>
            <w:gridSpan w:val="3"/>
          </w:tcPr>
          <w:p>
            <w:pPr>
              <w:ind w:left="20"/>
              <w:spacing w:after="0"/>
              <w:rPr>
                <w:sz w:val="20"/>
                <w:szCs w:val="20"/>
                <w:color w:val="auto"/>
              </w:rPr>
            </w:pPr>
            <w:r>
              <w:rPr>
                <w:rFonts w:ascii="Arial" w:cs="Arial" w:eastAsia="Arial" w:hAnsi="Arial"/>
                <w:sz w:val="13"/>
                <w:szCs w:val="13"/>
                <w:color w:val="auto"/>
              </w:rPr>
              <w:t>SBA</w:t>
            </w: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17,834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14,774</w:t>
            </w:r>
          </w:p>
        </w:tc>
      </w:tr>
      <w:tr>
        <w:trPr>
          <w:trHeight w:val="170"/>
        </w:trPr>
        <w:tc>
          <w:tcPr>
            <w:tcW w:w="74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HELOCs</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56,833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60,357</w:t>
            </w:r>
          </w:p>
        </w:tc>
      </w:tr>
      <w:tr>
        <w:trPr>
          <w:trHeight w:val="163"/>
        </w:trPr>
        <w:tc>
          <w:tcPr>
            <w:tcW w:w="742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76,252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79,307</w:t>
            </w:r>
          </w:p>
        </w:tc>
      </w:tr>
      <w:tr>
        <w:trPr>
          <w:trHeight w:val="20"/>
        </w:trPr>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ind w:right="8400" w:firstLine="5"/>
        <w:spacing w:after="0" w:line="330" w:lineRule="auto"/>
        <w:tabs>
          <w:tab w:leader="none" w:pos="223" w:val="left"/>
        </w:tabs>
        <w:numPr>
          <w:ilvl w:val="0"/>
          <w:numId w:val="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Loans and Allowance for Credit Losses on Loans </w:t>
      </w:r>
      <w:r>
        <w:rPr>
          <w:rFonts w:ascii="Arial" w:cs="Arial" w:eastAsia="Arial" w:hAnsi="Arial"/>
          <w:sz w:val="11"/>
          <w:szCs w:val="11"/>
          <w:color w:val="auto"/>
        </w:rPr>
        <w:t>Loans consist of the following at the dates indicated</w:t>
      </w:r>
      <w:r>
        <w:rPr>
          <w:rFonts w:ascii="Arial" w:cs="Arial" w:eastAsia="Arial" w:hAnsi="Arial"/>
          <w:sz w:val="14"/>
          <w:szCs w:val="14"/>
          <w:color w:val="auto"/>
          <w:vertAlign w:val="superscript"/>
        </w:rPr>
        <w:t>(1)</w:t>
      </w:r>
      <w:r>
        <w:rPr>
          <w:rFonts w:ascii="Arial" w:cs="Arial" w:eastAsia="Arial" w:hAnsi="Arial"/>
          <w:sz w:val="11"/>
          <w:szCs w:val="11"/>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2022</w:t>
            </w:r>
          </w:p>
        </w:tc>
        <w:tc>
          <w:tcPr>
            <w:tcW w:w="300" w:type="dxa"/>
            <w:vAlign w:val="bottom"/>
          </w:tcPr>
          <w:p>
            <w:pPr>
              <w:spacing w:after="0"/>
              <w:rPr>
                <w:sz w:val="13"/>
                <w:szCs w:val="13"/>
                <w:color w:val="auto"/>
              </w:rPr>
            </w:pPr>
          </w:p>
        </w:tc>
        <w:tc>
          <w:tcPr>
            <w:tcW w:w="1480" w:type="dxa"/>
            <w:vAlign w:val="bottom"/>
          </w:tcPr>
          <w:p>
            <w:pPr>
              <w:jc w:val="right"/>
              <w:ind w:right="456"/>
              <w:spacing w:after="0"/>
              <w:rPr>
                <w:sz w:val="20"/>
                <w:szCs w:val="20"/>
                <w:color w:val="auto"/>
              </w:rPr>
            </w:pPr>
            <w:r>
              <w:rPr>
                <w:rFonts w:ascii="Arial" w:cs="Arial" w:eastAsia="Arial" w:hAnsi="Arial"/>
                <w:sz w:val="13"/>
                <w:szCs w:val="13"/>
                <w:b w:val="1"/>
                <w:bCs w:val="1"/>
                <w:color w:val="auto"/>
              </w:rPr>
              <w:t>June 30, 2022</w:t>
            </w:r>
          </w:p>
        </w:tc>
      </w:tr>
      <w:tr>
        <w:trPr>
          <w:trHeight w:val="150"/>
        </w:trPr>
        <w:tc>
          <w:tcPr>
            <w:tcW w:w="760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Commercial real estate loans</w:t>
            </w: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68"/>
        </w:trPr>
        <w:tc>
          <w:tcPr>
            <w:tcW w:w="760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310,985</w:t>
            </w:r>
          </w:p>
        </w:tc>
        <w:tc>
          <w:tcPr>
            <w:tcW w:w="100" w:type="dxa"/>
            <w:vAlign w:val="bottom"/>
          </w:tcPr>
          <w:p>
            <w:pPr>
              <w:spacing w:after="0"/>
              <w:rPr>
                <w:sz w:val="14"/>
                <w:szCs w:val="14"/>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291,202</w:t>
            </w:r>
          </w:p>
        </w:tc>
      </w:tr>
      <w:tr>
        <w:trPr>
          <w:trHeight w:val="172"/>
        </w:trPr>
        <w:tc>
          <w:tcPr>
            <w:tcW w:w="7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r>
      <w:tr>
        <w:trPr>
          <w:trHeight w:val="168"/>
        </w:trPr>
        <w:tc>
          <w:tcPr>
            <w:tcW w:w="760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661,644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662,159</w:t>
            </w:r>
          </w:p>
        </w:tc>
      </w:tr>
      <w:tr>
        <w:trPr>
          <w:trHeight w:val="172"/>
        </w:trPr>
        <w:tc>
          <w:tcPr>
            <w:tcW w:w="7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79,082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r>
      <w:tr>
        <w:trPr>
          <w:trHeight w:val="158"/>
        </w:trPr>
        <w:tc>
          <w:tcPr>
            <w:tcW w:w="7600" w:type="dxa"/>
            <w:vAlign w:val="bottom"/>
          </w:tcPr>
          <w:p>
            <w:pPr>
              <w:ind w:left="180"/>
              <w:spacing w:after="0"/>
              <w:rPr>
                <w:sz w:val="20"/>
                <w:szCs w:val="20"/>
                <w:color w:val="auto"/>
              </w:rPr>
            </w:pPr>
            <w:r>
              <w:rPr>
                <w:rFonts w:ascii="Arial" w:cs="Arial" w:eastAsia="Arial" w:hAnsi="Arial"/>
                <w:sz w:val="13"/>
                <w:szCs w:val="13"/>
                <w:color w:val="auto"/>
              </w:rPr>
              <w:t>Total commercial real estate loans</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1,388,167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1,370,105</w:t>
            </w:r>
          </w:p>
        </w:tc>
      </w:tr>
      <w:tr>
        <w:trPr>
          <w:trHeight w:val="172"/>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8"/>
        </w:trPr>
        <w:tc>
          <w:tcPr>
            <w:tcW w:w="760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205,606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192,652</w:t>
            </w:r>
          </w:p>
        </w:tc>
      </w:tr>
      <w:tr>
        <w:trPr>
          <w:trHeight w:val="172"/>
        </w:trPr>
        <w:tc>
          <w:tcPr>
            <w:tcW w:w="7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r>
      <w:tr>
        <w:trPr>
          <w:trHeight w:val="168"/>
        </w:trPr>
        <w:tc>
          <w:tcPr>
            <w:tcW w:w="7600" w:type="dxa"/>
            <w:vAlign w:val="bottom"/>
          </w:tcPr>
          <w:p>
            <w:pPr>
              <w:ind w:left="120"/>
              <w:spacing w:after="0"/>
              <w:rPr>
                <w:sz w:val="20"/>
                <w:szCs w:val="20"/>
                <w:color w:val="auto"/>
              </w:rPr>
            </w:pPr>
            <w:r>
              <w:rPr>
                <w:rFonts w:ascii="Arial" w:cs="Arial" w:eastAsia="Arial" w:hAnsi="Arial"/>
                <w:sz w:val="13"/>
                <w:szCs w:val="13"/>
                <w:color w:val="auto"/>
              </w:rPr>
              <w:t>Municipal leases</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130,777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129,766</w:t>
            </w:r>
          </w:p>
        </w:tc>
      </w:tr>
      <w:tr>
        <w:trPr>
          <w:trHeight w:val="172"/>
        </w:trPr>
        <w:tc>
          <w:tcPr>
            <w:tcW w:w="7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PPP loans</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w:t>
            </w:r>
          </w:p>
        </w:tc>
      </w:tr>
      <w:tr>
        <w:trPr>
          <w:trHeight w:val="158"/>
        </w:trPr>
        <w:tc>
          <w:tcPr>
            <w:tcW w:w="7600" w:type="dxa"/>
            <w:vAlign w:val="bottom"/>
          </w:tcPr>
          <w:p>
            <w:pPr>
              <w:ind w:left="180"/>
              <w:spacing w:after="0"/>
              <w:rPr>
                <w:sz w:val="20"/>
                <w:szCs w:val="20"/>
                <w:color w:val="auto"/>
              </w:rPr>
            </w:pPr>
            <w:r>
              <w:rPr>
                <w:rFonts w:ascii="Arial" w:cs="Arial" w:eastAsia="Arial" w:hAnsi="Arial"/>
                <w:sz w:val="13"/>
                <w:szCs w:val="13"/>
                <w:color w:val="auto"/>
              </w:rPr>
              <w:t>Total commercial loans</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747,633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717,620</w:t>
            </w:r>
          </w:p>
        </w:tc>
      </w:tr>
      <w:tr>
        <w:trPr>
          <w:trHeight w:val="172"/>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8"/>
        </w:trPr>
        <w:tc>
          <w:tcPr>
            <w:tcW w:w="760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91,488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81,847</w:t>
            </w:r>
          </w:p>
        </w:tc>
      </w:tr>
      <w:tr>
        <w:trPr>
          <w:trHeight w:val="172"/>
        </w:trPr>
        <w:tc>
          <w:tcPr>
            <w:tcW w:w="7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One-to-four family</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374,849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354,203</w:t>
            </w:r>
          </w:p>
        </w:tc>
      </w:tr>
      <w:tr>
        <w:trPr>
          <w:trHeight w:val="168"/>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HELOCs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164,701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160,137</w:t>
            </w:r>
          </w:p>
        </w:tc>
      </w:tr>
      <w:tr>
        <w:trPr>
          <w:trHeight w:val="163"/>
        </w:trPr>
        <w:tc>
          <w:tcPr>
            <w:tcW w:w="7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residential real estate loans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596,187</w:t>
            </w:r>
          </w:p>
        </w:tc>
      </w:tr>
      <w:tr>
        <w:trPr>
          <w:trHeight w:val="16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 loans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100,945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85,383</w:t>
            </w:r>
          </w:p>
        </w:tc>
      </w:tr>
      <w:tr>
        <w:trPr>
          <w:trHeight w:val="163"/>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loans, net of deferred loan fees and costs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2,867,783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2,769,295</w:t>
            </w:r>
          </w:p>
        </w:tc>
      </w:tr>
      <w:tr>
        <w:trPr>
          <w:trHeight w:val="16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ACL on loans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(38,301)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(34,690)</w:t>
            </w:r>
          </w:p>
        </w:tc>
      </w:tr>
      <w:tr>
        <w:trPr>
          <w:trHeight w:val="188"/>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Loans, net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2,829,482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2,734,605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(1) At September 30, 2022 and June 30, 2022 accrued interest receivable of $8,890 and $7,969 was accounted for separately from the amortized cost basis.</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All qualifying one-to-four family first mortgage loans, HELOCs, commercial real estate loans, and FHLB of Atlanta stock are pledged as collateral by a blanket pledge to secure any outstanding FHLB advances.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Pass</w:t>
      </w:r>
      <w:r>
        <w:rPr>
          <w:rFonts w:ascii="Arial" w:cs="Arial" w:eastAsia="Arial" w:hAnsi="Arial"/>
          <w:sz w:val="13"/>
          <w:szCs w:val="13"/>
          <w:color w:val="auto"/>
        </w:rPr>
        <w:t>—A pass rated asset is not adversely classified because it does not display any of the characteristics for adverse classification.</w:t>
      </w:r>
    </w:p>
    <w:p>
      <w:pPr>
        <w:spacing w:after="0" w:line="95" w:lineRule="exact"/>
        <w:rPr>
          <w:sz w:val="20"/>
          <w:szCs w:val="20"/>
          <w:color w:val="auto"/>
        </w:rPr>
      </w:pPr>
    </w:p>
    <w:p>
      <w:pPr>
        <w:ind w:left="520"/>
        <w:spacing w:after="0" w:line="257" w:lineRule="auto"/>
        <w:rPr>
          <w:sz w:val="20"/>
          <w:szCs w:val="20"/>
          <w:color w:val="auto"/>
        </w:rPr>
      </w:pPr>
      <w:r>
        <w:rPr>
          <w:rFonts w:ascii="Arial" w:cs="Arial" w:eastAsia="Arial" w:hAnsi="Arial"/>
          <w:sz w:val="13"/>
          <w:szCs w:val="13"/>
          <w:u w:val="single" w:color="auto"/>
          <w:color w:val="auto"/>
        </w:rPr>
        <w:t>Special Mention</w:t>
      </w:r>
      <w:r>
        <w:rPr>
          <w:rFonts w:ascii="Arial" w:cs="Arial" w:eastAsia="Arial" w:hAnsi="Arial"/>
          <w:sz w:val="13"/>
          <w:szCs w:val="13"/>
          <w:color w:val="auto"/>
        </w:rPr>
        <w:t>—A special mention asset has potential weaknesses that deserve management’s close attention. If left uncorrected, such potential weaknesses may result in deterioration of the repayment prospects or collateral position at some future date. Special mention assets are not adversely classified and do not warrant adverse classification.</w:t>
      </w:r>
    </w:p>
    <w:p>
      <w:pPr>
        <w:spacing w:after="0" w:line="62" w:lineRule="exact"/>
        <w:rPr>
          <w:sz w:val="20"/>
          <w:szCs w:val="20"/>
          <w:color w:val="auto"/>
        </w:rPr>
      </w:pPr>
    </w:p>
    <w:p>
      <w:pPr>
        <w:ind w:left="520"/>
        <w:spacing w:after="0" w:line="317" w:lineRule="auto"/>
        <w:rPr>
          <w:sz w:val="20"/>
          <w:szCs w:val="20"/>
          <w:color w:val="auto"/>
        </w:rPr>
      </w:pPr>
      <w:r>
        <w:rPr>
          <w:rFonts w:ascii="Arial" w:cs="Arial" w:eastAsia="Arial" w:hAnsi="Arial"/>
          <w:sz w:val="12"/>
          <w:szCs w:val="12"/>
          <w:u w:val="single" w:color="auto"/>
          <w:color w:val="auto"/>
        </w:rPr>
        <w:t>Substandard</w:t>
      </w:r>
      <w:r>
        <w:rPr>
          <w:rFonts w:ascii="Arial" w:cs="Arial" w:eastAsia="Arial" w:hAnsi="Arial"/>
          <w:sz w:val="12"/>
          <w:szCs w:val="12"/>
          <w:color w:val="auto"/>
        </w:rPr>
        <w:t>—A substandard asset is inadequately protected by the current net worth and paying capacity of the obligor, or of the collateral pledged, if any. Assets classified as substandard generally have a well-defined weakness, or weaknesses, that jeopardize the liquidation of the debt. These assets are characterized by the distinct possibility of loss if the deficiencies are not corrected.</w:t>
      </w:r>
    </w:p>
    <w:p>
      <w:pPr>
        <w:spacing w:after="0" w:line="28" w:lineRule="exact"/>
        <w:rPr>
          <w:sz w:val="20"/>
          <w:szCs w:val="20"/>
          <w:color w:val="auto"/>
        </w:rPr>
      </w:pPr>
    </w:p>
    <w:p>
      <w:pPr>
        <w:ind w:left="520"/>
        <w:spacing w:after="0" w:line="274" w:lineRule="auto"/>
        <w:rPr>
          <w:sz w:val="20"/>
          <w:szCs w:val="20"/>
          <w:color w:val="auto"/>
        </w:rPr>
      </w:pPr>
      <w:r>
        <w:rPr>
          <w:rFonts w:ascii="Arial" w:cs="Arial" w:eastAsia="Arial" w:hAnsi="Arial"/>
          <w:sz w:val="13"/>
          <w:szCs w:val="13"/>
          <w:u w:val="single" w:color="auto"/>
          <w:color w:val="auto"/>
        </w:rPr>
        <w:t>Doubtful</w:t>
      </w:r>
      <w:r>
        <w:rPr>
          <w:rFonts w:ascii="Arial" w:cs="Arial" w:eastAsia="Arial" w:hAnsi="Arial"/>
          <w:sz w:val="13"/>
          <w:szCs w:val="13"/>
          <w:color w:val="auto"/>
        </w:rPr>
        <w:t>—An asset classified doubtful has all the weaknesses inherent in an asset classified substandard with the added characteristic that the weaknesses make collection or liquidation in full highly questionable and improbable, on the basis of currently existing facts, conditions, and values.</w:t>
      </w:r>
    </w:p>
    <w:p>
      <w:pPr>
        <w:spacing w:after="0" w:line="51" w:lineRule="exact"/>
        <w:rPr>
          <w:sz w:val="20"/>
          <w:szCs w:val="20"/>
          <w:color w:val="auto"/>
        </w:rPr>
      </w:pPr>
    </w:p>
    <w:p>
      <w:pPr>
        <w:ind w:left="520"/>
        <w:spacing w:after="0" w:line="257" w:lineRule="auto"/>
        <w:rPr>
          <w:sz w:val="20"/>
          <w:szCs w:val="20"/>
          <w:color w:val="auto"/>
        </w:rPr>
      </w:pPr>
      <w:r>
        <w:rPr>
          <w:rFonts w:ascii="Arial" w:cs="Arial" w:eastAsia="Arial" w:hAnsi="Arial"/>
          <w:sz w:val="13"/>
          <w:szCs w:val="13"/>
          <w:u w:val="single" w:color="auto"/>
          <w:color w:val="auto"/>
        </w:rPr>
        <w:t>Loss</w:t>
      </w:r>
      <w:r>
        <w:rPr>
          <w:rFonts w:ascii="Arial" w:cs="Arial" w:eastAsia="Arial" w:hAnsi="Arial"/>
          <w:sz w:val="13"/>
          <w:szCs w:val="13"/>
          <w:color w:val="auto"/>
        </w:rPr>
        <w:t>—Assets classified loss are considered uncollectible and of such little value that their continuing to be carried as an asset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credit risk profile by risk grade for commercial real estate, commercial, residential real estate, and consumer loans by origination year as of September 30,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tcPr>
          <w:p>
            <w:pPr>
              <w:ind w:left="140"/>
              <w:spacing w:after="0"/>
              <w:rPr>
                <w:sz w:val="20"/>
                <w:szCs w:val="20"/>
                <w:color w:val="auto"/>
              </w:rPr>
            </w:pPr>
            <w:r>
              <w:rPr>
                <w:rFonts w:ascii="Arial" w:cs="Arial" w:eastAsia="Arial" w:hAnsi="Arial"/>
                <w:sz w:val="11"/>
                <w:szCs w:val="11"/>
                <w:b w:val="1"/>
                <w:bCs w:val="1"/>
                <w:color w:val="auto"/>
                <w:w w:val="99"/>
              </w:rPr>
              <w:t>Term Loans By Origination Fiscal Year</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00" w:type="dxa"/>
            <w:vAlign w:val="bottom"/>
          </w:tcPr>
          <w:p>
            <w:pPr>
              <w:ind w:left="20"/>
              <w:spacing w:after="0"/>
              <w:rPr>
                <w:sz w:val="20"/>
                <w:szCs w:val="20"/>
                <w:color w:val="auto"/>
              </w:rPr>
            </w:pPr>
            <w:r>
              <w:rPr>
                <w:rFonts w:ascii="Arial" w:cs="Arial" w:eastAsia="Arial" w:hAnsi="Arial"/>
                <w:sz w:val="11"/>
                <w:szCs w:val="11"/>
                <w:b w:val="1"/>
                <w:bCs w:val="1"/>
                <w:color w:val="auto"/>
              </w:rPr>
              <w:t>September 30, 2022</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22,819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6,601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258,421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304,643</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5,418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5,418</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871</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924</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8,397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23,690</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6,132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1,655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6,654</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263,839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310,985</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owner occupied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57,832</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66,926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91,104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330,061</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2,366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3,293</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3,102</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commercial real estate - owner occupied</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9,648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57,963</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66,926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44,521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42,962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96,174</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18,262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336,456</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non-owner occupied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25,335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94,508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120,166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91,303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250,560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647,491</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14,149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14,149</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commercial real estate - non-owner occupied</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25,335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94,508</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120,166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91,303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57,136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264,713</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8,483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661,644</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Multifamily</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11,580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19,788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25,244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78,651</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92</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multifamily</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800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11,580</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19,788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15,740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4,450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25,646</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79,082</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real estate</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44,180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186,739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213,012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151,791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373,509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285,846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1,360,846</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16,578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5,418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22,952</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871</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4,369</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00" w:type="dxa"/>
            <w:vAlign w:val="bottom"/>
          </w:tcPr>
          <w:p>
            <w:pPr>
              <w:ind w:left="180"/>
              <w:spacing w:after="0"/>
              <w:rPr>
                <w:sz w:val="20"/>
                <w:szCs w:val="20"/>
                <w:color w:val="auto"/>
              </w:rPr>
            </w:pPr>
            <w:r>
              <w:rPr>
                <w:rFonts w:ascii="Arial" w:cs="Arial" w:eastAsia="Arial" w:hAnsi="Arial"/>
                <w:sz w:val="11"/>
                <w:szCs w:val="11"/>
                <w:color w:val="auto"/>
              </w:rPr>
              <w:t>Total commercial real estate</w:t>
            </w: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44,180</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187,741</w:t>
            </w:r>
          </w:p>
        </w:tc>
        <w:tc>
          <w:tcPr>
            <w:tcW w:w="3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213,012</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152,182</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106,203</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393,187</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291,662</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1,388,167</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September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20,453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66,197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197,738</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1,356</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6,498</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commercial and industrial</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20,453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66,345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20,996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15,388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10,070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24,556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47,798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205,606</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52,522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173,430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102,095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408,617</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1,819</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245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276</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equipment finance</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52,522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173,708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102,619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58,199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22,573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1,391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411,012</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23,953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130,777</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municipal leases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4,865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19,425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23,953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8,763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10,730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49,916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13,125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130,777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PPP loans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PPP loans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238</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77,840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259,052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146,030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56,679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737,370</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497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3,175</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6,798</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290</w:t>
            </w:r>
          </w:p>
        </w:tc>
      </w:tr>
      <w:tr>
        <w:trPr>
          <w:trHeight w:val="159"/>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80"/>
              <w:spacing w:after="0"/>
              <w:rPr>
                <w:sz w:val="20"/>
                <w:szCs w:val="20"/>
                <w:color w:val="auto"/>
              </w:rPr>
            </w:pPr>
            <w:r>
              <w:rPr>
                <w:rFonts w:ascii="Arial" w:cs="Arial" w:eastAsia="Arial" w:hAnsi="Arial"/>
                <w:sz w:val="11"/>
                <w:szCs w:val="11"/>
                <w:color w:val="auto"/>
              </w:rPr>
              <w:t>Total commercial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77,840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259,478</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147,581</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82,575</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43,373</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75,863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60,923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747,633</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11"/>
          </w:tcPr>
          <w:p>
            <w:pPr>
              <w:ind w:left="200"/>
              <w:spacing w:after="0"/>
              <w:rPr>
                <w:sz w:val="20"/>
                <w:szCs w:val="20"/>
                <w:color w:val="auto"/>
              </w:rPr>
            </w:pPr>
            <w:r>
              <w:rPr>
                <w:rFonts w:ascii="Arial" w:cs="Arial" w:eastAsia="Arial" w:hAnsi="Arial"/>
                <w:sz w:val="11"/>
                <w:szCs w:val="11"/>
                <w:b w:val="1"/>
                <w:bCs w:val="1"/>
                <w:color w:val="auto"/>
              </w:rPr>
              <w:t>Term Loans By Origination Fiscal Year</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ind w:left="20"/>
              <w:spacing w:after="0"/>
              <w:rPr>
                <w:sz w:val="20"/>
                <w:szCs w:val="20"/>
                <w:color w:val="auto"/>
              </w:rPr>
            </w:pPr>
            <w:r>
              <w:rPr>
                <w:rFonts w:ascii="Arial" w:cs="Arial" w:eastAsia="Arial" w:hAnsi="Arial"/>
                <w:sz w:val="11"/>
                <w:szCs w:val="11"/>
                <w:b w:val="1"/>
                <w:bCs w:val="1"/>
                <w:color w:val="auto"/>
              </w:rPr>
              <w:t>September 30, 2022</w:t>
            </w:r>
          </w:p>
        </w:tc>
        <w:tc>
          <w:tcPr>
            <w:tcW w:w="120" w:type="dxa"/>
            <w:vAlign w:val="bottom"/>
          </w:tcPr>
          <w:p>
            <w:pPr>
              <w:spacing w:after="0"/>
              <w:rPr>
                <w:sz w:val="13"/>
                <w:szCs w:val="13"/>
                <w:color w:val="auto"/>
              </w:rPr>
            </w:pPr>
          </w:p>
        </w:tc>
        <w:tc>
          <w:tcPr>
            <w:tcW w:w="460" w:type="dxa"/>
            <w:vAlign w:val="bottom"/>
          </w:tcPr>
          <w:p>
            <w:pPr>
              <w:jc w:val="right"/>
              <w:ind w:right="123"/>
              <w:spacing w:after="0"/>
              <w:rPr>
                <w:sz w:val="20"/>
                <w:szCs w:val="20"/>
                <w:color w:val="auto"/>
              </w:rPr>
            </w:pPr>
            <w:r>
              <w:rPr>
                <w:rFonts w:ascii="Arial" w:cs="Arial" w:eastAsia="Arial" w:hAnsi="Arial"/>
                <w:sz w:val="11"/>
                <w:szCs w:val="11"/>
                <w:b w:val="1"/>
                <w:bCs w:val="1"/>
                <w:color w:val="auto"/>
              </w:rPr>
              <w:t>2023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3"/>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3"/>
              <w:spacing w:after="0"/>
              <w:rPr>
                <w:sz w:val="20"/>
                <w:szCs w:val="20"/>
                <w:color w:val="auto"/>
              </w:rPr>
            </w:pPr>
            <w:r>
              <w:rPr>
                <w:rFonts w:ascii="Arial" w:cs="Arial" w:eastAsia="Arial" w:hAnsi="Arial"/>
                <w:sz w:val="11"/>
                <w:szCs w:val="11"/>
                <w:b w:val="1"/>
                <w:bCs w:val="1"/>
                <w:color w:val="auto"/>
              </w:rPr>
              <w:t>2021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23"/>
              <w:spacing w:after="0"/>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3"/>
              <w:spacing w:after="0"/>
              <w:rPr>
                <w:sz w:val="20"/>
                <w:szCs w:val="20"/>
                <w:color w:val="auto"/>
              </w:rPr>
            </w:pPr>
            <w:r>
              <w:rPr>
                <w:rFonts w:ascii="Arial" w:cs="Arial" w:eastAsia="Arial" w:hAnsi="Arial"/>
                <w:sz w:val="11"/>
                <w:szCs w:val="11"/>
                <w:b w:val="1"/>
                <w:bCs w:val="1"/>
                <w:color w:val="auto"/>
              </w:rPr>
              <w:t>Prior</w:t>
            </w:r>
          </w:p>
        </w:tc>
        <w:tc>
          <w:tcPr>
            <w:tcW w:w="6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Revolving</w:t>
            </w:r>
          </w:p>
        </w:tc>
        <w:tc>
          <w:tcPr>
            <w:tcW w:w="120" w:type="dxa"/>
            <w:vAlign w:val="bottom"/>
          </w:tcPr>
          <w:p>
            <w:pPr>
              <w:spacing w:after="0"/>
              <w:rPr>
                <w:sz w:val="13"/>
                <w:szCs w:val="13"/>
                <w:color w:val="auto"/>
              </w:rPr>
            </w:pPr>
          </w:p>
        </w:tc>
        <w:tc>
          <w:tcPr>
            <w:tcW w:w="460" w:type="dxa"/>
            <w:vAlign w:val="bottom"/>
          </w:tcPr>
          <w:p>
            <w:pPr>
              <w:jc w:val="right"/>
              <w:ind w:right="10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5"/>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91,134</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Doubtful</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2"/>
        </w:trPr>
        <w:tc>
          <w:tcPr>
            <w:tcW w:w="2020" w:type="dxa"/>
            <w:vAlign w:val="bottom"/>
          </w:tcPr>
          <w:p>
            <w:pPr>
              <w:ind w:left="180"/>
              <w:spacing w:after="0" w:line="92" w:lineRule="exact"/>
              <w:rPr>
                <w:sz w:val="20"/>
                <w:szCs w:val="20"/>
                <w:color w:val="auto"/>
              </w:rPr>
            </w:pPr>
            <w:r>
              <w:rPr>
                <w:rFonts w:ascii="Arial" w:cs="Arial" w:eastAsia="Arial" w:hAnsi="Arial"/>
                <w:sz w:val="10"/>
                <w:szCs w:val="10"/>
                <w:color w:val="auto"/>
              </w:rPr>
              <w:t>Total construction and land</w:t>
            </w:r>
          </w:p>
        </w:tc>
        <w:tc>
          <w:tcPr>
            <w:tcW w:w="120" w:type="dxa"/>
            <w:vAlign w:val="bottom"/>
          </w:tcPr>
          <w:p>
            <w:pPr>
              <w:spacing w:after="0"/>
              <w:rPr>
                <w:sz w:val="8"/>
                <w:szCs w:val="8"/>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863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51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1,985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88,589</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91,488</w:t>
            </w:r>
          </w:p>
        </w:tc>
        <w:tc>
          <w:tcPr>
            <w:tcW w:w="0" w:type="dxa"/>
            <w:vAlign w:val="bottom"/>
          </w:tcPr>
          <w:p>
            <w:pPr>
              <w:spacing w:after="0"/>
              <w:rPr>
                <w:sz w:val="1"/>
                <w:szCs w:val="1"/>
                <w:color w:val="auto"/>
              </w:rPr>
            </w:pPr>
          </w:p>
        </w:tc>
      </w:tr>
      <w:tr>
        <w:trPr>
          <w:trHeight w:val="149"/>
        </w:trPr>
        <w:tc>
          <w:tcPr>
            <w:tcW w:w="2020" w:type="dxa"/>
            <w:vAlign w:val="bottom"/>
          </w:tcPr>
          <w:p>
            <w:pPr>
              <w:ind w:left="180"/>
              <w:spacing w:after="0"/>
              <w:rPr>
                <w:sz w:val="20"/>
                <w:szCs w:val="20"/>
                <w:color w:val="auto"/>
              </w:rPr>
            </w:pPr>
            <w:r>
              <w:rPr>
                <w:rFonts w:ascii="Arial" w:cs="Arial" w:eastAsia="Arial" w:hAnsi="Arial"/>
                <w:sz w:val="11"/>
                <w:szCs w:val="11"/>
                <w:color w:val="auto"/>
              </w:rPr>
              <w:t>development</w:t>
            </w: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One-to-four family</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61,909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82,573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46,675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28,317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130,596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4,069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368,849</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634</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5,325</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Doubtful</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one-to-four family</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14,710</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62,036</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82,573</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46,732</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28,857</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135,872</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4,069</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374,849</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HELOCs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7,656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150,257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163,967</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706</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Doubtful</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HELOCs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2,513</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1,431</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675</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428</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1,007</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8,342</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150,305</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164,701</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residential real estate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17,223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64,203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83,248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47,154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29,324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139,883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242,915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623,950</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634</w:t>
            </w: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6,385</w:t>
            </w:r>
          </w:p>
        </w:tc>
        <w:tc>
          <w:tcPr>
            <w:tcW w:w="0" w:type="dxa"/>
            <w:vAlign w:val="bottom"/>
          </w:tcPr>
          <w:p>
            <w:pPr>
              <w:spacing w:after="0"/>
              <w:rPr>
                <w:sz w:val="1"/>
                <w:szCs w:val="1"/>
                <w:color w:val="auto"/>
              </w:rPr>
            </w:pPr>
          </w:p>
        </w:tc>
      </w:tr>
      <w:tr>
        <w:trPr>
          <w:trHeight w:val="152"/>
        </w:trPr>
        <w:tc>
          <w:tcPr>
            <w:tcW w:w="2020" w:type="dxa"/>
            <w:vAlign w:val="bottom"/>
          </w:tcPr>
          <w:p>
            <w:pPr>
              <w:ind w:left="120"/>
              <w:spacing w:after="0"/>
              <w:rPr>
                <w:sz w:val="20"/>
                <w:szCs w:val="20"/>
                <w:color w:val="auto"/>
              </w:rPr>
            </w:pPr>
            <w:r>
              <w:rPr>
                <w:rFonts w:ascii="Arial" w:cs="Arial" w:eastAsia="Arial" w:hAnsi="Arial"/>
                <w:sz w:val="11"/>
                <w:szCs w:val="11"/>
                <w:color w:val="auto"/>
              </w:rPr>
              <w:t>Doubtful</w:t>
            </w: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2020" w:type="dxa"/>
            <w:vAlign w:val="bottom"/>
          </w:tcPr>
          <w:p>
            <w:pPr>
              <w:ind w:left="180"/>
              <w:spacing w:after="0"/>
              <w:rPr>
                <w:sz w:val="20"/>
                <w:szCs w:val="20"/>
                <w:color w:val="auto"/>
              </w:rPr>
            </w:pPr>
            <w:r>
              <w:rPr>
                <w:rFonts w:ascii="Arial" w:cs="Arial" w:eastAsia="Arial" w:hAnsi="Arial"/>
                <w:sz w:val="11"/>
                <w:szCs w:val="11"/>
                <w:color w:val="auto"/>
              </w:rPr>
              <w:t>Total residential real estate</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17,223</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64,330</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83,248</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47,211</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29,864</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146,199</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242,963</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631,038</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September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consumer</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23,836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100,050</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894</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7"/>
        </w:trPr>
        <w:tc>
          <w:tcPr>
            <w:tcW w:w="3240" w:type="dxa"/>
            <w:vAlign w:val="bottom"/>
          </w:tcPr>
          <w:p>
            <w:pPr>
              <w:ind w:left="180"/>
              <w:spacing w:after="0"/>
              <w:rPr>
                <w:sz w:val="20"/>
                <w:szCs w:val="20"/>
                <w:color w:val="auto"/>
              </w:rPr>
            </w:pPr>
            <w:r>
              <w:rPr>
                <w:rFonts w:ascii="Arial" w:cs="Arial" w:eastAsia="Arial" w:hAnsi="Arial"/>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25,818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23,950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18,782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14,075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9,768</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8,315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100,945</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credit risk profile by risk grade for commercial real estate, commercial, residential real estate, and consumer loans by origination year as of June 30,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tcPr>
          <w:p>
            <w:pPr>
              <w:ind w:left="140"/>
              <w:spacing w:after="0"/>
              <w:rPr>
                <w:sz w:val="20"/>
                <w:szCs w:val="20"/>
                <w:color w:val="auto"/>
              </w:rPr>
            </w:pPr>
            <w:r>
              <w:rPr>
                <w:rFonts w:ascii="Arial" w:cs="Arial" w:eastAsia="Arial" w:hAnsi="Arial"/>
                <w:sz w:val="11"/>
                <w:szCs w:val="11"/>
                <w:b w:val="1"/>
                <w:bCs w:val="1"/>
                <w:color w:val="auto"/>
                <w:w w:val="99"/>
              </w:rPr>
              <w:t>Term Loans By Origination Fiscal Year</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0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21,988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248,189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285,490</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4,774</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22,859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5,686</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627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2,089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1,092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5,983</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252,866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291,202</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owner occupied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55,167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71,429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45,665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74,602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329,226</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2,416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3,230</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2,227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commercial real estate - owner occupied</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55,167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71,429</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46,061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44,204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22,297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79,245</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17,255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335,658</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non-owner occupied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97,885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122,975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95,268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182,664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643,889</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4,421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18,265</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commercial real estate - non-owner occupied</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97,885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122,975</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95,268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56,846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94,881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187,090</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7,214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662,159</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Multifamily</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19,985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20,587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80,493</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246</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multifamily</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10,135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19,985</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15,881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2,796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21,151</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2,495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81,086</w:t>
            </w:r>
          </w:p>
        </w:tc>
      </w:tr>
      <w:tr>
        <w:trPr>
          <w:trHeight w:val="146"/>
        </w:trPr>
        <w:tc>
          <w:tcPr>
            <w:tcW w:w="3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real estate</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0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185,175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220,075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157,441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111,335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283,672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274,755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1,339,098</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7,151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26,515</w:t>
            </w:r>
          </w:p>
        </w:tc>
      </w:tr>
      <w:tr>
        <w:trPr>
          <w:trHeight w:val="166"/>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4,492</w:t>
            </w:r>
          </w:p>
        </w:tc>
      </w:tr>
      <w:tr>
        <w:trPr>
          <w:trHeight w:val="152"/>
        </w:trPr>
        <w:tc>
          <w:tcPr>
            <w:tcW w:w="320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00" w:type="dxa"/>
            <w:vAlign w:val="bottom"/>
          </w:tcPr>
          <w:p>
            <w:pPr>
              <w:ind w:left="180"/>
              <w:spacing w:after="0"/>
              <w:rPr>
                <w:sz w:val="20"/>
                <w:szCs w:val="20"/>
                <w:color w:val="auto"/>
              </w:rPr>
            </w:pPr>
            <w:r>
              <w:rPr>
                <w:rFonts w:ascii="Arial" w:cs="Arial" w:eastAsia="Arial" w:hAnsi="Arial"/>
                <w:sz w:val="11"/>
                <w:szCs w:val="11"/>
                <w:color w:val="auto"/>
              </w:rPr>
              <w:t>Total commercial real estate</w:t>
            </w: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186,046</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220,075</w:t>
            </w:r>
          </w:p>
        </w:tc>
        <w:tc>
          <w:tcPr>
            <w:tcW w:w="3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157,837</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111,782</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121,066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293,469</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279,830</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1,370,105</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21,059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182,973</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2,927</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6,654</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commercial and industrial</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70,863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22,273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11,964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10,893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20,908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49,413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192,652</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186,139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392,124</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2,080</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equipment finance</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186,371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113,817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65,420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27,178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1,755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394,541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129,729</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municipal leases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19,425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24,517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8,962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11,034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13,584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39,529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12,715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129,766</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PPP loans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PPP loans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375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276,427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159,277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705,487</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1,262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5,044</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6,954</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w:t>
            </w:r>
          </w:p>
        </w:tc>
      </w:tr>
      <w:tr>
        <w:trPr>
          <w:trHeight w:val="159"/>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80"/>
              <w:spacing w:after="0"/>
              <w:rPr>
                <w:sz w:val="20"/>
                <w:szCs w:val="20"/>
                <w:color w:val="auto"/>
              </w:rPr>
            </w:pPr>
            <w:r>
              <w:rPr>
                <w:rFonts w:ascii="Arial" w:cs="Arial" w:eastAsia="Arial" w:hAnsi="Arial"/>
                <w:sz w:val="11"/>
                <w:szCs w:val="11"/>
                <w:color w:val="auto"/>
              </w:rPr>
              <w:t>Total commercial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276,659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160,982</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86,632</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49,105</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21,677</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60,437</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62,128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717,620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81,475</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2,155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78,775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81,847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One-to-four family</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47,364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346,523</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6,690</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155</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one-to-four family</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55,543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74,035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48,366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29,615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23,680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118,887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354,203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HELOCs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148,526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159,181</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HELOCs</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458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8,348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148,575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160,137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residential real estate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74,493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47,699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122,531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587,179</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835</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7,990</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183</w:t>
            </w:r>
          </w:p>
        </w:tc>
      </w:tr>
      <w:tr>
        <w:trPr>
          <w:trHeight w:val="159"/>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3240" w:type="dxa"/>
            <w:vAlign w:val="bottom"/>
          </w:tcPr>
          <w:p>
            <w:pPr>
              <w:ind w:left="180"/>
              <w:spacing w:after="0"/>
              <w:rPr>
                <w:sz w:val="20"/>
                <w:szCs w:val="20"/>
                <w:color w:val="auto"/>
              </w:rPr>
            </w:pPr>
            <w:r>
              <w:rPr>
                <w:rFonts w:ascii="Arial" w:cs="Arial" w:eastAsia="Arial" w:hAnsi="Arial"/>
                <w:sz w:val="11"/>
                <w:szCs w:val="11"/>
                <w:color w:val="auto"/>
              </w:rPr>
              <w:t>Total residential real estate</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57,873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74,493</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48,701</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30,516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23,787</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129,390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231,427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596,187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consumer</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20,443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15,849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84,466</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w:t>
            </w:r>
          </w:p>
        </w:tc>
      </w:tr>
      <w:tr>
        <w:trPr>
          <w:trHeight w:val="152"/>
        </w:trPr>
        <w:tc>
          <w:tcPr>
            <w:tcW w:w="3240" w:type="dxa"/>
            <w:vAlign w:val="bottom"/>
          </w:tcPr>
          <w:p>
            <w:pPr>
              <w:ind w:left="12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7"/>
        </w:trPr>
        <w:tc>
          <w:tcPr>
            <w:tcW w:w="3240" w:type="dxa"/>
            <w:vAlign w:val="bottom"/>
          </w:tcPr>
          <w:p>
            <w:pPr>
              <w:ind w:left="180"/>
              <w:spacing w:after="0"/>
              <w:rPr>
                <w:sz w:val="20"/>
                <w:szCs w:val="20"/>
                <w:color w:val="auto"/>
              </w:rPr>
            </w:pPr>
            <w:r>
              <w:rPr>
                <w:rFonts w:ascii="Arial" w:cs="Arial" w:eastAsia="Arial" w:hAnsi="Arial"/>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26,007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20,612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16,123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11,416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8,417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2,498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85,383</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8"/>
          </w:tcPr>
          <w:p>
            <w:pPr>
              <w:spacing w:after="0"/>
              <w:rPr>
                <w:sz w:val="20"/>
                <w:szCs w:val="20"/>
                <w:color w:val="auto"/>
              </w:rPr>
            </w:pPr>
            <w:r>
              <w:rPr>
                <w:rFonts w:ascii="Arial" w:cs="Arial" w:eastAsia="Arial" w:hAnsi="Arial"/>
                <w:sz w:val="13"/>
                <w:szCs w:val="13"/>
                <w:color w:val="auto"/>
                <w:w w:val="89"/>
              </w:rPr>
              <w:t>The following tables present aging analyses of past due loans (including nonaccrual loans) by segment and class for the periods indicated below:</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4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3"/>
                <w:szCs w:val="13"/>
                <w:b w:val="1"/>
                <w:bCs w:val="1"/>
                <w:color w:val="auto"/>
              </w:rPr>
              <w:t>Past Due</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56"/>
              <w:spacing w:after="0"/>
              <w:rPr>
                <w:sz w:val="20"/>
                <w:szCs w:val="20"/>
                <w:color w:val="auto"/>
              </w:rPr>
            </w:pPr>
            <w:r>
              <w:rPr>
                <w:rFonts w:ascii="Arial" w:cs="Arial" w:eastAsia="Arial" w:hAnsi="Arial"/>
                <w:sz w:val="13"/>
                <w:szCs w:val="13"/>
                <w:b w:val="1"/>
                <w:bCs w:val="1"/>
                <w:color w:val="auto"/>
              </w:rPr>
              <w:t>Total</w:t>
            </w:r>
          </w:p>
        </w:tc>
      </w:tr>
      <w:tr>
        <w:trPr>
          <w:trHeight w:val="163"/>
        </w:trPr>
        <w:tc>
          <w:tcPr>
            <w:tcW w:w="4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30-89 Days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90 Days+</w:t>
            </w:r>
          </w:p>
        </w:tc>
        <w:tc>
          <w:tcPr>
            <w:tcW w:w="420" w:type="dxa"/>
            <w:vAlign w:val="bottom"/>
          </w:tcPr>
          <w:p>
            <w:pPr>
              <w:spacing w:after="0"/>
              <w:rPr>
                <w:sz w:val="14"/>
                <w:szCs w:val="14"/>
                <w:color w:val="auto"/>
              </w:rPr>
            </w:pPr>
          </w:p>
        </w:tc>
        <w:tc>
          <w:tcPr>
            <w:tcW w:w="920" w:type="dxa"/>
            <w:vAlign w:val="bottom"/>
          </w:tcPr>
          <w:p>
            <w:pPr>
              <w:jc w:val="right"/>
              <w:ind w:right="476"/>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Current</w:t>
            </w:r>
          </w:p>
        </w:tc>
        <w:tc>
          <w:tcPr>
            <w:tcW w:w="3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3"/>
                <w:szCs w:val="13"/>
                <w:b w:val="1"/>
                <w:bCs w:val="1"/>
                <w:color w:val="auto"/>
              </w:rPr>
              <w:t>Loans</w:t>
            </w:r>
          </w:p>
        </w:tc>
      </w:tr>
      <w:tr>
        <w:trPr>
          <w:trHeight w:val="152"/>
        </w:trPr>
        <w:tc>
          <w:tcPr>
            <w:tcW w:w="42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September 30, 2022</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310,985</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336,456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336,456</w:t>
            </w: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661,644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661,644</w:t>
            </w:r>
          </w:p>
        </w:tc>
      </w:tr>
      <w:tr>
        <w:trPr>
          <w:trHeight w:val="168"/>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Multifamily</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78,231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79,082</w:t>
            </w:r>
          </w:p>
        </w:tc>
      </w:tr>
      <w:tr>
        <w:trPr>
          <w:trHeight w:val="163"/>
        </w:trPr>
        <w:tc>
          <w:tcPr>
            <w:tcW w:w="4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 real estate</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1,387,316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1,388,167</w:t>
            </w: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and industrial</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205,606</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Equipment finance</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410,209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411,012</w:t>
            </w: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Municipal leases</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130,777</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PPP loans</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w:t>
            </w:r>
          </w:p>
        </w:tc>
      </w:tr>
      <w:tr>
        <w:trPr>
          <w:trHeight w:val="163"/>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1,623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745,830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747,633</w:t>
            </w: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91,351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91,488</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1,405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372,244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374,849</w:t>
            </w: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1,076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163,511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164,701</w:t>
            </w:r>
          </w:p>
        </w:tc>
      </w:tr>
      <w:tr>
        <w:trPr>
          <w:trHeight w:val="158"/>
        </w:trPr>
        <w:tc>
          <w:tcPr>
            <w:tcW w:w="424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2,483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1,449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627,106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631,038</w:t>
            </w:r>
          </w:p>
        </w:tc>
      </w:tr>
      <w:tr>
        <w:trPr>
          <w:trHeight w:val="170"/>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100,612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100,945</w:t>
            </w:r>
          </w:p>
        </w:tc>
      </w:tr>
      <w:tr>
        <w:trPr>
          <w:trHeight w:val="163"/>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Total loans</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5,146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2,860,864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2,867,783</w:t>
            </w: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3"/>
                <w:szCs w:val="13"/>
                <w:b w:val="1"/>
                <w:bCs w:val="1"/>
                <w:color w:val="auto"/>
              </w:rPr>
              <w:t>Past Due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3"/>
                <w:szCs w:val="13"/>
                <w:b w:val="1"/>
                <w:bCs w:val="1"/>
                <w:color w:val="auto"/>
              </w:rPr>
              <w:t>Total</w:t>
            </w:r>
          </w:p>
        </w:tc>
      </w:tr>
      <w:tr>
        <w:trPr>
          <w:trHeight w:val="163"/>
        </w:trPr>
        <w:tc>
          <w:tcPr>
            <w:tcW w:w="4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30-89 Days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90 Days+</w:t>
            </w:r>
          </w:p>
        </w:tc>
        <w:tc>
          <w:tcPr>
            <w:tcW w:w="300" w:type="dxa"/>
            <w:vAlign w:val="bottom"/>
          </w:tcPr>
          <w:p>
            <w:pPr>
              <w:spacing w:after="0"/>
              <w:rPr>
                <w:sz w:val="14"/>
                <w:szCs w:val="14"/>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Current</w:t>
            </w:r>
          </w:p>
        </w:tc>
        <w:tc>
          <w:tcPr>
            <w:tcW w:w="3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3"/>
                <w:szCs w:val="13"/>
                <w:b w:val="1"/>
                <w:bCs w:val="1"/>
                <w:color w:val="auto"/>
              </w:rPr>
              <w:t>Loans</w:t>
            </w:r>
          </w:p>
        </w:tc>
      </w:tr>
      <w:tr>
        <w:trPr>
          <w:trHeight w:val="152"/>
        </w:trPr>
        <w:tc>
          <w:tcPr>
            <w:tcW w:w="42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2022</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291,202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291,202</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335,606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335,658</w:t>
            </w: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662,159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662,159</w:t>
            </w:r>
          </w:p>
        </w:tc>
      </w:tr>
      <w:tr>
        <w:trPr>
          <w:trHeight w:val="168"/>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Multifamily</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81,086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81,086</w:t>
            </w:r>
          </w:p>
        </w:tc>
      </w:tr>
      <w:tr>
        <w:trPr>
          <w:trHeight w:val="163"/>
        </w:trPr>
        <w:tc>
          <w:tcPr>
            <w:tcW w:w="4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 real estate</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1,370,053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1,370,105</w:t>
            </w: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and industrial</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192,397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192,652</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Equipment finance</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394,299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394,541</w:t>
            </w: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Municipal leases</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129,766</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PPP loans</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163"/>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717,123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717,620</w:t>
            </w: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r>
      <w:tr>
        <w:trPr>
          <w:trHeight w:val="168"/>
        </w:trPr>
        <w:tc>
          <w:tcPr>
            <w:tcW w:w="424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351,899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354,203</w:t>
            </w:r>
          </w:p>
        </w:tc>
      </w:tr>
      <w:tr>
        <w:trPr>
          <w:trHeight w:val="172"/>
        </w:trPr>
        <w:tc>
          <w:tcPr>
            <w:tcW w:w="4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159,732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r>
      <w:tr>
        <w:trPr>
          <w:trHeight w:val="158"/>
        </w:trPr>
        <w:tc>
          <w:tcPr>
            <w:tcW w:w="424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1,308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1,538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2,846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593,341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596,187</w:t>
            </w:r>
          </w:p>
        </w:tc>
      </w:tr>
      <w:tr>
        <w:trPr>
          <w:trHeight w:val="170"/>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84,876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r>
      <w:tr>
        <w:trPr>
          <w:trHeight w:val="163"/>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Total loans</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2,079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2,765,393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2,769,295</w:t>
            </w: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following table presents recorded investment in loans on nonaccrual status, by segment and class, including restructured loans. It also includes interest income recognized on nonaccrual loans for the three months ended September 30,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136"/>
              <w:spacing w:after="0"/>
              <w:rPr>
                <w:sz w:val="20"/>
                <w:szCs w:val="20"/>
                <w:color w:val="auto"/>
              </w:rPr>
            </w:pPr>
            <w:r>
              <w:rPr>
                <w:rFonts w:ascii="Arial" w:cs="Arial" w:eastAsia="Arial" w:hAnsi="Arial"/>
                <w:sz w:val="13"/>
                <w:szCs w:val="13"/>
                <w:b w:val="1"/>
                <w:bCs w:val="1"/>
                <w:color w:val="auto"/>
                <w:w w:val="88"/>
              </w:rPr>
              <w:t>90 Days+ &amp;</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Nonaccrual With No</w:t>
            </w:r>
          </w:p>
        </w:tc>
        <w:tc>
          <w:tcPr>
            <w:tcW w:w="120" w:type="dxa"/>
            <w:vAlign w:val="bottom"/>
          </w:tcPr>
          <w:p>
            <w:pPr>
              <w:spacing w:after="0"/>
              <w:rPr>
                <w:sz w:val="13"/>
                <w:szCs w:val="13"/>
                <w:color w:val="auto"/>
              </w:rPr>
            </w:pPr>
          </w:p>
        </w:tc>
        <w:tc>
          <w:tcPr>
            <w:tcW w:w="104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89"/>
              </w:rPr>
              <w:t>Interest Income</w:t>
            </w:r>
          </w:p>
        </w:tc>
        <w:tc>
          <w:tcPr>
            <w:tcW w:w="0" w:type="dxa"/>
            <w:vAlign w:val="bottom"/>
          </w:tcPr>
          <w:p>
            <w:pPr>
              <w:spacing w:after="0"/>
              <w:rPr>
                <w:sz w:val="1"/>
                <w:szCs w:val="1"/>
                <w:color w:val="auto"/>
              </w:rPr>
            </w:pPr>
          </w:p>
        </w:tc>
      </w:tr>
      <w:tr>
        <w:trPr>
          <w:trHeight w:val="127"/>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June 30, 2022</w:t>
            </w:r>
          </w:p>
        </w:tc>
        <w:tc>
          <w:tcPr>
            <w:tcW w:w="1340" w:type="dxa"/>
            <w:vAlign w:val="bottom"/>
          </w:tcPr>
          <w:p>
            <w:pPr>
              <w:jc w:val="center"/>
              <w:ind w:left="136"/>
              <w:spacing w:after="0" w:line="128" w:lineRule="exact"/>
              <w:rPr>
                <w:sz w:val="20"/>
                <w:szCs w:val="20"/>
                <w:color w:val="auto"/>
              </w:rPr>
            </w:pPr>
            <w:r>
              <w:rPr>
                <w:rFonts w:ascii="Arial" w:cs="Arial" w:eastAsia="Arial" w:hAnsi="Arial"/>
                <w:sz w:val="13"/>
                <w:szCs w:val="13"/>
                <w:b w:val="1"/>
                <w:bCs w:val="1"/>
                <w:color w:val="auto"/>
                <w:w w:val="86"/>
              </w:rPr>
              <w:t>Still Accruing as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tcPr>
          <w:p>
            <w:pPr>
              <w:jc w:val="center"/>
              <w:ind w:right="80"/>
              <w:spacing w:after="0" w:line="128" w:lineRule="exact"/>
              <w:rPr>
                <w:sz w:val="20"/>
                <w:szCs w:val="20"/>
                <w:color w:val="auto"/>
              </w:rPr>
            </w:pPr>
            <w:r>
              <w:rPr>
                <w:rFonts w:ascii="Arial" w:cs="Arial" w:eastAsia="Arial" w:hAnsi="Arial"/>
                <w:sz w:val="13"/>
                <w:szCs w:val="13"/>
                <w:b w:val="1"/>
                <w:bCs w:val="1"/>
                <w:color w:val="auto"/>
                <w:w w:val="86"/>
              </w:rPr>
              <w:t>Allowance as of September</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40" w:type="dxa"/>
            <w:vAlign w:val="bottom"/>
          </w:tcPr>
          <w:p>
            <w:pPr>
              <w:jc w:val="center"/>
              <w:ind w:left="136"/>
              <w:spacing w:after="0"/>
              <w:rPr>
                <w:sz w:val="20"/>
                <w:szCs w:val="20"/>
                <w:color w:val="auto"/>
              </w:rPr>
            </w:pPr>
            <w:r>
              <w:rPr>
                <w:rFonts w:ascii="Arial" w:cs="Arial" w:eastAsia="Arial" w:hAnsi="Arial"/>
                <w:sz w:val="13"/>
                <w:szCs w:val="13"/>
                <w:b w:val="1"/>
                <w:bCs w:val="1"/>
                <w:color w:val="auto"/>
                <w:w w:val="87"/>
              </w:rPr>
              <w:t>September 30, 2022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6"/>
              <w:spacing w:after="0"/>
              <w:rPr>
                <w:sz w:val="20"/>
                <w:szCs w:val="20"/>
                <w:color w:val="auto"/>
              </w:rPr>
            </w:pPr>
            <w:r>
              <w:rPr>
                <w:rFonts w:ascii="Arial" w:cs="Arial" w:eastAsia="Arial" w:hAnsi="Arial"/>
                <w:sz w:val="13"/>
                <w:szCs w:val="13"/>
                <w:b w:val="1"/>
                <w:bCs w:val="1"/>
                <w:color w:val="auto"/>
                <w:w w:val="90"/>
              </w:rPr>
              <w:t>30, 2022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16"/>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152"/>
        </w:trPr>
        <w:tc>
          <w:tcPr>
            <w:tcW w:w="39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6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1340" w:type="dxa"/>
            <w:vAlign w:val="bottom"/>
          </w:tcPr>
          <w:p>
            <w:pPr>
              <w:jc w:val="right"/>
              <w:ind w:right="1196"/>
              <w:spacing w:after="0"/>
              <w:rPr>
                <w:sz w:val="20"/>
                <w:szCs w:val="20"/>
                <w:color w:val="auto"/>
              </w:rPr>
            </w:pPr>
            <w:r>
              <w:rPr>
                <w:rFonts w:ascii="Arial" w:cs="Arial" w:eastAsia="Arial" w:hAnsi="Arial"/>
                <w:sz w:val="13"/>
                <w:szCs w:val="13"/>
                <w:color w:val="auto"/>
                <w:w w:val="82"/>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96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3960" w:type="dxa"/>
            <w:vAlign w:val="bottom"/>
          </w:tcPr>
          <w:p>
            <w:pPr>
              <w:ind w:left="180"/>
              <w:spacing w:after="0"/>
              <w:rPr>
                <w:sz w:val="20"/>
                <w:szCs w:val="20"/>
                <w:color w:val="auto"/>
              </w:rPr>
            </w:pPr>
            <w:r>
              <w:rPr>
                <w:rFonts w:ascii="Arial" w:cs="Arial" w:eastAsia="Arial" w:hAnsi="Arial"/>
                <w:sz w:val="13"/>
                <w:szCs w:val="13"/>
                <w:color w:val="auto"/>
              </w:rPr>
              <w:t>Total commercial real estate</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1,951</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8"/>
        </w:trPr>
        <w:tc>
          <w:tcPr>
            <w:tcW w:w="3960" w:type="dxa"/>
            <w:vAlign w:val="bottom"/>
          </w:tcPr>
          <w:p>
            <w:pPr>
              <w:ind w:left="180"/>
              <w:spacing w:after="0"/>
              <w:rPr>
                <w:sz w:val="20"/>
                <w:szCs w:val="20"/>
                <w:color w:val="auto"/>
              </w:rPr>
            </w:pPr>
            <w:r>
              <w:rPr>
                <w:rFonts w:ascii="Arial" w:cs="Arial" w:eastAsia="Arial" w:hAnsi="Arial"/>
                <w:sz w:val="13"/>
                <w:szCs w:val="13"/>
                <w:color w:val="auto"/>
              </w:rPr>
              <w:t>Total commercial</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2,221</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One-to-four family</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HELOCs</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residential real estate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96"/>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line="368" w:lineRule="auto"/>
        <w:rPr>
          <w:sz w:val="20"/>
          <w:szCs w:val="20"/>
          <w:color w:val="auto"/>
        </w:rPr>
      </w:pPr>
      <w:r>
        <w:rPr>
          <w:rFonts w:ascii="Arial" w:cs="Arial" w:eastAsia="Arial" w:hAnsi="Arial"/>
          <w:sz w:val="11"/>
          <w:szCs w:val="11"/>
          <w:color w:val="auto"/>
        </w:rPr>
        <w:t>TDRs are loans which have renegotiated loan terms to assist borrowers who are unable to meet the original terms of their loans. Such modifications to loan terms may include a lower interest rate, a reduction in principal, and/or a longer term to maturity. The above table excludes $9,929 and $9,818 of TDRs that were performing under their restructured payment terms as of September 30, 2022 and June 30, 2022, respectively.</w:t>
      </w:r>
    </w:p>
    <w:p>
      <w:pPr>
        <w:spacing w:after="0" w:line="5" w:lineRule="exact"/>
        <w:rPr>
          <w:sz w:val="20"/>
          <w:szCs w:val="20"/>
          <w:color w:val="auto"/>
        </w:rPr>
      </w:pPr>
    </w:p>
    <w:p>
      <w:pPr>
        <w:spacing w:after="0" w:line="317" w:lineRule="auto"/>
        <w:rPr>
          <w:sz w:val="20"/>
          <w:szCs w:val="20"/>
          <w:color w:val="auto"/>
        </w:rPr>
      </w:pPr>
      <w:r>
        <w:rPr>
          <w:rFonts w:ascii="Arial" w:cs="Arial" w:eastAsia="Arial" w:hAnsi="Arial"/>
          <w:sz w:val="12"/>
          <w:szCs w:val="12"/>
          <w:color w:val="auto"/>
        </w:rPr>
        <w:t>The following tables present analyses of the ACL on loans by segment for the period indicated below. In addition to the provision (benefit) for credit losses on loans presented below, provisions (benefits) of $443 and $(125) for off-balance sheet credit exposures and $(150) and $0 for commercial paper were recorded during the three months ended September 30, 2022 and 2021, respectively.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88"/>
              </w:rPr>
              <w:t>Three Months Ended September 30, 2022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0"/>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8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34,690</w:t>
            </w:r>
          </w:p>
        </w:tc>
        <w:tc>
          <w:tcPr>
            <w:tcW w:w="0" w:type="dxa"/>
            <w:vAlign w:val="bottom"/>
          </w:tcPr>
          <w:p>
            <w:pPr>
              <w:spacing w:after="0"/>
              <w:rPr>
                <w:sz w:val="1"/>
                <w:szCs w:val="1"/>
                <w:color w:val="auto"/>
              </w:rPr>
            </w:pPr>
          </w:p>
        </w:tc>
      </w:tr>
      <w:tr>
        <w:trPr>
          <w:trHeight w:val="168"/>
        </w:trPr>
        <w:tc>
          <w:tcPr>
            <w:tcW w:w="5080" w:type="dxa"/>
            <w:vAlign w:val="bottom"/>
          </w:tcPr>
          <w:p>
            <w:pPr>
              <w:ind w:left="100"/>
              <w:spacing w:after="0"/>
              <w:rPr>
                <w:sz w:val="20"/>
                <w:szCs w:val="20"/>
                <w:color w:val="auto"/>
              </w:rPr>
            </w:pPr>
            <w:r>
              <w:rPr>
                <w:rFonts w:ascii="Arial" w:cs="Arial" w:eastAsia="Arial" w:hAnsi="Arial"/>
                <w:sz w:val="13"/>
                <w:szCs w:val="13"/>
                <w:color w:val="auto"/>
              </w:rPr>
              <w:t>Provision (benefit) for credit losses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3,694</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Charge-offs</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Recoveries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shd w:val="clear" w:color="auto" w:fill="CCEEFF"/>
          </w:tcPr>
          <w:p>
            <w:pPr>
              <w:ind w:left="180"/>
              <w:spacing w:after="0" w:line="148" w:lineRule="exact"/>
              <w:rPr>
                <w:sz w:val="20"/>
                <w:szCs w:val="20"/>
                <w:color w:val="auto"/>
              </w:rPr>
            </w:pPr>
            <w:r>
              <w:rPr>
                <w:rFonts w:ascii="Arial" w:cs="Arial" w:eastAsia="Arial" w:hAnsi="Arial"/>
                <w:sz w:val="13"/>
                <w:szCs w:val="13"/>
                <w:color w:val="auto"/>
              </w:rPr>
              <w:t>Net (charge-offs) recoveries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0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14,680</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12,978</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8,383</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2,260</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38,301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88"/>
              </w:rPr>
              <w:t>Three Months Ended September 30, 2021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0"/>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8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15,084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35,468</w:t>
            </w:r>
          </w:p>
        </w:tc>
        <w:tc>
          <w:tcPr>
            <w:tcW w:w="0" w:type="dxa"/>
            <w:vAlign w:val="bottom"/>
          </w:tcPr>
          <w:p>
            <w:pPr>
              <w:spacing w:after="0"/>
              <w:rPr>
                <w:sz w:val="1"/>
                <w:szCs w:val="1"/>
                <w:color w:val="auto"/>
              </w:rPr>
            </w:pPr>
          </w:p>
        </w:tc>
      </w:tr>
      <w:tr>
        <w:trPr>
          <w:trHeight w:val="168"/>
        </w:trPr>
        <w:tc>
          <w:tcPr>
            <w:tcW w:w="5080" w:type="dxa"/>
            <w:vAlign w:val="bottom"/>
          </w:tcPr>
          <w:p>
            <w:pPr>
              <w:ind w:left="100"/>
              <w:spacing w:after="0"/>
              <w:rPr>
                <w:sz w:val="20"/>
                <w:szCs w:val="20"/>
                <w:color w:val="auto"/>
              </w:rPr>
            </w:pPr>
            <w:r>
              <w:rPr>
                <w:rFonts w:ascii="Arial" w:cs="Arial" w:eastAsia="Arial" w:hAnsi="Arial"/>
                <w:sz w:val="13"/>
                <w:szCs w:val="13"/>
                <w:color w:val="auto"/>
              </w:rPr>
              <w:t>Provision (benefit) for credit losses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(1,335)</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Charge-offs</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Recoveries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shd w:val="clear" w:color="auto" w:fill="CCEEFF"/>
          </w:tcPr>
          <w:p>
            <w:pPr>
              <w:ind w:left="180"/>
              <w:spacing w:after="0" w:line="148" w:lineRule="exact"/>
              <w:rPr>
                <w:sz w:val="20"/>
                <w:szCs w:val="20"/>
                <w:color w:val="auto"/>
              </w:rPr>
            </w:pPr>
            <w:r>
              <w:rPr>
                <w:rFonts w:ascii="Arial" w:cs="Arial" w:eastAsia="Arial" w:hAnsi="Arial"/>
                <w:sz w:val="13"/>
                <w:szCs w:val="13"/>
                <w:color w:val="auto"/>
              </w:rPr>
              <w:t>Net (charge-offs) recoveries</w:t>
            </w: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0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13,994</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10,211</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7,601</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2,600</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34,406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gridSpan w:val="9"/>
          </w:tcPr>
          <w:p>
            <w:pPr>
              <w:spacing w:after="0"/>
              <w:rPr>
                <w:sz w:val="20"/>
                <w:szCs w:val="20"/>
                <w:color w:val="auto"/>
              </w:rPr>
            </w:pPr>
            <w:r>
              <w:rPr>
                <w:rFonts w:ascii="Arial" w:cs="Arial" w:eastAsia="Arial" w:hAnsi="Arial"/>
                <w:sz w:val="13"/>
                <w:szCs w:val="13"/>
                <w:color w:val="auto"/>
                <w:w w:val="89"/>
              </w:rPr>
              <w:t>The following tables present ending balances of loans and the related ACL, by segment and class for the periods indicated below:</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center"/>
              <w:ind w:left="596"/>
              <w:spacing w:after="0"/>
              <w:rPr>
                <w:sz w:val="20"/>
                <w:szCs w:val="20"/>
                <w:color w:val="auto"/>
              </w:rPr>
            </w:pPr>
            <w:r>
              <w:rPr>
                <w:rFonts w:ascii="Arial" w:cs="Arial" w:eastAsia="Arial" w:hAnsi="Arial"/>
                <w:sz w:val="13"/>
                <w:szCs w:val="13"/>
                <w:b w:val="1"/>
                <w:bCs w:val="1"/>
                <w:color w:val="auto"/>
                <w:w w:val="88"/>
              </w:rPr>
              <w:t>Allowance for Credit Losses</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7"/>
              </w:rPr>
              <w:t>Total Loans Receivable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36"/>
              <w:spacing w:after="0" w:line="120" w:lineRule="exact"/>
              <w:rPr>
                <w:sz w:val="20"/>
                <w:szCs w:val="20"/>
                <w:color w:val="auto"/>
              </w:rPr>
            </w:pPr>
            <w:r>
              <w:rPr>
                <w:rFonts w:ascii="Arial" w:cs="Arial" w:eastAsia="Arial" w:hAnsi="Arial"/>
                <w:sz w:val="13"/>
                <w:szCs w:val="13"/>
                <w:b w:val="1"/>
                <w:bCs w:val="1"/>
                <w:color w:val="auto"/>
                <w:w w:val="88"/>
              </w:rPr>
              <w:t>Loans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8"/>
              </w:rPr>
              <w:t>Loans</w:t>
            </w: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16"/>
              <w:spacing w:after="0" w:line="120" w:lineRule="exact"/>
              <w:rPr>
                <w:sz w:val="20"/>
                <w:szCs w:val="20"/>
                <w:color w:val="auto"/>
              </w:rPr>
            </w:pPr>
            <w:r>
              <w:rPr>
                <w:rFonts w:ascii="Arial" w:cs="Arial" w:eastAsia="Arial" w:hAnsi="Arial"/>
                <w:sz w:val="13"/>
                <w:szCs w:val="13"/>
                <w:b w:val="1"/>
                <w:bCs w:val="1"/>
                <w:color w:val="auto"/>
                <w:w w:val="88"/>
              </w:rPr>
              <w:t>Loans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3"/>
              </w:rPr>
              <w:t>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2"/>
              </w:rPr>
              <w:t>Individually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5"/>
              </w:rPr>
              <w:t>Collectively</w:t>
            </w:r>
          </w:p>
        </w:tc>
        <w:tc>
          <w:tcPr>
            <w:tcW w:w="36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000" w:type="dxa"/>
            <w:vAlign w:val="bottom"/>
          </w:tcPr>
          <w:p>
            <w:pPr>
              <w:jc w:val="center"/>
              <w:ind w:right="116"/>
              <w:spacing w:after="0" w:line="128" w:lineRule="exact"/>
              <w:rPr>
                <w:sz w:val="20"/>
                <w:szCs w:val="20"/>
                <w:color w:val="auto"/>
              </w:rPr>
            </w:pPr>
            <w:r>
              <w:rPr>
                <w:rFonts w:ascii="Arial" w:cs="Arial" w:eastAsia="Arial" w:hAnsi="Arial"/>
                <w:sz w:val="13"/>
                <w:szCs w:val="13"/>
                <w:b w:val="1"/>
                <w:bCs w:val="1"/>
                <w:color w:val="auto"/>
                <w:w w:val="92"/>
              </w:rPr>
              <w:t>Individually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8"/>
              </w:rPr>
              <w:t>Collectively</w:t>
            </w:r>
          </w:p>
        </w:tc>
        <w:tc>
          <w:tcPr>
            <w:tcW w:w="260" w:type="dxa"/>
            <w:vAlign w:val="bottom"/>
          </w:tcPr>
          <w:p>
            <w:pPr>
              <w:spacing w:after="0"/>
              <w:rPr>
                <w:sz w:val="11"/>
                <w:szCs w:val="11"/>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7"/>
              </w:rPr>
              <w:t>Evaluated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Evaluated</w:t>
            </w:r>
          </w:p>
        </w:tc>
        <w:tc>
          <w:tcPr>
            <w:tcW w:w="3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1"/>
              </w:rPr>
              <w:t>Evaluated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Evaluated</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September 30, 2022</w:t>
            </w: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310,985</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3,134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336,456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336,456</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661,644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661,644</w:t>
            </w:r>
          </w:p>
        </w:tc>
        <w:tc>
          <w:tcPr>
            <w:tcW w:w="0" w:type="dxa"/>
            <w:vAlign w:val="bottom"/>
          </w:tcPr>
          <w:p>
            <w:pPr>
              <w:spacing w:after="0"/>
              <w:rPr>
                <w:sz w:val="1"/>
                <w:szCs w:val="1"/>
                <w:color w:val="auto"/>
              </w:rPr>
            </w:pPr>
          </w:p>
        </w:tc>
      </w:tr>
      <w:tr>
        <w:trPr>
          <w:trHeight w:val="168"/>
        </w:trPr>
        <w:tc>
          <w:tcPr>
            <w:tcW w:w="3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Multifamily</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79,082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79,082</w:t>
            </w:r>
          </w:p>
        </w:tc>
        <w:tc>
          <w:tcPr>
            <w:tcW w:w="0" w:type="dxa"/>
            <w:vAlign w:val="bottom"/>
          </w:tcPr>
          <w:p>
            <w:pPr>
              <w:spacing w:after="0"/>
              <w:rPr>
                <w:sz w:val="1"/>
                <w:szCs w:val="1"/>
                <w:color w:val="auto"/>
              </w:rPr>
            </w:pPr>
          </w:p>
        </w:tc>
      </w:tr>
      <w:tr>
        <w:trPr>
          <w:trHeight w:val="163"/>
        </w:trPr>
        <w:tc>
          <w:tcPr>
            <w:tcW w:w="3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 real estate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1,388,167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1,388,167</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205,606</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Equipment finance</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411,012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411,012</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Municipal leases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130,777</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PPP loans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3"/>
        </w:trPr>
        <w:tc>
          <w:tcPr>
            <w:tcW w:w="3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2,146</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12,978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744,466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747,633</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91,488</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372,370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374,849</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164,701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164,701</w:t>
            </w:r>
          </w:p>
        </w:tc>
        <w:tc>
          <w:tcPr>
            <w:tcW w:w="0" w:type="dxa"/>
            <w:vAlign w:val="bottom"/>
          </w:tcPr>
          <w:p>
            <w:pPr>
              <w:spacing w:after="0"/>
              <w:rPr>
                <w:sz w:val="1"/>
                <w:szCs w:val="1"/>
                <w:color w:val="auto"/>
              </w:rPr>
            </w:pPr>
          </w:p>
        </w:tc>
      </w:tr>
      <w:tr>
        <w:trPr>
          <w:trHeight w:val="158"/>
        </w:trPr>
        <w:tc>
          <w:tcPr>
            <w:tcW w:w="380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8,383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2,479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628,559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631,038</w:t>
            </w:r>
          </w:p>
        </w:tc>
        <w:tc>
          <w:tcPr>
            <w:tcW w:w="0" w:type="dxa"/>
            <w:vAlign w:val="bottom"/>
          </w:tcPr>
          <w:p>
            <w:pPr>
              <w:spacing w:after="0"/>
              <w:rPr>
                <w:sz w:val="1"/>
                <w:szCs w:val="1"/>
                <w:color w:val="auto"/>
              </w:rPr>
            </w:pPr>
          </w:p>
        </w:tc>
      </w:tr>
      <w:tr>
        <w:trPr>
          <w:trHeight w:val="17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100,945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100,945</w:t>
            </w:r>
          </w:p>
        </w:tc>
        <w:tc>
          <w:tcPr>
            <w:tcW w:w="0" w:type="dxa"/>
            <w:vAlign w:val="bottom"/>
          </w:tcPr>
          <w:p>
            <w:pPr>
              <w:spacing w:after="0"/>
              <w:rPr>
                <w:sz w:val="1"/>
                <w:szCs w:val="1"/>
                <w:color w:val="auto"/>
              </w:rPr>
            </w:pPr>
          </w:p>
        </w:tc>
      </w:tr>
      <w:tr>
        <w:trPr>
          <w:trHeight w:val="16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2,146</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36,155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38,301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2,862,137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2,867,783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36"/>
              <w:spacing w:after="0"/>
              <w:rPr>
                <w:sz w:val="20"/>
                <w:szCs w:val="20"/>
                <w:color w:val="auto"/>
              </w:rPr>
            </w:pPr>
            <w:r>
              <w:rPr>
                <w:rFonts w:ascii="Arial" w:cs="Arial" w:eastAsia="Arial" w:hAnsi="Arial"/>
                <w:sz w:val="13"/>
                <w:szCs w:val="13"/>
                <w:b w:val="1"/>
                <w:bCs w:val="1"/>
                <w:color w:val="auto"/>
                <w:w w:val="86"/>
              </w:rPr>
              <w:t>Allowance for Loan Losses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7"/>
              </w:rPr>
              <w:t>Total Loans Receivable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36"/>
              <w:spacing w:after="0" w:line="120" w:lineRule="exact"/>
              <w:rPr>
                <w:sz w:val="20"/>
                <w:szCs w:val="20"/>
                <w:color w:val="auto"/>
              </w:rPr>
            </w:pPr>
            <w:r>
              <w:rPr>
                <w:rFonts w:ascii="Arial" w:cs="Arial" w:eastAsia="Arial" w:hAnsi="Arial"/>
                <w:sz w:val="13"/>
                <w:szCs w:val="13"/>
                <w:b w:val="1"/>
                <w:bCs w:val="1"/>
                <w:color w:val="auto"/>
                <w:w w:val="88"/>
              </w:rPr>
              <w:t>Loans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8"/>
              </w:rPr>
              <w:t>Loans</w:t>
            </w: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16"/>
              <w:spacing w:after="0" w:line="120" w:lineRule="exact"/>
              <w:rPr>
                <w:sz w:val="20"/>
                <w:szCs w:val="20"/>
                <w:color w:val="auto"/>
              </w:rPr>
            </w:pPr>
            <w:r>
              <w:rPr>
                <w:rFonts w:ascii="Arial" w:cs="Arial" w:eastAsia="Arial" w:hAnsi="Arial"/>
                <w:sz w:val="13"/>
                <w:szCs w:val="13"/>
                <w:b w:val="1"/>
                <w:bCs w:val="1"/>
                <w:color w:val="auto"/>
                <w:w w:val="88"/>
              </w:rPr>
              <w:t>Loans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3"/>
              </w:rPr>
              <w:t>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2"/>
              </w:rPr>
              <w:t>Individually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5"/>
              </w:rPr>
              <w:t>Collectively</w:t>
            </w:r>
          </w:p>
        </w:tc>
        <w:tc>
          <w:tcPr>
            <w:tcW w:w="36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000" w:type="dxa"/>
            <w:vAlign w:val="bottom"/>
          </w:tcPr>
          <w:p>
            <w:pPr>
              <w:jc w:val="center"/>
              <w:ind w:right="116"/>
              <w:spacing w:after="0" w:line="128" w:lineRule="exact"/>
              <w:rPr>
                <w:sz w:val="20"/>
                <w:szCs w:val="20"/>
                <w:color w:val="auto"/>
              </w:rPr>
            </w:pPr>
            <w:r>
              <w:rPr>
                <w:rFonts w:ascii="Arial" w:cs="Arial" w:eastAsia="Arial" w:hAnsi="Arial"/>
                <w:sz w:val="13"/>
                <w:szCs w:val="13"/>
                <w:b w:val="1"/>
                <w:bCs w:val="1"/>
                <w:color w:val="auto"/>
                <w:w w:val="92"/>
              </w:rPr>
              <w:t>Individually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8"/>
              </w:rPr>
              <w:t>Collectively</w:t>
            </w:r>
          </w:p>
        </w:tc>
        <w:tc>
          <w:tcPr>
            <w:tcW w:w="260" w:type="dxa"/>
            <w:vAlign w:val="bottom"/>
          </w:tcPr>
          <w:p>
            <w:pPr>
              <w:spacing w:after="0"/>
              <w:rPr>
                <w:sz w:val="11"/>
                <w:szCs w:val="11"/>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87"/>
              </w:rPr>
              <w:t>Evaluated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Evaluated</w:t>
            </w:r>
          </w:p>
        </w:tc>
        <w:tc>
          <w:tcPr>
            <w:tcW w:w="3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3"/>
                <w:szCs w:val="13"/>
                <w:b w:val="1"/>
                <w:bCs w:val="1"/>
                <w:color w:val="auto"/>
                <w:w w:val="91"/>
              </w:rPr>
              <w:t>Evaluated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Evaluated</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2022</w:t>
            </w: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291,202</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335,658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335,658</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662,159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662,159</w:t>
            </w:r>
          </w:p>
        </w:tc>
        <w:tc>
          <w:tcPr>
            <w:tcW w:w="0" w:type="dxa"/>
            <w:vAlign w:val="bottom"/>
          </w:tcPr>
          <w:p>
            <w:pPr>
              <w:spacing w:after="0"/>
              <w:rPr>
                <w:sz w:val="1"/>
                <w:szCs w:val="1"/>
                <w:color w:val="auto"/>
              </w:rPr>
            </w:pPr>
          </w:p>
        </w:tc>
      </w:tr>
      <w:tr>
        <w:trPr>
          <w:trHeight w:val="168"/>
        </w:trPr>
        <w:tc>
          <w:tcPr>
            <w:tcW w:w="3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Multifamily</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81,086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81,086</w:t>
            </w:r>
          </w:p>
        </w:tc>
        <w:tc>
          <w:tcPr>
            <w:tcW w:w="0" w:type="dxa"/>
            <w:vAlign w:val="bottom"/>
          </w:tcPr>
          <w:p>
            <w:pPr>
              <w:spacing w:after="0"/>
              <w:rPr>
                <w:sz w:val="1"/>
                <w:szCs w:val="1"/>
                <w:color w:val="auto"/>
              </w:rPr>
            </w:pPr>
          </w:p>
        </w:tc>
      </w:tr>
      <w:tr>
        <w:trPr>
          <w:trHeight w:val="163"/>
        </w:trPr>
        <w:tc>
          <w:tcPr>
            <w:tcW w:w="3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 real estate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1,370,105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1,370,105</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192,652</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Equipment finance</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6,651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394,541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394,541</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Municipal leases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129,766</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PPP loans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163"/>
        </w:trPr>
        <w:tc>
          <w:tcPr>
            <w:tcW w:w="3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12,036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714,766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717,620</w:t>
            </w:r>
          </w:p>
        </w:tc>
        <w:tc>
          <w:tcPr>
            <w:tcW w:w="0" w:type="dxa"/>
            <w:vAlign w:val="bottom"/>
          </w:tcPr>
          <w:p>
            <w:pPr>
              <w:spacing w:after="0"/>
              <w:rPr>
                <w:sz w:val="1"/>
                <w:szCs w:val="1"/>
                <w:color w:val="auto"/>
              </w:rPr>
            </w:pPr>
          </w:p>
        </w:tc>
      </w:tr>
      <w:tr>
        <w:trPr>
          <w:trHeight w:val="168"/>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81,847</w:t>
            </w: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Arial" w:cs="Arial" w:eastAsia="Arial" w:hAnsi="Arial"/>
                <w:sz w:val="13"/>
                <w:szCs w:val="13"/>
                <w:color w:val="auto"/>
              </w:rPr>
              <w:t>One-to-four family</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351,717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354,203</w:t>
            </w: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HELOCs</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160,137</w:t>
            </w:r>
          </w:p>
        </w:tc>
        <w:tc>
          <w:tcPr>
            <w:tcW w:w="0" w:type="dxa"/>
            <w:vAlign w:val="bottom"/>
          </w:tcPr>
          <w:p>
            <w:pPr>
              <w:spacing w:after="0"/>
              <w:rPr>
                <w:sz w:val="1"/>
                <w:szCs w:val="1"/>
                <w:color w:val="auto"/>
              </w:rPr>
            </w:pPr>
          </w:p>
        </w:tc>
      </w:tr>
      <w:tr>
        <w:trPr>
          <w:trHeight w:val="158"/>
        </w:trPr>
        <w:tc>
          <w:tcPr>
            <w:tcW w:w="3800" w:type="dxa"/>
            <w:vAlign w:val="bottom"/>
          </w:tcPr>
          <w:p>
            <w:pPr>
              <w:ind w:left="180"/>
              <w:spacing w:after="0"/>
              <w:rPr>
                <w:sz w:val="20"/>
                <w:szCs w:val="20"/>
                <w:color w:val="auto"/>
              </w:rPr>
            </w:pPr>
            <w:r>
              <w:rPr>
                <w:rFonts w:ascii="Arial" w:cs="Arial" w:eastAsia="Arial" w:hAnsi="Arial"/>
                <w:sz w:val="13"/>
                <w:szCs w:val="13"/>
                <w:color w:val="auto"/>
              </w:rPr>
              <w:t>Total residential real estate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593,701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596,187</w:t>
            </w:r>
          </w:p>
        </w:tc>
        <w:tc>
          <w:tcPr>
            <w:tcW w:w="0" w:type="dxa"/>
            <w:vAlign w:val="bottom"/>
          </w:tcPr>
          <w:p>
            <w:pPr>
              <w:spacing w:after="0"/>
              <w:rPr>
                <w:sz w:val="1"/>
                <w:szCs w:val="1"/>
                <w:color w:val="auto"/>
              </w:rPr>
            </w:pPr>
          </w:p>
        </w:tc>
      </w:tr>
      <w:tr>
        <w:trPr>
          <w:trHeight w:val="17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85,383</w:t>
            </w:r>
          </w:p>
        </w:tc>
        <w:tc>
          <w:tcPr>
            <w:tcW w:w="0" w:type="dxa"/>
            <w:vAlign w:val="bottom"/>
          </w:tcPr>
          <w:p>
            <w:pPr>
              <w:spacing w:after="0"/>
              <w:rPr>
                <w:sz w:val="1"/>
                <w:szCs w:val="1"/>
                <w:color w:val="auto"/>
              </w:rPr>
            </w:pPr>
          </w:p>
        </w:tc>
      </w:tr>
      <w:tr>
        <w:trPr>
          <w:trHeight w:val="16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2,191</w:t>
            </w:r>
          </w:p>
        </w:tc>
        <w:tc>
          <w:tcPr>
            <w:tcW w:w="320" w:type="dxa"/>
            <w:vAlign w:val="bottom"/>
            <w:gridSpan w:val="3"/>
          </w:tcPr>
          <w:p>
            <w:pPr>
              <w:jc w:val="right"/>
              <w:ind w:right="3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32,499</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34,690</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5,340</w:t>
            </w:r>
          </w:p>
        </w:tc>
        <w:tc>
          <w:tcPr>
            <w:tcW w:w="26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2,763,955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2,769,295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 estimating expected credit losses, ASC 326 prescribes that if foreclosure is probable,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80" w:type="dxa"/>
            <w:vAlign w:val="bottom"/>
            <w:gridSpan w:val="9"/>
            <w:vMerge w:val="restart"/>
          </w:tcPr>
          <w:p>
            <w:pPr>
              <w:jc w:val="right"/>
              <w:spacing w:after="0"/>
              <w:rPr>
                <w:sz w:val="20"/>
                <w:szCs w:val="20"/>
                <w:color w:val="auto"/>
              </w:rPr>
            </w:pPr>
            <w:r>
              <w:rPr>
                <w:rFonts w:ascii="Arial" w:cs="Arial" w:eastAsia="Arial" w:hAnsi="Arial"/>
                <w:sz w:val="13"/>
                <w:szCs w:val="13"/>
                <w:b w:val="1"/>
                <w:bCs w:val="1"/>
                <w:color w:val="auto"/>
                <w:w w:val="91"/>
              </w:rPr>
              <w:t>Type of Collateral and Extent to Which Collateral Secures Financial Assets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Financial Assets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gridSpan w:val="9"/>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6"/>
              </w:rPr>
              <w:t>Not Considered</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20" w:type="dxa"/>
            <w:vAlign w:val="bottom"/>
          </w:tcPr>
          <w:p>
            <w:pPr>
              <w:spacing w:after="0"/>
              <w:rPr>
                <w:sz w:val="8"/>
                <w:szCs w:val="8"/>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6"/>
              </w:rPr>
              <w:t>Residential Property</w:t>
            </w: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Investment Property</w:t>
            </w:r>
          </w:p>
        </w:tc>
        <w:tc>
          <w:tcPr>
            <w:tcW w:w="13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Commercial Property</w:t>
            </w:r>
          </w:p>
        </w:tc>
        <w:tc>
          <w:tcPr>
            <w:tcW w:w="106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w w:val="90"/>
              </w:rPr>
              <w:t>Business Assets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rPr>
              <w:t>Collateral</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September 30, 2022</w:t>
            </w:r>
          </w:p>
        </w:tc>
        <w:tc>
          <w:tcPr>
            <w:tcW w:w="1260" w:type="dxa"/>
            <w:vAlign w:val="bottom"/>
            <w:gridSpan w:val="3"/>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Dependent</w:t>
            </w:r>
          </w:p>
        </w:tc>
        <w:tc>
          <w:tcPr>
            <w:tcW w:w="240" w:type="dxa"/>
            <w:vAlign w:val="bottom"/>
          </w:tcPr>
          <w:p>
            <w:pPr>
              <w:spacing w:after="0"/>
              <w:rPr>
                <w:sz w:val="9"/>
                <w:szCs w:val="9"/>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40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5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310,985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310,985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336,456</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661,644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661,644</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79,082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79,082</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commercial real estate</w:t>
            </w:r>
          </w:p>
        </w:tc>
        <w:tc>
          <w:tcPr>
            <w:tcW w:w="2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1,388,167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1,388,167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2,479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203,127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205,606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411,012</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Municipal leases</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130,777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130,777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PPP loans</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commercial</w:t>
            </w:r>
          </w:p>
        </w:tc>
        <w:tc>
          <w:tcPr>
            <w:tcW w:w="2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2,479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745,154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747,633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91,488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91,488</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One-to-four family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373,538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374,849</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HELOCs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164,701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164,701</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residential real estate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629,727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631,038</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100,945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100,945</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2,479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2,863,993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2,867,783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2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Total collateral value</w:t>
            </w:r>
          </w:p>
        </w:tc>
        <w:tc>
          <w:tcPr>
            <w:tcW w:w="260" w:type="dxa"/>
            <w:vAlign w:val="bottom"/>
          </w:tcPr>
          <w:p>
            <w:pPr>
              <w:ind w:left="20"/>
              <w:spacing w:after="0" w:line="133"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3" w:lineRule="exact"/>
              <w:rPr>
                <w:sz w:val="20"/>
                <w:szCs w:val="20"/>
                <w:color w:val="auto"/>
              </w:rPr>
            </w:pPr>
            <w:r>
              <w:rPr>
                <w:rFonts w:ascii="Arial" w:cs="Arial" w:eastAsia="Arial" w:hAnsi="Arial"/>
                <w:sz w:val="13"/>
                <w:szCs w:val="13"/>
                <w:color w:val="auto"/>
              </w:rPr>
              <w:t>2,443</w:t>
            </w:r>
          </w:p>
        </w:tc>
        <w:tc>
          <w:tcPr>
            <w:tcW w:w="1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line="133" w:lineRule="exact"/>
              <w:rPr>
                <w:sz w:val="20"/>
                <w:szCs w:val="20"/>
                <w:color w:val="auto"/>
              </w:rPr>
            </w:pPr>
            <w:r>
              <w:rPr>
                <w:rFonts w:ascii="Arial" w:cs="Arial" w:eastAsia="Arial" w:hAnsi="Arial"/>
                <w:sz w:val="13"/>
                <w:szCs w:val="13"/>
                <w:color w:val="auto"/>
              </w:rPr>
              <w:t>—</w:t>
            </w:r>
          </w:p>
        </w:tc>
        <w:tc>
          <w:tcPr>
            <w:tcW w:w="580" w:type="dxa"/>
            <w:vAlign w:val="bottom"/>
          </w:tcPr>
          <w:p>
            <w:pPr>
              <w:ind w:left="2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56"/>
              <w:spacing w:after="0" w:line="133"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Financial Assets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9"/>
            <w:vMerge w:val="restart"/>
          </w:tcPr>
          <w:p>
            <w:pPr>
              <w:jc w:val="right"/>
              <w:spacing w:after="0"/>
              <w:rPr>
                <w:sz w:val="20"/>
                <w:szCs w:val="20"/>
                <w:color w:val="auto"/>
              </w:rPr>
            </w:pPr>
            <w:r>
              <w:rPr>
                <w:rFonts w:ascii="Arial" w:cs="Arial" w:eastAsia="Arial" w:hAnsi="Arial"/>
                <w:sz w:val="13"/>
                <w:szCs w:val="13"/>
                <w:b w:val="1"/>
                <w:bCs w:val="1"/>
                <w:color w:val="auto"/>
                <w:w w:val="91"/>
              </w:rPr>
              <w:t>Type of Collateral and Extent to Which Collateral Secures Financial Assets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gridSpan w:val="9"/>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6"/>
              </w:rPr>
              <w:t>Not Considered</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20" w:type="dxa"/>
            <w:vAlign w:val="bottom"/>
          </w:tcPr>
          <w:p>
            <w:pPr>
              <w:spacing w:after="0"/>
              <w:rPr>
                <w:sz w:val="8"/>
                <w:szCs w:val="8"/>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6"/>
              </w:rPr>
              <w:t>Residential Property</w:t>
            </w: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Investment Property</w:t>
            </w:r>
          </w:p>
        </w:tc>
        <w:tc>
          <w:tcPr>
            <w:tcW w:w="13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Commercial Property</w:t>
            </w:r>
          </w:p>
        </w:tc>
        <w:tc>
          <w:tcPr>
            <w:tcW w:w="106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w w:val="90"/>
              </w:rPr>
              <w:t>Business Assets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rPr>
              <w:t>Collateral</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June 30, 2022</w:t>
            </w:r>
          </w:p>
        </w:tc>
        <w:tc>
          <w:tcPr>
            <w:tcW w:w="1260" w:type="dxa"/>
            <w:vAlign w:val="bottom"/>
            <w:gridSpan w:val="3"/>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Dependent</w:t>
            </w:r>
          </w:p>
        </w:tc>
        <w:tc>
          <w:tcPr>
            <w:tcW w:w="240" w:type="dxa"/>
            <w:vAlign w:val="bottom"/>
          </w:tcPr>
          <w:p>
            <w:pPr>
              <w:spacing w:after="0"/>
              <w:rPr>
                <w:sz w:val="9"/>
                <w:szCs w:val="9"/>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40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5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291,202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291,202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662,159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662,159</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commercial real estate</w:t>
            </w:r>
          </w:p>
        </w:tc>
        <w:tc>
          <w:tcPr>
            <w:tcW w:w="2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1,370,105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1,370,105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2,594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190,058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192,652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Municipal leases</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129,766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129,766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PPP loans</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rPr>
                <w:sz w:val="20"/>
                <w:szCs w:val="20"/>
                <w:color w:val="auto"/>
              </w:rPr>
            </w:pPr>
            <w:r>
              <w:rPr>
                <w:rFonts w:ascii="Arial" w:cs="Arial" w:eastAsia="Arial" w:hAnsi="Arial"/>
                <w:sz w:val="13"/>
                <w:szCs w:val="13"/>
                <w:color w:val="auto"/>
              </w:rPr>
              <w:t>Total commercial</w:t>
            </w:r>
          </w:p>
        </w:tc>
        <w:tc>
          <w:tcPr>
            <w:tcW w:w="2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2,594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715,026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717,620</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81,847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81,847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One-to-four family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354,203</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HELOCs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160,137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160,137</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residential real estate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594,869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596,187</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85,383</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2,594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2,765,383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2,769,295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2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Total collateral value</w:t>
            </w:r>
          </w:p>
        </w:tc>
        <w:tc>
          <w:tcPr>
            <w:tcW w:w="260" w:type="dxa"/>
            <w:vAlign w:val="bottom"/>
          </w:tcPr>
          <w:p>
            <w:pPr>
              <w:ind w:left="20"/>
              <w:spacing w:after="0" w:line="133"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3" w:lineRule="exact"/>
              <w:rPr>
                <w:sz w:val="20"/>
                <w:szCs w:val="20"/>
                <w:color w:val="auto"/>
              </w:rPr>
            </w:pPr>
            <w:r>
              <w:rPr>
                <w:rFonts w:ascii="Arial" w:cs="Arial" w:eastAsia="Arial" w:hAnsi="Arial"/>
                <w:sz w:val="13"/>
                <w:szCs w:val="13"/>
                <w:color w:val="auto"/>
              </w:rPr>
              <w:t>2,443</w:t>
            </w:r>
          </w:p>
        </w:tc>
        <w:tc>
          <w:tcPr>
            <w:tcW w:w="1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line="133" w:lineRule="exact"/>
              <w:rPr>
                <w:sz w:val="20"/>
                <w:szCs w:val="20"/>
                <w:color w:val="auto"/>
              </w:rPr>
            </w:pPr>
            <w:r>
              <w:rPr>
                <w:rFonts w:ascii="Arial" w:cs="Arial" w:eastAsia="Arial" w:hAnsi="Arial"/>
                <w:sz w:val="13"/>
                <w:szCs w:val="13"/>
                <w:color w:val="auto"/>
              </w:rPr>
              <w:t>—</w:t>
            </w:r>
          </w:p>
        </w:tc>
        <w:tc>
          <w:tcPr>
            <w:tcW w:w="580" w:type="dxa"/>
            <w:vAlign w:val="bottom"/>
          </w:tcPr>
          <w:p>
            <w:pPr>
              <w:ind w:left="2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56"/>
              <w:spacing w:after="0" w:line="133"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33"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breakdown of the types of concessions made on TDRs by loan class for the periods indicated below:</w:t>
      </w:r>
    </w:p>
    <w:p>
      <w:pPr>
        <w:spacing w:after="0" w:line="69"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Three Months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260"/>
              <w:spacing w:after="0" w:line="118" w:lineRule="exact"/>
              <w:rPr>
                <w:sz w:val="20"/>
                <w:szCs w:val="20"/>
                <w:color w:val="auto"/>
              </w:rPr>
            </w:pPr>
            <w:r>
              <w:rPr>
                <w:rFonts w:ascii="Arial" w:cs="Arial" w:eastAsia="Arial" w:hAnsi="Arial"/>
                <w:sz w:val="13"/>
                <w:szCs w:val="13"/>
                <w:b w:val="1"/>
                <w:bCs w:val="1"/>
                <w:color w:val="auto"/>
                <w:w w:val="85"/>
              </w:rPr>
              <w:t>Pre</w:t>
            </w:r>
          </w:p>
        </w:tc>
        <w:tc>
          <w:tcPr>
            <w:tcW w:w="100" w:type="dxa"/>
            <w:vAlign w:val="bottom"/>
          </w:tcPr>
          <w:p>
            <w:pPr>
              <w:spacing w:after="0"/>
              <w:rPr>
                <w:sz w:val="10"/>
                <w:szCs w:val="10"/>
                <w:color w:val="auto"/>
              </w:rPr>
            </w:pPr>
          </w:p>
        </w:tc>
        <w:tc>
          <w:tcPr>
            <w:tcW w:w="860" w:type="dxa"/>
            <w:vAlign w:val="bottom"/>
          </w:tcPr>
          <w:p>
            <w:pPr>
              <w:jc w:val="center"/>
              <w:ind w:left="96"/>
              <w:spacing w:after="0" w:line="118" w:lineRule="exact"/>
              <w:rPr>
                <w:sz w:val="20"/>
                <w:szCs w:val="20"/>
                <w:color w:val="auto"/>
              </w:rPr>
            </w:pPr>
            <w:r>
              <w:rPr>
                <w:rFonts w:ascii="Arial" w:cs="Arial" w:eastAsia="Arial" w:hAnsi="Arial"/>
                <w:sz w:val="13"/>
                <w:szCs w:val="13"/>
                <w:b w:val="1"/>
                <w:bCs w:val="1"/>
                <w:color w:val="auto"/>
                <w:w w:val="77"/>
              </w:rPr>
              <w:t>Post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260"/>
              <w:spacing w:after="0" w:line="118" w:lineRule="exact"/>
              <w:rPr>
                <w:sz w:val="20"/>
                <w:szCs w:val="20"/>
                <w:color w:val="auto"/>
              </w:rPr>
            </w:pPr>
            <w:r>
              <w:rPr>
                <w:rFonts w:ascii="Arial" w:cs="Arial" w:eastAsia="Arial" w:hAnsi="Arial"/>
                <w:sz w:val="13"/>
                <w:szCs w:val="13"/>
                <w:b w:val="1"/>
                <w:bCs w:val="1"/>
                <w:color w:val="auto"/>
                <w:w w:val="85"/>
              </w:rPr>
              <w:t>Pre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116"/>
              <w:spacing w:after="0" w:line="118" w:lineRule="exact"/>
              <w:rPr>
                <w:sz w:val="20"/>
                <w:szCs w:val="20"/>
                <w:color w:val="auto"/>
              </w:rPr>
            </w:pPr>
            <w:r>
              <w:rPr>
                <w:rFonts w:ascii="Arial" w:cs="Arial" w:eastAsia="Arial" w:hAnsi="Arial"/>
                <w:sz w:val="13"/>
                <w:szCs w:val="13"/>
                <w:b w:val="1"/>
                <w:bCs w:val="1"/>
                <w:color w:val="auto"/>
                <w:w w:val="85"/>
              </w:rPr>
              <w:t>Post</w:t>
            </w: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660" w:type="dxa"/>
            <w:vAlign w:val="bottom"/>
            <w:vMerge w:val="restart"/>
          </w:tcPr>
          <w:p>
            <w:pPr>
              <w:jc w:val="center"/>
              <w:ind w:left="136"/>
              <w:spacing w:after="0"/>
              <w:rPr>
                <w:sz w:val="20"/>
                <w:szCs w:val="20"/>
                <w:color w:val="auto"/>
              </w:rPr>
            </w:pPr>
            <w:r>
              <w:rPr>
                <w:rFonts w:ascii="Arial" w:cs="Arial" w:eastAsia="Arial" w:hAnsi="Arial"/>
                <w:sz w:val="13"/>
                <w:szCs w:val="13"/>
                <w:b w:val="1"/>
                <w:bCs w:val="1"/>
                <w:color w:val="auto"/>
                <w:w w:val="93"/>
              </w:rPr>
              <w:t>Number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260"/>
              <w:spacing w:after="0" w:line="128" w:lineRule="exact"/>
              <w:rPr>
                <w:sz w:val="20"/>
                <w:szCs w:val="20"/>
                <w:color w:val="auto"/>
              </w:rPr>
            </w:pPr>
            <w:r>
              <w:rPr>
                <w:rFonts w:ascii="Arial" w:cs="Arial" w:eastAsia="Arial" w:hAnsi="Arial"/>
                <w:sz w:val="13"/>
                <w:szCs w:val="13"/>
                <w:b w:val="1"/>
                <w:bCs w:val="1"/>
                <w:color w:val="auto"/>
                <w:w w:val="91"/>
              </w:rPr>
              <w:t>Modification</w:t>
            </w:r>
          </w:p>
        </w:tc>
        <w:tc>
          <w:tcPr>
            <w:tcW w:w="100" w:type="dxa"/>
            <w:vAlign w:val="bottom"/>
          </w:tcPr>
          <w:p>
            <w:pPr>
              <w:spacing w:after="0"/>
              <w:rPr>
                <w:sz w:val="11"/>
                <w:szCs w:val="11"/>
                <w:color w:val="auto"/>
              </w:rPr>
            </w:pPr>
          </w:p>
        </w:tc>
        <w:tc>
          <w:tcPr>
            <w:tcW w:w="860" w:type="dxa"/>
            <w:vAlign w:val="bottom"/>
          </w:tcPr>
          <w:p>
            <w:pPr>
              <w:jc w:val="center"/>
              <w:ind w:left="96"/>
              <w:spacing w:after="0" w:line="128" w:lineRule="exact"/>
              <w:rPr>
                <w:sz w:val="20"/>
                <w:szCs w:val="20"/>
                <w:color w:val="auto"/>
              </w:rPr>
            </w:pPr>
            <w:r>
              <w:rPr>
                <w:rFonts w:ascii="Arial" w:cs="Arial" w:eastAsia="Arial" w:hAnsi="Arial"/>
                <w:sz w:val="13"/>
                <w:szCs w:val="13"/>
                <w:b w:val="1"/>
                <w:bCs w:val="1"/>
                <w:color w:val="auto"/>
                <w:w w:val="91"/>
              </w:rPr>
              <w:t>Modification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9"/>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260"/>
              <w:spacing w:after="0" w:line="128" w:lineRule="exact"/>
              <w:rPr>
                <w:sz w:val="20"/>
                <w:szCs w:val="20"/>
                <w:color w:val="auto"/>
              </w:rPr>
            </w:pPr>
            <w:r>
              <w:rPr>
                <w:rFonts w:ascii="Arial" w:cs="Arial" w:eastAsia="Arial" w:hAnsi="Arial"/>
                <w:sz w:val="13"/>
                <w:szCs w:val="13"/>
                <w:b w:val="1"/>
                <w:bCs w:val="1"/>
                <w:color w:val="auto"/>
                <w:w w:val="91"/>
              </w:rPr>
              <w:t>Modification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96"/>
              <w:spacing w:after="0" w:line="128" w:lineRule="exact"/>
              <w:rPr>
                <w:sz w:val="20"/>
                <w:szCs w:val="20"/>
                <w:color w:val="auto"/>
              </w:rPr>
            </w:pPr>
            <w:r>
              <w:rPr>
                <w:rFonts w:ascii="Arial" w:cs="Arial" w:eastAsia="Arial" w:hAnsi="Arial"/>
                <w:sz w:val="13"/>
                <w:szCs w:val="13"/>
                <w:b w:val="1"/>
                <w:bCs w:val="1"/>
                <w:color w:val="auto"/>
                <w:w w:val="91"/>
              </w:rPr>
              <w:t>Modification</w:t>
            </w: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240"/>
              <w:spacing w:after="0" w:line="128"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860" w:type="dxa"/>
            <w:vAlign w:val="bottom"/>
          </w:tcPr>
          <w:p>
            <w:pPr>
              <w:jc w:val="center"/>
              <w:ind w:left="76"/>
              <w:spacing w:after="0" w:line="128" w:lineRule="exact"/>
              <w:rPr>
                <w:sz w:val="20"/>
                <w:szCs w:val="20"/>
                <w:color w:val="auto"/>
              </w:rPr>
            </w:pPr>
            <w:r>
              <w:rPr>
                <w:rFonts w:ascii="Arial" w:cs="Arial" w:eastAsia="Arial" w:hAnsi="Arial"/>
                <w:sz w:val="13"/>
                <w:szCs w:val="13"/>
                <w:b w:val="1"/>
                <w:bCs w:val="1"/>
                <w:color w:val="auto"/>
                <w:w w:val="88"/>
              </w:rPr>
              <w:t>Outstanding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280"/>
              <w:spacing w:after="0" w:line="128" w:lineRule="exact"/>
              <w:rPr>
                <w:sz w:val="20"/>
                <w:szCs w:val="20"/>
                <w:color w:val="auto"/>
              </w:rPr>
            </w:pPr>
            <w:r>
              <w:rPr>
                <w:rFonts w:ascii="Arial" w:cs="Arial" w:eastAsia="Arial" w:hAnsi="Arial"/>
                <w:sz w:val="13"/>
                <w:szCs w:val="13"/>
                <w:b w:val="1"/>
                <w:bCs w:val="1"/>
                <w:color w:val="auto"/>
                <w:w w:val="88"/>
              </w:rPr>
              <w:t>Outstanding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116"/>
              <w:spacing w:after="0" w:line="128" w:lineRule="exact"/>
              <w:rPr>
                <w:sz w:val="20"/>
                <w:szCs w:val="20"/>
                <w:color w:val="auto"/>
              </w:rPr>
            </w:pPr>
            <w:r>
              <w:rPr>
                <w:rFonts w:ascii="Arial" w:cs="Arial" w:eastAsia="Arial" w:hAnsi="Arial"/>
                <w:sz w:val="13"/>
                <w:szCs w:val="13"/>
                <w:b w:val="1"/>
                <w:bCs w:val="1"/>
                <w:color w:val="auto"/>
                <w:w w:val="88"/>
              </w:rPr>
              <w:t>Outstanding</w:t>
            </w: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660" w:type="dxa"/>
            <w:vAlign w:val="bottom"/>
          </w:tcPr>
          <w:p>
            <w:pPr>
              <w:jc w:val="center"/>
              <w:ind w:left="136"/>
              <w:spacing w:after="0" w:line="128" w:lineRule="exact"/>
              <w:rPr>
                <w:sz w:val="20"/>
                <w:szCs w:val="20"/>
                <w:color w:val="auto"/>
              </w:rPr>
            </w:pPr>
            <w:r>
              <w:rPr>
                <w:rFonts w:ascii="Arial" w:cs="Arial" w:eastAsia="Arial" w:hAnsi="Arial"/>
                <w:sz w:val="13"/>
                <w:szCs w:val="13"/>
                <w:b w:val="1"/>
                <w:bCs w:val="1"/>
                <w:color w:val="auto"/>
                <w:w w:val="81"/>
              </w:rPr>
              <w:t>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240"/>
              <w:spacing w:after="0" w:line="128" w:lineRule="exact"/>
              <w:rPr>
                <w:sz w:val="20"/>
                <w:szCs w:val="20"/>
                <w:color w:val="auto"/>
              </w:rPr>
            </w:pPr>
            <w:r>
              <w:rPr>
                <w:rFonts w:ascii="Arial" w:cs="Arial" w:eastAsia="Arial" w:hAnsi="Arial"/>
                <w:sz w:val="13"/>
                <w:szCs w:val="13"/>
                <w:b w:val="1"/>
                <w:bCs w:val="1"/>
                <w:color w:val="auto"/>
                <w:w w:val="86"/>
              </w:rPr>
              <w:t>Recorded</w:t>
            </w:r>
          </w:p>
        </w:tc>
        <w:tc>
          <w:tcPr>
            <w:tcW w:w="100" w:type="dxa"/>
            <w:vAlign w:val="bottom"/>
          </w:tcPr>
          <w:p>
            <w:pPr>
              <w:spacing w:after="0"/>
              <w:rPr>
                <w:sz w:val="11"/>
                <w:szCs w:val="11"/>
                <w:color w:val="auto"/>
              </w:rPr>
            </w:pPr>
          </w:p>
        </w:tc>
        <w:tc>
          <w:tcPr>
            <w:tcW w:w="860" w:type="dxa"/>
            <w:vAlign w:val="bottom"/>
          </w:tcPr>
          <w:p>
            <w:pPr>
              <w:jc w:val="center"/>
              <w:ind w:left="96"/>
              <w:spacing w:after="0" w:line="128" w:lineRule="exact"/>
              <w:rPr>
                <w:sz w:val="20"/>
                <w:szCs w:val="20"/>
                <w:color w:val="auto"/>
              </w:rPr>
            </w:pPr>
            <w:r>
              <w:rPr>
                <w:rFonts w:ascii="Arial" w:cs="Arial" w:eastAsia="Arial" w:hAnsi="Arial"/>
                <w:sz w:val="13"/>
                <w:szCs w:val="13"/>
                <w:b w:val="1"/>
                <w:bCs w:val="1"/>
                <w:color w:val="auto"/>
                <w:w w:val="89"/>
              </w:rPr>
              <w:t>Recorded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line="128" w:lineRule="exact"/>
              <w:rPr>
                <w:sz w:val="20"/>
                <w:szCs w:val="20"/>
                <w:color w:val="auto"/>
              </w:rPr>
            </w:pPr>
            <w:r>
              <w:rPr>
                <w:rFonts w:ascii="Arial" w:cs="Arial" w:eastAsia="Arial" w:hAnsi="Arial"/>
                <w:sz w:val="13"/>
                <w:szCs w:val="13"/>
                <w:b w:val="1"/>
                <w:bCs w:val="1"/>
                <w:color w:val="auto"/>
                <w:w w:val="97"/>
              </w:rPr>
              <w:t>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260"/>
              <w:spacing w:after="0" w:line="128" w:lineRule="exact"/>
              <w:rPr>
                <w:sz w:val="20"/>
                <w:szCs w:val="20"/>
                <w:color w:val="auto"/>
              </w:rPr>
            </w:pPr>
            <w:r>
              <w:rPr>
                <w:rFonts w:ascii="Arial" w:cs="Arial" w:eastAsia="Arial" w:hAnsi="Arial"/>
                <w:sz w:val="13"/>
                <w:szCs w:val="13"/>
                <w:b w:val="1"/>
                <w:bCs w:val="1"/>
                <w:color w:val="auto"/>
                <w:w w:val="89"/>
              </w:rPr>
              <w:t>Recorded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116"/>
              <w:spacing w:after="0" w:line="128" w:lineRule="exact"/>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68"/>
        </w:trPr>
        <w:tc>
          <w:tcPr>
            <w:tcW w:w="4280" w:type="dxa"/>
            <w:vAlign w:val="bottom"/>
          </w:tcPr>
          <w:p>
            <w:pPr>
              <w:spacing w:after="0"/>
              <w:rPr>
                <w:sz w:val="14"/>
                <w:szCs w:val="14"/>
                <w:color w:val="auto"/>
              </w:rPr>
            </w:pPr>
          </w:p>
        </w:tc>
        <w:tc>
          <w:tcPr>
            <w:tcW w:w="660" w:type="dxa"/>
            <w:vAlign w:val="bottom"/>
          </w:tcPr>
          <w:p>
            <w:pPr>
              <w:jc w:val="center"/>
              <w:ind w:left="136"/>
              <w:spacing w:after="0"/>
              <w:rPr>
                <w:sz w:val="20"/>
                <w:szCs w:val="20"/>
                <w:color w:val="auto"/>
              </w:rPr>
            </w:pPr>
            <w:r>
              <w:rPr>
                <w:rFonts w:ascii="Arial" w:cs="Arial" w:eastAsia="Arial" w:hAnsi="Arial"/>
                <w:sz w:val="13"/>
                <w:szCs w:val="13"/>
                <w:b w:val="1"/>
                <w:bCs w:val="1"/>
                <w:color w:val="auto"/>
                <w:w w:val="88"/>
              </w:rPr>
              <w:t>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4"/>
                <w:szCs w:val="14"/>
                <w:color w:val="auto"/>
              </w:rPr>
            </w:pPr>
          </w:p>
        </w:tc>
        <w:tc>
          <w:tcPr>
            <w:tcW w:w="860" w:type="dxa"/>
            <w:vAlign w:val="bottom"/>
          </w:tcPr>
          <w:p>
            <w:pPr>
              <w:jc w:val="center"/>
              <w:ind w:left="96"/>
              <w:spacing w:after="0"/>
              <w:rPr>
                <w:sz w:val="20"/>
                <w:szCs w:val="20"/>
                <w:color w:val="auto"/>
              </w:rPr>
            </w:pPr>
            <w:r>
              <w:rPr>
                <w:rFonts w:ascii="Arial" w:cs="Arial" w:eastAsia="Arial" w:hAnsi="Arial"/>
                <w:sz w:val="13"/>
                <w:szCs w:val="13"/>
                <w:b w:val="1"/>
                <w:bCs w:val="1"/>
                <w:color w:val="auto"/>
                <w:w w:val="90"/>
              </w:rPr>
              <w:t>Investment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Loans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Investment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16"/>
              <w:spacing w:after="0"/>
              <w:rPr>
                <w:sz w:val="20"/>
                <w:szCs w:val="20"/>
                <w:color w:val="auto"/>
              </w:rPr>
            </w:pPr>
            <w:r>
              <w:rPr>
                <w:rFonts w:ascii="Arial" w:cs="Arial" w:eastAsia="Arial" w:hAnsi="Arial"/>
                <w:sz w:val="13"/>
                <w:szCs w:val="13"/>
                <w:b w:val="1"/>
                <w:bCs w:val="1"/>
                <w:color w:val="auto"/>
                <w:w w:val="87"/>
              </w:rPr>
              <w:t>Investment</w:t>
            </w:r>
          </w:p>
        </w:tc>
        <w:tc>
          <w:tcPr>
            <w:tcW w:w="0" w:type="dxa"/>
            <w:vAlign w:val="bottom"/>
          </w:tcPr>
          <w:p>
            <w:pPr>
              <w:spacing w:after="0"/>
              <w:rPr>
                <w:sz w:val="1"/>
                <w:szCs w:val="1"/>
                <w:color w:val="auto"/>
              </w:rPr>
            </w:pPr>
          </w:p>
        </w:tc>
      </w:tr>
      <w:tr>
        <w:trPr>
          <w:trHeight w:val="152"/>
        </w:trPr>
        <w:tc>
          <w:tcPr>
            <w:tcW w:w="42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Below market interest rate</w:t>
            </w: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Commercial real estate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 industrial</w:t>
            </w:r>
          </w:p>
        </w:tc>
        <w:tc>
          <w:tcPr>
            <w:tcW w:w="6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82"/>
              </w:rPr>
              <w:t>569</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below market interest rate</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569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82"/>
              </w:rPr>
              <w:t>569</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94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TDRs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4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Residential real estate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gridSpan w:val="2"/>
          </w:tcPr>
          <w:p>
            <w:pPr>
              <w:ind w:left="180"/>
              <w:spacing w:after="0"/>
              <w:rPr>
                <w:sz w:val="20"/>
                <w:szCs w:val="20"/>
                <w:color w:val="auto"/>
              </w:rPr>
            </w:pPr>
            <w:r>
              <w:rPr>
                <w:rFonts w:ascii="Arial" w:cs="Arial" w:eastAsia="Arial" w:hAnsi="Arial"/>
                <w:sz w:val="13"/>
                <w:szCs w:val="13"/>
                <w:color w:val="auto"/>
              </w:rPr>
              <w:t>HELOCs</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8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0"/>
        </w:trPr>
        <w:tc>
          <w:tcPr>
            <w:tcW w:w="42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Consumer</w:t>
            </w:r>
          </w:p>
        </w:tc>
        <w:tc>
          <w:tcPr>
            <w:tcW w:w="6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60"/>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other TDRs</w:t>
            </w: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6</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82"/>
              </w:rPr>
              <w:t>600</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6</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960" w:type="dxa"/>
            <w:vAlign w:val="bottom"/>
            <w:gridSpan w:val="19"/>
          </w:tcPr>
          <w:p>
            <w:pPr>
              <w:spacing w:after="0"/>
              <w:rPr>
                <w:sz w:val="20"/>
                <w:szCs w:val="20"/>
                <w:color w:val="auto"/>
              </w:rPr>
            </w:pPr>
            <w:r>
              <w:rPr>
                <w:rFonts w:ascii="Arial" w:cs="Arial" w:eastAsia="Arial" w:hAnsi="Arial"/>
                <w:sz w:val="13"/>
                <w:szCs w:val="13"/>
                <w:color w:val="auto"/>
                <w:w w:val="90"/>
              </w:rPr>
              <w:t>The following table presents loans that were modified as TDRs within the previous 12 months and for which there was a payment default during the periods indicated below:</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16"/>
              <w:spacing w:after="0" w:line="120" w:lineRule="exact"/>
              <w:rPr>
                <w:sz w:val="20"/>
                <w:szCs w:val="20"/>
                <w:color w:val="auto"/>
              </w:rPr>
            </w:pPr>
            <w:r>
              <w:rPr>
                <w:rFonts w:ascii="Arial" w:cs="Arial" w:eastAsia="Arial" w:hAnsi="Arial"/>
                <w:sz w:val="13"/>
                <w:szCs w:val="13"/>
                <w:b w:val="1"/>
                <w:bCs w:val="1"/>
                <w:color w:val="auto"/>
                <w:w w:val="86"/>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00"/>
              <w:spacing w:after="0" w:line="120" w:lineRule="exact"/>
              <w:rPr>
                <w:sz w:val="20"/>
                <w:szCs w:val="20"/>
                <w:color w:val="auto"/>
              </w:rPr>
            </w:pPr>
            <w:r>
              <w:rPr>
                <w:rFonts w:ascii="Arial" w:cs="Arial" w:eastAsia="Arial" w:hAnsi="Arial"/>
                <w:sz w:val="13"/>
                <w:szCs w:val="13"/>
                <w:b w:val="1"/>
                <w:bCs w:val="1"/>
                <w:color w:val="auto"/>
              </w:rPr>
              <w:t>Recorded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160"/>
              <w:spacing w:after="0" w:line="120" w:lineRule="exact"/>
              <w:rPr>
                <w:sz w:val="20"/>
                <w:szCs w:val="20"/>
                <w:color w:val="auto"/>
              </w:rPr>
            </w:pPr>
            <w:r>
              <w:rPr>
                <w:rFonts w:ascii="Arial" w:cs="Arial" w:eastAsia="Arial" w:hAnsi="Arial"/>
                <w:sz w:val="13"/>
                <w:szCs w:val="13"/>
                <w:b w:val="1"/>
                <w:bCs w:val="1"/>
                <w:color w:val="auto"/>
                <w:w w:val="92"/>
              </w:rPr>
              <w:t>Number of</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6"/>
              <w:spacing w:after="0" w:line="120" w:lineRule="exact"/>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68"/>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3"/>
              </w:rPr>
              <w:t>Loans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Investment</w:t>
            </w:r>
          </w:p>
        </w:tc>
        <w:tc>
          <w:tcPr>
            <w:tcW w:w="0" w:type="dxa"/>
            <w:vAlign w:val="bottom"/>
          </w:tcPr>
          <w:p>
            <w:pPr>
              <w:spacing w:after="0"/>
              <w:rPr>
                <w:sz w:val="1"/>
                <w:szCs w:val="1"/>
                <w:color w:val="auto"/>
              </w:rPr>
            </w:pPr>
          </w:p>
        </w:tc>
      </w:tr>
      <w:tr>
        <w:trPr>
          <w:trHeight w:val="152"/>
        </w:trPr>
        <w:tc>
          <w:tcPr>
            <w:tcW w:w="494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Extended payment terms</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gridSpan w:val="2"/>
          </w:tcPr>
          <w:p>
            <w:pPr>
              <w:ind w:left="100"/>
              <w:spacing w:after="0"/>
              <w:rPr>
                <w:sz w:val="20"/>
                <w:szCs w:val="20"/>
                <w:color w:val="auto"/>
              </w:rPr>
            </w:pPr>
            <w:r>
              <w:rPr>
                <w:rFonts w:ascii="Arial" w:cs="Arial" w:eastAsia="Arial" w:hAnsi="Arial"/>
                <w:sz w:val="13"/>
                <w:szCs w:val="13"/>
                <w:b w:val="1"/>
                <w:bCs w:val="1"/>
                <w:color w:val="auto"/>
              </w:rPr>
              <w:t>Residential real estate 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One-to-four family</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3"/>
                <w:szCs w:val="13"/>
                <w:color w:val="auto"/>
              </w:rPr>
              <w:t>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40" w:type="dxa"/>
            <w:vAlign w:val="bottom"/>
            <w:gridSpan w:val="2"/>
          </w:tcPr>
          <w:p>
            <w:pPr>
              <w:ind w:left="280"/>
              <w:spacing w:after="0"/>
              <w:rPr>
                <w:sz w:val="20"/>
                <w:szCs w:val="20"/>
                <w:color w:val="auto"/>
              </w:rPr>
            </w:pPr>
            <w:r>
              <w:rPr>
                <w:rFonts w:ascii="Arial" w:cs="Arial" w:eastAsia="Arial" w:hAnsi="Arial"/>
                <w:sz w:val="13"/>
                <w:szCs w:val="13"/>
                <w:color w:val="auto"/>
              </w:rPr>
              <w:t>Total extended payment terms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ind w:left="860"/>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6"/>
        </w:trPr>
        <w:tc>
          <w:tcPr>
            <w:tcW w:w="4940" w:type="dxa"/>
            <w:vAlign w:val="bottom"/>
            <w:gridSpan w:val="2"/>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94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TDRs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4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Consumer</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8"/>
        </w:trPr>
        <w:tc>
          <w:tcPr>
            <w:tcW w:w="4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Total other TDRs</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Other TDRs include TDRs that have a below market interest rate and extended payment terms. The Company does not typically forgive principal when restructuring troubled debt.</w:t>
      </w:r>
    </w:p>
    <w:p>
      <w:pPr>
        <w:spacing w:after="0" w:line="84"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In determining the ACL, management considers TDRs for all loan classes, and the subsequent nonperformance in accordance with their modified terms, by measuring a reserve on a loan-by-loan basis based on either the value of the loan's expected future cash flows discounted at the loan's original effective interest rate or on the collateral value, net of the estimated costs of disposal, if the loan is collateral dependent.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Off-Balance-Sheet Credit Exposure</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maintains a separate reserve for credit losses on off-balance-sheet credit exposures, including unfunded loan commitments, which is included in other liabilities on the consolidated balance sheet. The reserve for credit losses on off-balance-sheet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off-balance-sheet credit exposures that are unconditionally cancellable by the Company or for undrawn amounts under such arrangements that may be drawn prior to the cancellation of the arrangement. At September 30, 2022 and June 30, 2022, the ACL on off-balance-sheet credit exposures included in other liabilities was $3,747 and $3,304,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ind w:left="220" w:hanging="215"/>
        <w:spacing w:after="0"/>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Leases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Lessee - Operating Leases</w:t>
      </w:r>
    </w:p>
    <w:p>
      <w:pPr>
        <w:spacing w:after="0" w:line="52"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its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20"/>
                <w:szCs w:val="20"/>
                <w:color w:val="auto"/>
              </w:rPr>
            </w:pPr>
            <w:r>
              <w:rPr>
                <w:rFonts w:ascii="Arial" w:cs="Arial" w:eastAsia="Arial" w:hAnsi="Arial"/>
                <w:sz w:val="13"/>
                <w:szCs w:val="13"/>
                <w:color w:val="auto"/>
              </w:rPr>
              <w:t>The following table presents supplemental balance sheet information related to operating leases.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Arial" w:cs="Arial" w:eastAsia="Arial" w:hAnsi="Arial"/>
                <w:sz w:val="13"/>
                <w:szCs w:val="13"/>
                <w:b w:val="1"/>
                <w:bCs w:val="1"/>
                <w:color w:val="auto"/>
              </w:rPr>
              <w:t>Supplemental Balance Sheet Information</w:t>
            </w:r>
          </w:p>
        </w:tc>
        <w:tc>
          <w:tcPr>
            <w:tcW w:w="1460" w:type="dxa"/>
            <w:vAlign w:val="bottom"/>
            <w:gridSpan w:val="3"/>
            <w:vMerge w:val="restart"/>
          </w:tcPr>
          <w:p>
            <w:pPr>
              <w:jc w:val="right"/>
              <w:ind w:right="136"/>
              <w:spacing w:after="0"/>
              <w:rPr>
                <w:sz w:val="20"/>
                <w:szCs w:val="20"/>
                <w:color w:val="auto"/>
              </w:rPr>
            </w:pPr>
            <w:r>
              <w:rPr>
                <w:rFonts w:ascii="Arial" w:cs="Arial" w:eastAsia="Arial" w:hAnsi="Arial"/>
                <w:sz w:val="13"/>
                <w:szCs w:val="13"/>
                <w:b w:val="1"/>
                <w:bCs w:val="1"/>
                <w:color w:val="auto"/>
              </w:rPr>
              <w:t>September 30, 2022</w:t>
            </w:r>
          </w:p>
        </w:tc>
        <w:tc>
          <w:tcPr>
            <w:tcW w:w="6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w w:val="89"/>
              </w:rPr>
              <w:t>June 30, 2022</w:t>
            </w:r>
          </w:p>
        </w:tc>
        <w:tc>
          <w:tcPr>
            <w:tcW w:w="0" w:type="dxa"/>
            <w:vAlign w:val="bottom"/>
          </w:tcPr>
          <w:p>
            <w:pPr>
              <w:spacing w:after="0"/>
              <w:rPr>
                <w:sz w:val="1"/>
                <w:szCs w:val="1"/>
                <w:color w:val="auto"/>
              </w:rPr>
            </w:pPr>
          </w:p>
        </w:tc>
      </w:tr>
      <w:tr>
        <w:trPr>
          <w:trHeight w:val="45"/>
        </w:trPr>
        <w:tc>
          <w:tcPr>
            <w:tcW w:w="84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gridSpan w:val="3"/>
            <w:vMerge w:val="continue"/>
          </w:tcPr>
          <w:p>
            <w:pPr>
              <w:spacing w:after="0"/>
              <w:rPr>
                <w:sz w:val="3"/>
                <w:szCs w:val="3"/>
                <w:color w:val="auto"/>
              </w:rPr>
            </w:pPr>
          </w:p>
        </w:tc>
        <w:tc>
          <w:tcPr>
            <w:tcW w:w="60" w:type="dxa"/>
            <w:vAlign w:val="bottom"/>
            <w:tcBorders>
              <w:bottom w:val="single" w:sz="8" w:color="CCEEFF"/>
            </w:tcBorders>
            <w:vMerge w:val="continue"/>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ROU assets (included in other assets)</w:t>
            </w:r>
          </w:p>
        </w:tc>
        <w:tc>
          <w:tcPr>
            <w:tcW w:w="400" w:type="dxa"/>
            <w:vAlign w:val="bottom"/>
            <w:shd w:val="clear" w:color="auto" w:fill="CCEEFF"/>
          </w:tcPr>
          <w:p>
            <w:pPr>
              <w:jc w:val="right"/>
              <w:ind w:right="28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5,651</w:t>
            </w:r>
          </w:p>
        </w:tc>
        <w:tc>
          <w:tcPr>
            <w:tcW w:w="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5,846</w:t>
            </w:r>
          </w:p>
        </w:tc>
        <w:tc>
          <w:tcPr>
            <w:tcW w:w="0" w:type="dxa"/>
            <w:vAlign w:val="bottom"/>
          </w:tcPr>
          <w:p>
            <w:pPr>
              <w:spacing w:after="0"/>
              <w:rPr>
                <w:sz w:val="1"/>
                <w:szCs w:val="1"/>
                <w:color w:val="auto"/>
              </w:rPr>
            </w:pPr>
          </w:p>
        </w:tc>
      </w:tr>
      <w:tr>
        <w:trPr>
          <w:trHeight w:val="168"/>
        </w:trPr>
        <w:tc>
          <w:tcPr>
            <w:tcW w:w="8460" w:type="dxa"/>
            <w:vAlign w:val="bottom"/>
          </w:tcPr>
          <w:p>
            <w:pPr>
              <w:ind w:left="100"/>
              <w:spacing w:after="0"/>
              <w:rPr>
                <w:sz w:val="20"/>
                <w:szCs w:val="20"/>
                <w:color w:val="auto"/>
              </w:rPr>
            </w:pPr>
            <w:r>
              <w:rPr>
                <w:rFonts w:ascii="Arial" w:cs="Arial" w:eastAsia="Arial" w:hAnsi="Arial"/>
                <w:sz w:val="13"/>
                <w:szCs w:val="13"/>
                <w:color w:val="auto"/>
              </w:rPr>
              <w:t>Lease liabilities (included in other liabilities)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6,443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6,641</w:t>
            </w: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Weighted-average remaining lease terms (years)</w:t>
            </w:r>
          </w:p>
        </w:tc>
        <w:tc>
          <w:tcPr>
            <w:tcW w:w="1460" w:type="dxa"/>
            <w:vAlign w:val="bottom"/>
            <w:gridSpan w:val="3"/>
            <w:shd w:val="clear" w:color="auto" w:fill="CCEEFF"/>
          </w:tcPr>
          <w:p>
            <w:pPr>
              <w:jc w:val="right"/>
              <w:ind w:right="716"/>
              <w:spacing w:after="0"/>
              <w:rPr>
                <w:sz w:val="20"/>
                <w:szCs w:val="20"/>
                <w:color w:val="auto"/>
              </w:rPr>
            </w:pPr>
            <w:r>
              <w:rPr>
                <w:rFonts w:ascii="Arial" w:cs="Arial" w:eastAsia="Arial" w:hAnsi="Arial"/>
                <w:sz w:val="13"/>
                <w:szCs w:val="13"/>
                <w:color w:val="auto"/>
              </w:rPr>
              <w:t>10.8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5"/>
        </w:trPr>
        <w:tc>
          <w:tcPr>
            <w:tcW w:w="8460" w:type="dxa"/>
            <w:vAlign w:val="bottom"/>
          </w:tcPr>
          <w:p>
            <w:pPr>
              <w:ind w:left="100"/>
              <w:spacing w:after="0"/>
              <w:rPr>
                <w:sz w:val="20"/>
                <w:szCs w:val="20"/>
                <w:color w:val="auto"/>
              </w:rPr>
            </w:pPr>
            <w:r>
              <w:rPr>
                <w:rFonts w:ascii="Arial" w:cs="Arial" w:eastAsia="Arial" w:hAnsi="Arial"/>
                <w:sz w:val="13"/>
                <w:szCs w:val="13"/>
                <w:color w:val="auto"/>
              </w:rPr>
              <w:t>Weighted-average discount rate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2.90 %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2.90 %</w:t>
            </w:r>
          </w:p>
        </w:tc>
        <w:tc>
          <w:tcPr>
            <w:tcW w:w="0" w:type="dxa"/>
            <w:vAlign w:val="bottom"/>
          </w:tcPr>
          <w:p>
            <w:pPr>
              <w:spacing w:after="0"/>
              <w:rPr>
                <w:sz w:val="1"/>
                <w:szCs w:val="1"/>
                <w:color w:val="auto"/>
              </w:rPr>
            </w:pPr>
          </w:p>
        </w:tc>
      </w:tr>
      <w:tr>
        <w:trPr>
          <w:trHeight w:val="276"/>
        </w:trPr>
        <w:tc>
          <w:tcPr>
            <w:tcW w:w="846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lease payments under these operating leases at September 30, 2022:</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846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Remaining 2023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68"/>
        </w:trPr>
        <w:tc>
          <w:tcPr>
            <w:tcW w:w="8460" w:type="dxa"/>
            <w:vAlign w:val="bottom"/>
          </w:tcPr>
          <w:p>
            <w:pPr>
              <w:ind w:left="100"/>
              <w:spacing w:after="0"/>
              <w:rPr>
                <w:sz w:val="20"/>
                <w:szCs w:val="20"/>
                <w:color w:val="auto"/>
              </w:rPr>
            </w:pPr>
            <w:r>
              <w:rPr>
                <w:rFonts w:ascii="Arial" w:cs="Arial" w:eastAsia="Arial" w:hAnsi="Arial"/>
                <w:sz w:val="13"/>
                <w:szCs w:val="13"/>
                <w:color w:val="auto"/>
              </w:rPr>
              <w:t>2024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68"/>
        </w:trPr>
        <w:tc>
          <w:tcPr>
            <w:tcW w:w="8460" w:type="dxa"/>
            <w:vAlign w:val="bottom"/>
          </w:tcPr>
          <w:p>
            <w:pPr>
              <w:ind w:left="100"/>
              <w:spacing w:after="0"/>
              <w:rPr>
                <w:sz w:val="20"/>
                <w:szCs w:val="20"/>
                <w:color w:val="auto"/>
              </w:rPr>
            </w:pPr>
            <w:r>
              <w:rPr>
                <w:rFonts w:ascii="Arial" w:cs="Arial" w:eastAsia="Arial" w:hAnsi="Arial"/>
                <w:sz w:val="13"/>
                <w:szCs w:val="13"/>
                <w:color w:val="auto"/>
              </w:rPr>
              <w:t>2026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2027</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3,794</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undiscounted minimum lease payments</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7,747</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amount representing interest</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(1,304)</w:t>
            </w:r>
          </w:p>
        </w:tc>
        <w:tc>
          <w:tcPr>
            <w:tcW w:w="0" w:type="dxa"/>
            <w:vAlign w:val="bottom"/>
          </w:tcPr>
          <w:p>
            <w:pPr>
              <w:spacing w:after="0"/>
              <w:rPr>
                <w:sz w:val="1"/>
                <w:szCs w:val="1"/>
                <w:color w:val="auto"/>
              </w:rPr>
            </w:pPr>
          </w:p>
        </w:tc>
      </w:tr>
      <w:tr>
        <w:trPr>
          <w:trHeight w:val="188"/>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lease liability</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The following table presents components of operating lease expense for the periods indicated:</w:t>
            </w: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156"/>
              <w:spacing w:after="0"/>
              <w:rPr>
                <w:sz w:val="20"/>
                <w:szCs w:val="20"/>
                <w:color w:val="auto"/>
              </w:rPr>
            </w:pPr>
            <w:r>
              <w:rPr>
                <w:rFonts w:ascii="Arial" w:cs="Arial" w:eastAsia="Arial" w:hAnsi="Arial"/>
                <w:sz w:val="13"/>
                <w:szCs w:val="13"/>
                <w:b w:val="1"/>
                <w:bCs w:val="1"/>
                <w:color w:val="auto"/>
                <w:w w:val="92"/>
              </w:rPr>
              <w:t>Three Months Ended September 30,</w:t>
            </w:r>
          </w:p>
        </w:tc>
        <w:tc>
          <w:tcPr>
            <w:tcW w:w="0" w:type="dxa"/>
            <w:vAlign w:val="bottom"/>
          </w:tcPr>
          <w:p>
            <w:pPr>
              <w:spacing w:after="0"/>
              <w:rPr>
                <w:sz w:val="1"/>
                <w:szCs w:val="1"/>
                <w:color w:val="auto"/>
              </w:rPr>
            </w:pPr>
          </w:p>
        </w:tc>
      </w:tr>
      <w:tr>
        <w:trPr>
          <w:trHeight w:val="160"/>
        </w:trPr>
        <w:tc>
          <w:tcPr>
            <w:tcW w:w="84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 (included in occupancy expense, net)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347</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Variable lease cost (included in occupancy expense, net)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0"/>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 income (included in other, noninterest income)</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3"/>
        </w:trPr>
        <w:tc>
          <w:tcPr>
            <w:tcW w:w="8460" w:type="dxa"/>
            <w:vAlign w:val="bottom"/>
          </w:tcPr>
          <w:p>
            <w:pPr>
              <w:ind w:left="100"/>
              <w:spacing w:after="0"/>
              <w:rPr>
                <w:sz w:val="20"/>
                <w:szCs w:val="20"/>
                <w:color w:val="auto"/>
              </w:rPr>
            </w:pPr>
            <w:r>
              <w:rPr>
                <w:rFonts w:ascii="Arial" w:cs="Arial" w:eastAsia="Arial" w:hAnsi="Arial"/>
                <w:sz w:val="13"/>
                <w:szCs w:val="13"/>
                <w:b w:val="1"/>
                <w:bCs w:val="1"/>
                <w:color w:val="auto"/>
              </w:rPr>
              <w:t>Total operating lease expense, net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292</w:t>
            </w:r>
          </w:p>
        </w:tc>
        <w:tc>
          <w:tcPr>
            <w:tcW w:w="2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Lessee - Finance Lease</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currently leases land for one of its branch office locations under a finance lease. The ROU asset for the finance lease totaled $2,052 at September 30, 2022 and June 30, 2022 and is included in other assets. The corresponding lease liability totaled $1,752 and $1,763 at September 30, 2022 and June 30, 2022, respectively, and is included in other liabilities. For the three months ended September 30, 2022 and 2021, interest expense on the lease liability totaled $23. The finance lease has a maturity date of July 2028 and a discount rate of 5.18%.</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lease payments under this finance lease obligation at September 30, 2022:</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3"/>
        </w:trPr>
        <w:tc>
          <w:tcPr>
            <w:tcW w:w="998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2"/>
        </w:trPr>
        <w:tc>
          <w:tcPr>
            <w:tcW w:w="9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Remaining 2023</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8"/>
        </w:trPr>
        <w:tc>
          <w:tcPr>
            <w:tcW w:w="9980" w:type="dxa"/>
            <w:vAlign w:val="bottom"/>
          </w:tcPr>
          <w:p>
            <w:pPr>
              <w:ind w:left="100"/>
              <w:spacing w:after="0"/>
              <w:rPr>
                <w:sz w:val="20"/>
                <w:szCs w:val="20"/>
                <w:color w:val="auto"/>
              </w:rPr>
            </w:pPr>
            <w:r>
              <w:rPr>
                <w:rFonts w:ascii="Arial" w:cs="Arial" w:eastAsia="Arial" w:hAnsi="Arial"/>
                <w:sz w:val="13"/>
                <w:szCs w:val="13"/>
                <w:color w:val="auto"/>
              </w:rPr>
              <w:t>2024</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145</w:t>
            </w:r>
          </w:p>
        </w:tc>
      </w:tr>
      <w:tr>
        <w:trPr>
          <w:trHeight w:val="172"/>
        </w:trPr>
        <w:tc>
          <w:tcPr>
            <w:tcW w:w="9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2025</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68"/>
        </w:trPr>
        <w:tc>
          <w:tcPr>
            <w:tcW w:w="9980" w:type="dxa"/>
            <w:vAlign w:val="bottom"/>
          </w:tcPr>
          <w:p>
            <w:pPr>
              <w:ind w:left="100"/>
              <w:spacing w:after="0"/>
              <w:rPr>
                <w:sz w:val="20"/>
                <w:szCs w:val="20"/>
                <w:color w:val="auto"/>
              </w:rPr>
            </w:pPr>
            <w:r>
              <w:rPr>
                <w:rFonts w:ascii="Arial" w:cs="Arial" w:eastAsia="Arial" w:hAnsi="Arial"/>
                <w:sz w:val="13"/>
                <w:szCs w:val="13"/>
                <w:color w:val="auto"/>
              </w:rPr>
              <w:t>2026</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72"/>
        </w:trPr>
        <w:tc>
          <w:tcPr>
            <w:tcW w:w="9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2027</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68"/>
        </w:trPr>
        <w:tc>
          <w:tcPr>
            <w:tcW w:w="99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Thereafter</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w:t>
            </w:r>
          </w:p>
        </w:tc>
      </w:tr>
      <w:tr>
        <w:trPr>
          <w:trHeight w:val="163"/>
        </w:trPr>
        <w:tc>
          <w:tcPr>
            <w:tcW w:w="9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undiscounted minimum lease payments</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w:t>
            </w:r>
          </w:p>
        </w:tc>
      </w:tr>
      <w:tr>
        <w:trPr>
          <w:trHeight w:val="168"/>
        </w:trPr>
        <w:tc>
          <w:tcPr>
            <w:tcW w:w="99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amount representing interest</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w:t>
            </w:r>
          </w:p>
        </w:tc>
      </w:tr>
      <w:tr>
        <w:trPr>
          <w:trHeight w:val="188"/>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lease liability</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20"/>
                <w:szCs w:val="20"/>
                <w:color w:val="auto"/>
              </w:rPr>
            </w:pPr>
            <w:r>
              <w:rPr>
                <w:rFonts w:ascii="Arial" w:cs="Arial" w:eastAsia="Arial" w:hAnsi="Arial"/>
                <w:sz w:val="13"/>
                <w:szCs w:val="13"/>
                <w:color w:val="auto"/>
              </w:rPr>
              <w:t>Supplemental lease cash flow information for the periods indicated:</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886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w w:val="98"/>
              </w:rPr>
              <w:t>Three Months Ended September 30,</w:t>
            </w:r>
          </w:p>
        </w:tc>
      </w:tr>
      <w:tr>
        <w:trPr>
          <w:trHeight w:val="160"/>
        </w:trPr>
        <w:tc>
          <w:tcPr>
            <w:tcW w:w="88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r>
      <w:tr>
        <w:trPr>
          <w:trHeight w:val="163"/>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ROU assets - noncash additions (operating leases)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r>
      <w:tr>
        <w:trPr>
          <w:trHeight w:val="168"/>
        </w:trPr>
        <w:tc>
          <w:tcPr>
            <w:tcW w:w="8860" w:type="dxa"/>
            <w:vAlign w:val="bottom"/>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 (operating leases)</w:t>
            </w:r>
          </w:p>
        </w:tc>
        <w:tc>
          <w:tcPr>
            <w:tcW w:w="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628</w:t>
            </w:r>
          </w:p>
        </w:tc>
      </w:tr>
      <w:tr>
        <w:trPr>
          <w:trHeight w:val="172"/>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 (finance leases)</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General</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nominal fixed purchase option; and most of the leases that do not have a nominal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Operating Leases</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Operating lease income is recognized as a component of noninterest income on a straight-line basis over the lease term. Lease terms range from one to five years. Assets related to operating leases are included in other assets and the corresponding depreciation expense is recorded on a straight-line basis as a component of other noninterest expense. The net book value of leased assets totaled $18,568 and $20,075 with a residual value of $12,737 and $12,874 as of September 30, 2022 and June 30, 2022,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20"/>
                <w:szCs w:val="20"/>
                <w:color w:val="auto"/>
              </w:rPr>
            </w:pPr>
            <w:r>
              <w:rPr>
                <w:rFonts w:ascii="Arial" w:cs="Arial" w:eastAsia="Arial" w:hAnsi="Arial"/>
                <w:sz w:val="13"/>
                <w:szCs w:val="13"/>
                <w:color w:val="auto"/>
              </w:rPr>
              <w:t>The following table presents total equipment finance operating lease income and depreciation expense for the periods indicated:</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8860" w:type="dxa"/>
            <w:vAlign w:val="bottom"/>
          </w:tcPr>
          <w:p>
            <w:pPr>
              <w:spacing w:after="0"/>
              <w:rPr>
                <w:sz w:val="19"/>
                <w:szCs w:val="19"/>
                <w:color w:val="auto"/>
              </w:rPr>
            </w:pPr>
          </w:p>
        </w:tc>
        <w:tc>
          <w:tcPr>
            <w:tcW w:w="24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3"/>
                <w:szCs w:val="13"/>
                <w:b w:val="1"/>
                <w:bCs w:val="1"/>
                <w:color w:val="auto"/>
                <w:w w:val="98"/>
              </w:rPr>
              <w:t>Three Months Ended September 30,</w:t>
            </w:r>
          </w:p>
        </w:tc>
      </w:tr>
      <w:tr>
        <w:trPr>
          <w:trHeight w:val="160"/>
        </w:trPr>
        <w:tc>
          <w:tcPr>
            <w:tcW w:w="88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3"/>
                <w:szCs w:val="13"/>
                <w:color w:val="auto"/>
              </w:rPr>
            </w:pPr>
          </w:p>
        </w:tc>
      </w:tr>
      <w:tr>
        <w:trPr>
          <w:trHeight w:val="163"/>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income</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1,585</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1,540</w:t>
            </w:r>
          </w:p>
        </w:tc>
      </w:tr>
      <w:tr>
        <w:trPr>
          <w:trHeight w:val="165"/>
        </w:trPr>
        <w:tc>
          <w:tcPr>
            <w:tcW w:w="88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7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1,385</w:t>
            </w:r>
          </w:p>
        </w:tc>
      </w:tr>
      <w:tr>
        <w:trPr>
          <w:trHeight w:val="318"/>
        </w:trPr>
        <w:tc>
          <w:tcPr>
            <w:tcW w:w="886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lease payments to be received at September 30, 2022:</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886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2"/>
        </w:trPr>
        <w:tc>
          <w:tcPr>
            <w:tcW w:w="8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Remaining 2023</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3,623</w:t>
            </w:r>
          </w:p>
        </w:tc>
        <w:tc>
          <w:tcPr>
            <w:tcW w:w="80" w:type="dxa"/>
            <w:vAlign w:val="bottom"/>
          </w:tcPr>
          <w:p>
            <w:pPr>
              <w:spacing w:after="0"/>
              <w:rPr>
                <w:sz w:val="14"/>
                <w:szCs w:val="14"/>
                <w:color w:val="auto"/>
              </w:rPr>
            </w:pPr>
          </w:p>
        </w:tc>
      </w:tr>
      <w:tr>
        <w:trPr>
          <w:trHeight w:val="168"/>
        </w:trPr>
        <w:tc>
          <w:tcPr>
            <w:tcW w:w="8860" w:type="dxa"/>
            <w:vAlign w:val="bottom"/>
          </w:tcPr>
          <w:p>
            <w:pPr>
              <w:ind w:left="100"/>
              <w:spacing w:after="0"/>
              <w:rPr>
                <w:sz w:val="20"/>
                <w:szCs w:val="20"/>
                <w:color w:val="auto"/>
              </w:rPr>
            </w:pPr>
            <w:r>
              <w:rPr>
                <w:rFonts w:ascii="Arial" w:cs="Arial" w:eastAsia="Arial" w:hAnsi="Arial"/>
                <w:sz w:val="13"/>
                <w:szCs w:val="13"/>
                <w:color w:val="auto"/>
              </w:rPr>
              <w:t>2024</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2,916</w:t>
            </w:r>
          </w:p>
        </w:tc>
        <w:tc>
          <w:tcPr>
            <w:tcW w:w="80" w:type="dxa"/>
            <w:vAlign w:val="bottom"/>
          </w:tcPr>
          <w:p>
            <w:pPr>
              <w:spacing w:after="0"/>
              <w:rPr>
                <w:sz w:val="14"/>
                <w:szCs w:val="14"/>
                <w:color w:val="auto"/>
              </w:rPr>
            </w:pPr>
          </w:p>
        </w:tc>
      </w:tr>
      <w:tr>
        <w:trPr>
          <w:trHeight w:val="172"/>
        </w:trPr>
        <w:tc>
          <w:tcPr>
            <w:tcW w:w="8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2025</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80" w:type="dxa"/>
            <w:vAlign w:val="bottom"/>
          </w:tcPr>
          <w:p>
            <w:pPr>
              <w:spacing w:after="0"/>
              <w:rPr>
                <w:sz w:val="14"/>
                <w:szCs w:val="14"/>
                <w:color w:val="auto"/>
              </w:rPr>
            </w:pPr>
          </w:p>
        </w:tc>
      </w:tr>
      <w:tr>
        <w:trPr>
          <w:trHeight w:val="168"/>
        </w:trPr>
        <w:tc>
          <w:tcPr>
            <w:tcW w:w="8860" w:type="dxa"/>
            <w:vAlign w:val="bottom"/>
          </w:tcPr>
          <w:p>
            <w:pPr>
              <w:ind w:left="100"/>
              <w:spacing w:after="0"/>
              <w:rPr>
                <w:sz w:val="20"/>
                <w:szCs w:val="20"/>
                <w:color w:val="auto"/>
              </w:rPr>
            </w:pPr>
            <w:r>
              <w:rPr>
                <w:rFonts w:ascii="Arial" w:cs="Arial" w:eastAsia="Arial" w:hAnsi="Arial"/>
                <w:sz w:val="13"/>
                <w:szCs w:val="13"/>
                <w:color w:val="auto"/>
              </w:rPr>
              <w:t>2026</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4"/>
                <w:szCs w:val="14"/>
                <w:color w:val="auto"/>
              </w:rPr>
            </w:pPr>
          </w:p>
        </w:tc>
      </w:tr>
      <w:tr>
        <w:trPr>
          <w:trHeight w:val="172"/>
        </w:trPr>
        <w:tc>
          <w:tcPr>
            <w:tcW w:w="8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2027</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4"/>
                <w:szCs w:val="14"/>
                <w:color w:val="auto"/>
              </w:rPr>
            </w:pPr>
          </w:p>
        </w:tc>
      </w:tr>
      <w:tr>
        <w:trPr>
          <w:trHeight w:val="168"/>
        </w:trPr>
        <w:tc>
          <w:tcPr>
            <w:tcW w:w="8860" w:type="dxa"/>
            <w:vAlign w:val="bottom"/>
          </w:tcPr>
          <w:p>
            <w:pPr>
              <w:ind w:left="100"/>
              <w:spacing w:after="0"/>
              <w:rPr>
                <w:sz w:val="20"/>
                <w:szCs w:val="20"/>
                <w:color w:val="auto"/>
              </w:rPr>
            </w:pPr>
            <w:r>
              <w:rPr>
                <w:rFonts w:ascii="Arial" w:cs="Arial" w:eastAsia="Arial" w:hAnsi="Arial"/>
                <w:sz w:val="13"/>
                <w:szCs w:val="13"/>
                <w:color w:val="auto"/>
              </w:rPr>
              <w:t>Thereafter</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8"/>
        </w:trPr>
        <w:tc>
          <w:tcPr>
            <w:tcW w:w="8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of future minimum lease payments</w:t>
            </w: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7,944</w:t>
            </w:r>
          </w:p>
        </w:tc>
        <w:tc>
          <w:tcPr>
            <w:tcW w:w="80" w:type="dxa"/>
            <w:vAlign w:val="bottom"/>
          </w:tcPr>
          <w:p>
            <w:pPr>
              <w:spacing w:after="0"/>
              <w:rPr>
                <w:sz w:val="15"/>
                <w:szCs w:val="15"/>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Direct Financing Leases</w:t>
      </w:r>
    </w:p>
    <w:p>
      <w:pPr>
        <w:spacing w:after="0" w:line="41"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September 30, 2022 and 2021, interest income on equipment finance leases totaled $758 and $759, respectively.</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lease receivable component of finance lease net investment included within the equipment finance class of financing receivables was $63.3 million and $62.2 million at September 30, 2022 and June 30, 2022,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finance lease payments to be received at September 30, 2022:</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998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2"/>
        </w:trPr>
        <w:tc>
          <w:tcPr>
            <w:tcW w:w="9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Remaining 2023</w:t>
            </w: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17,066</w:t>
            </w:r>
          </w:p>
        </w:tc>
      </w:tr>
      <w:tr>
        <w:trPr>
          <w:trHeight w:val="168"/>
        </w:trPr>
        <w:tc>
          <w:tcPr>
            <w:tcW w:w="9980" w:type="dxa"/>
            <w:vAlign w:val="bottom"/>
          </w:tcPr>
          <w:p>
            <w:pPr>
              <w:ind w:left="100"/>
              <w:spacing w:after="0"/>
              <w:rPr>
                <w:sz w:val="20"/>
                <w:szCs w:val="20"/>
                <w:color w:val="auto"/>
              </w:rPr>
            </w:pPr>
            <w:r>
              <w:rPr>
                <w:rFonts w:ascii="Arial" w:cs="Arial" w:eastAsia="Arial" w:hAnsi="Arial"/>
                <w:sz w:val="13"/>
                <w:szCs w:val="13"/>
                <w:color w:val="auto"/>
              </w:rPr>
              <w:t>2024</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19,324</w:t>
            </w:r>
          </w:p>
        </w:tc>
      </w:tr>
      <w:tr>
        <w:trPr>
          <w:trHeight w:val="172"/>
        </w:trPr>
        <w:tc>
          <w:tcPr>
            <w:tcW w:w="9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2025</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14,696</w:t>
            </w:r>
          </w:p>
        </w:tc>
      </w:tr>
      <w:tr>
        <w:trPr>
          <w:trHeight w:val="168"/>
        </w:trPr>
        <w:tc>
          <w:tcPr>
            <w:tcW w:w="9980" w:type="dxa"/>
            <w:vAlign w:val="bottom"/>
          </w:tcPr>
          <w:p>
            <w:pPr>
              <w:ind w:left="100"/>
              <w:spacing w:after="0"/>
              <w:rPr>
                <w:sz w:val="20"/>
                <w:szCs w:val="20"/>
                <w:color w:val="auto"/>
              </w:rPr>
            </w:pPr>
            <w:r>
              <w:rPr>
                <w:rFonts w:ascii="Arial" w:cs="Arial" w:eastAsia="Arial" w:hAnsi="Arial"/>
                <w:sz w:val="13"/>
                <w:szCs w:val="13"/>
                <w:color w:val="auto"/>
              </w:rPr>
              <w:t>2026</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10,338</w:t>
            </w:r>
          </w:p>
        </w:tc>
      </w:tr>
      <w:tr>
        <w:trPr>
          <w:trHeight w:val="172"/>
        </w:trPr>
        <w:tc>
          <w:tcPr>
            <w:tcW w:w="9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2027</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w:t>
            </w:r>
          </w:p>
        </w:tc>
      </w:tr>
      <w:tr>
        <w:trPr>
          <w:trHeight w:val="168"/>
        </w:trPr>
        <w:tc>
          <w:tcPr>
            <w:tcW w:w="99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Thereafter</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3,972</w:t>
            </w:r>
          </w:p>
        </w:tc>
      </w:tr>
      <w:tr>
        <w:trPr>
          <w:trHeight w:val="163"/>
        </w:trPr>
        <w:tc>
          <w:tcPr>
            <w:tcW w:w="9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undiscounted minimum lease payments</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70,650</w:t>
            </w:r>
          </w:p>
        </w:tc>
      </w:tr>
      <w:tr>
        <w:trPr>
          <w:trHeight w:val="168"/>
        </w:trPr>
        <w:tc>
          <w:tcPr>
            <w:tcW w:w="99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amount representing interest</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(7,305)</w:t>
            </w:r>
          </w:p>
        </w:tc>
      </w:tr>
      <w:tr>
        <w:trPr>
          <w:trHeight w:val="188"/>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lease receivable</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63,345</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ind w:left="220" w:hanging="215"/>
        <w:spacing w:after="0"/>
        <w:tabs>
          <w:tab w:leader="none" w:pos="22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Equity Incentive Plan</w:t>
      </w:r>
    </w:p>
    <w:p>
      <w:pPr>
        <w:spacing w:after="0" w:line="4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provides stock-based awards through the 2013 Omnibus Incentive Plan, which provides for awards of restricted stock, restricted stock units, stock options, stock appreciation rights and cash awards to directors, directors emeritus, officers, employees and advisory directors. The cost of equity-based awards under the 2013 Omnibus Incentive Plan generally is based on the fair value of the awards on their grant date. The maximum number of shares that may be utilized for awards under the plan is 2,962,400, including 2,116,000 for stock options and stock appreciation rights and 846,400 for awards of restricted stock and restricted stock units. Shares of common stock issued under the plan would be issued out of authorized but unissued shares, some or all of which may be repurchased shares. The Company repurchased a number of shares on the open market sufficient to cover awards of restricted stock and restricted stock units available to be granted under the 2013 Omnibus Incentive Plan, for $13,297, at an average cost of $15.71 per share during the year ended June 30, 2013.</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presents share-based compensation expense and the estimated related tax benefit for stock options and restricted stock for the dates indicated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60" w:type="dxa"/>
            <w:vAlign w:val="bottom"/>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Borders>
              <w:bottom w:val="single" w:sz="8" w:color="auto"/>
            </w:tcBorders>
          </w:tcPr>
          <w:p>
            <w:pPr>
              <w:spacing w:after="0"/>
              <w:rPr>
                <w:sz w:val="14"/>
                <w:szCs w:val="14"/>
                <w:color w:val="auto"/>
              </w:rPr>
            </w:pPr>
          </w:p>
        </w:tc>
      </w:tr>
      <w:tr>
        <w:trPr>
          <w:trHeight w:val="160"/>
        </w:trPr>
        <w:tc>
          <w:tcPr>
            <w:tcW w:w="87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r>
      <w:tr>
        <w:trPr>
          <w:trHeight w:val="163"/>
        </w:trPr>
        <w:tc>
          <w:tcPr>
            <w:tcW w:w="87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Share-based compensation expense</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415</w:t>
            </w:r>
          </w:p>
        </w:tc>
      </w:tr>
      <w:tr>
        <w:trPr>
          <w:trHeight w:val="165"/>
        </w:trPr>
        <w:tc>
          <w:tcPr>
            <w:tcW w:w="8760" w:type="dxa"/>
            <w:vAlign w:val="bottom"/>
          </w:tcPr>
          <w:p>
            <w:pPr>
              <w:ind w:left="20"/>
              <w:spacing w:after="0"/>
              <w:rPr>
                <w:sz w:val="20"/>
                <w:szCs w:val="20"/>
                <w:color w:val="auto"/>
              </w:rPr>
            </w:pPr>
            <w:r>
              <w:rPr>
                <w:rFonts w:ascii="Arial" w:cs="Arial" w:eastAsia="Arial" w:hAnsi="Arial"/>
                <w:sz w:val="13"/>
                <w:szCs w:val="13"/>
                <w:color w:val="auto"/>
              </w:rPr>
              <w:t>Tax benefit</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98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presents stock option activity and related information for the three months ended September 30,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Remaining</w:t>
            </w:r>
          </w:p>
        </w:tc>
        <w:tc>
          <w:tcPr>
            <w:tcW w:w="220" w:type="dxa"/>
            <w:vAlign w:val="bottom"/>
          </w:tcPr>
          <w:p>
            <w:pPr>
              <w:spacing w:after="0"/>
              <w:rPr>
                <w:sz w:val="13"/>
                <w:szCs w:val="13"/>
                <w:color w:val="auto"/>
              </w:rPr>
            </w:pPr>
          </w:p>
        </w:tc>
        <w:tc>
          <w:tcPr>
            <w:tcW w:w="1120" w:type="dxa"/>
            <w:vAlign w:val="bottom"/>
            <w:vMerge w:val="restart"/>
          </w:tcPr>
          <w:p>
            <w:pPr>
              <w:jc w:val="center"/>
              <w:ind w:right="176"/>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27"/>
        </w:trPr>
        <w:tc>
          <w:tcPr>
            <w:tcW w:w="5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Arial" w:cs="Arial" w:eastAsia="Arial" w:hAnsi="Arial"/>
                <w:sz w:val="13"/>
                <w:szCs w:val="13"/>
                <w:b w:val="1"/>
                <w:bCs w:val="1"/>
                <w:color w:val="auto"/>
                <w:w w:val="85"/>
              </w:rPr>
              <w:t>Average</w:t>
            </w:r>
          </w:p>
        </w:tc>
        <w:tc>
          <w:tcPr>
            <w:tcW w:w="144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1"/>
              </w:rPr>
              <w:t>Contractual</w:t>
            </w: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20" w:type="dxa"/>
            <w:vAlign w:val="bottom"/>
          </w:tcPr>
          <w:p>
            <w:pPr>
              <w:spacing w:after="0"/>
              <w:rPr>
                <w:sz w:val="11"/>
                <w:szCs w:val="11"/>
                <w:color w:val="auto"/>
              </w:rPr>
            </w:pPr>
          </w:p>
        </w:tc>
        <w:tc>
          <w:tcPr>
            <w:tcW w:w="142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Options</w:t>
            </w:r>
          </w:p>
        </w:tc>
        <w:tc>
          <w:tcPr>
            <w:tcW w:w="240" w:type="dxa"/>
            <w:vAlign w:val="bottom"/>
          </w:tcPr>
          <w:p>
            <w:pPr>
              <w:spacing w:after="0"/>
              <w:rPr>
                <w:sz w:val="11"/>
                <w:szCs w:val="11"/>
                <w:color w:val="auto"/>
              </w:rPr>
            </w:pPr>
          </w:p>
        </w:tc>
        <w:tc>
          <w:tcPr>
            <w:tcW w:w="118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85"/>
              </w:rPr>
              <w:t>Exercise</w:t>
            </w:r>
          </w:p>
        </w:tc>
        <w:tc>
          <w:tcPr>
            <w:tcW w:w="144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4"/>
              </w:rPr>
              <w:t>Life</w:t>
            </w:r>
          </w:p>
        </w:tc>
        <w:tc>
          <w:tcPr>
            <w:tcW w:w="22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Price</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(Years)</w:t>
            </w:r>
          </w:p>
        </w:tc>
        <w:tc>
          <w:tcPr>
            <w:tcW w:w="220" w:type="dxa"/>
            <w:vAlign w:val="bottom"/>
          </w:tcPr>
          <w:p>
            <w:pPr>
              <w:spacing w:after="0"/>
              <w:rPr>
                <w:sz w:val="14"/>
                <w:szCs w:val="14"/>
                <w:color w:val="auto"/>
              </w:rPr>
            </w:pPr>
          </w:p>
        </w:tc>
        <w:tc>
          <w:tcPr>
            <w:tcW w:w="1120" w:type="dxa"/>
            <w:vAlign w:val="bottom"/>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56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Options outstanding at June 30,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1,319,456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19.07</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3"/>
                <w:szCs w:val="13"/>
                <w:color w:val="auto"/>
                <w:w w:val="88"/>
              </w:rPr>
              <w:t>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11,657</w:t>
            </w:r>
          </w:p>
        </w:tc>
        <w:tc>
          <w:tcPr>
            <w:tcW w:w="0" w:type="dxa"/>
            <w:vAlign w:val="bottom"/>
          </w:tcPr>
          <w:p>
            <w:pPr>
              <w:spacing w:after="0"/>
              <w:rPr>
                <w:sz w:val="1"/>
                <w:szCs w:val="1"/>
                <w:color w:val="auto"/>
              </w:rPr>
            </w:pPr>
          </w:p>
        </w:tc>
      </w:tr>
      <w:tr>
        <w:trPr>
          <w:trHeight w:val="168"/>
        </w:trPr>
        <w:tc>
          <w:tcPr>
            <w:tcW w:w="5620" w:type="dxa"/>
            <w:vAlign w:val="bottom"/>
          </w:tcPr>
          <w:p>
            <w:pPr>
              <w:ind w:left="100"/>
              <w:spacing w:after="0"/>
              <w:rPr>
                <w:sz w:val="20"/>
                <w:szCs w:val="20"/>
                <w:color w:val="auto"/>
              </w:rPr>
            </w:pPr>
            <w:r>
              <w:rPr>
                <w:rFonts w:ascii="Arial" w:cs="Arial" w:eastAsia="Arial" w:hAnsi="Arial"/>
                <w:sz w:val="13"/>
                <w:szCs w:val="13"/>
                <w:color w:val="auto"/>
              </w:rPr>
              <w:t>Exercised</w:t>
            </w:r>
          </w:p>
        </w:tc>
        <w:tc>
          <w:tcPr>
            <w:tcW w:w="1340" w:type="dxa"/>
            <w:vAlign w:val="bottom"/>
          </w:tcPr>
          <w:p>
            <w:pPr>
              <w:jc w:val="right"/>
              <w:spacing w:after="0"/>
              <w:rPr>
                <w:sz w:val="20"/>
                <w:szCs w:val="20"/>
                <w:color w:val="auto"/>
              </w:rPr>
            </w:pPr>
            <w:r>
              <w:rPr>
                <w:rFonts w:ascii="Arial" w:cs="Arial" w:eastAsia="Arial" w:hAnsi="Arial"/>
                <w:sz w:val="13"/>
                <w:szCs w:val="13"/>
                <w:color w:val="auto"/>
              </w:rPr>
              <w:t>(46,200)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15.16</w:t>
            </w:r>
          </w:p>
        </w:tc>
        <w:tc>
          <w:tcPr>
            <w:tcW w:w="100" w:type="dxa"/>
            <w:vAlign w:val="bottom"/>
          </w:tcPr>
          <w:p>
            <w:pPr>
              <w:spacing w:after="0"/>
              <w:rPr>
                <w:sz w:val="14"/>
                <w:szCs w:val="14"/>
                <w:color w:val="auto"/>
              </w:rPr>
            </w:pPr>
          </w:p>
        </w:tc>
        <w:tc>
          <w:tcPr>
            <w:tcW w:w="144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62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Options outstanding at September 30, 2021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1,270,656</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19.19</w:t>
            </w:r>
          </w:p>
        </w:tc>
        <w:tc>
          <w:tcPr>
            <w:tcW w:w="100" w:type="dxa"/>
            <w:vAlign w:val="bottom"/>
          </w:tcPr>
          <w:p>
            <w:pPr>
              <w:spacing w:after="0"/>
              <w:rPr>
                <w:sz w:val="13"/>
                <w:szCs w:val="13"/>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3"/>
                <w:szCs w:val="13"/>
                <w:color w:val="auto"/>
                <w:w w:val="88"/>
              </w:rPr>
              <w:t>3.7</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11,164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tcBorders>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Exercisable at September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1,030,506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3"/>
                <w:szCs w:val="13"/>
                <w:color w:val="auto"/>
                <w:w w:val="88"/>
              </w:rPr>
              <w:t>2.9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10,546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Non-vested at September 30, 2021</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620" w:type="dxa"/>
            <w:vAlign w:val="bottom"/>
            <w:vMerge w:val="continue"/>
          </w:tcPr>
          <w:p>
            <w:pPr>
              <w:spacing w:after="0"/>
              <w:rPr>
                <w:sz w:val="11"/>
                <w:szCs w:val="11"/>
                <w:color w:val="auto"/>
              </w:rPr>
            </w:pPr>
          </w:p>
        </w:tc>
        <w:tc>
          <w:tcPr>
            <w:tcW w:w="1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240,150</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25.41</w:t>
            </w:r>
          </w:p>
        </w:tc>
        <w:tc>
          <w:tcPr>
            <w:tcW w:w="100" w:type="dxa"/>
            <w:vAlign w:val="bottom"/>
          </w:tcPr>
          <w:p>
            <w:pPr>
              <w:spacing w:after="0"/>
              <w:rPr>
                <w:sz w:val="11"/>
                <w:szCs w:val="11"/>
                <w:color w:val="auto"/>
              </w:rPr>
            </w:pPr>
          </w:p>
        </w:tc>
        <w:tc>
          <w:tcPr>
            <w:tcW w:w="1340" w:type="dxa"/>
            <w:vAlign w:val="bottom"/>
            <w:tcBorders>
              <w:bottom w:val="single" w:sz="8" w:color="auto"/>
            </w:tcBorders>
          </w:tcPr>
          <w:p>
            <w:pPr>
              <w:ind w:left="1160"/>
              <w:spacing w:after="0" w:line="133" w:lineRule="exact"/>
              <w:rPr>
                <w:sz w:val="20"/>
                <w:szCs w:val="20"/>
                <w:color w:val="auto"/>
              </w:rPr>
            </w:pPr>
            <w:r>
              <w:rPr>
                <w:rFonts w:ascii="Arial" w:cs="Arial" w:eastAsia="Arial" w:hAnsi="Arial"/>
                <w:sz w:val="13"/>
                <w:szCs w:val="13"/>
                <w:color w:val="auto"/>
                <w:w w:val="88"/>
              </w:rPr>
              <w:t>7.3</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63"/>
        </w:trPr>
        <w:tc>
          <w:tcPr>
            <w:tcW w:w="56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Options outstanding at June 30, 2022</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928,870</w:t>
            </w: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21.49</w:t>
            </w:r>
          </w:p>
        </w:tc>
        <w:tc>
          <w:tcPr>
            <w:tcW w:w="10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ind w:left="1160"/>
              <w:spacing w:after="0"/>
              <w:rPr>
                <w:sz w:val="20"/>
                <w:szCs w:val="20"/>
                <w:color w:val="auto"/>
              </w:rPr>
            </w:pPr>
            <w:r>
              <w:rPr>
                <w:rFonts w:ascii="Arial" w:cs="Arial" w:eastAsia="Arial" w:hAnsi="Arial"/>
                <w:sz w:val="13"/>
                <w:szCs w:val="13"/>
                <w:color w:val="auto"/>
                <w:w w:val="88"/>
              </w:rPr>
              <w:t>4.1</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4,036</w:t>
            </w:r>
          </w:p>
        </w:tc>
        <w:tc>
          <w:tcPr>
            <w:tcW w:w="0" w:type="dxa"/>
            <w:vAlign w:val="bottom"/>
          </w:tcPr>
          <w:p>
            <w:pPr>
              <w:spacing w:after="0"/>
              <w:rPr>
                <w:sz w:val="1"/>
                <w:szCs w:val="1"/>
                <w:color w:val="auto"/>
              </w:rPr>
            </w:pPr>
          </w:p>
        </w:tc>
      </w:tr>
      <w:tr>
        <w:trPr>
          <w:trHeight w:val="172"/>
        </w:trPr>
        <w:tc>
          <w:tcPr>
            <w:tcW w:w="5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100"/>
              <w:spacing w:after="0"/>
              <w:rPr>
                <w:sz w:val="20"/>
                <w:szCs w:val="20"/>
                <w:color w:val="auto"/>
              </w:rPr>
            </w:pPr>
            <w:r>
              <w:rPr>
                <w:rFonts w:ascii="Arial" w:cs="Arial" w:eastAsia="Arial" w:hAnsi="Arial"/>
                <w:sz w:val="13"/>
                <w:szCs w:val="13"/>
                <w:color w:val="auto"/>
              </w:rPr>
              <w:t>Exercised</w:t>
            </w:r>
          </w:p>
        </w:tc>
        <w:tc>
          <w:tcPr>
            <w:tcW w:w="1340" w:type="dxa"/>
            <w:vAlign w:val="bottom"/>
          </w:tcPr>
          <w:p>
            <w:pPr>
              <w:jc w:val="right"/>
              <w:spacing w:after="0"/>
              <w:rPr>
                <w:sz w:val="20"/>
                <w:szCs w:val="20"/>
                <w:color w:val="auto"/>
              </w:rPr>
            </w:pPr>
            <w:r>
              <w:rPr>
                <w:rFonts w:ascii="Arial" w:cs="Arial" w:eastAsia="Arial" w:hAnsi="Arial"/>
                <w:sz w:val="13"/>
                <w:szCs w:val="13"/>
                <w:color w:val="auto"/>
              </w:rPr>
              <w:t>(27,000)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14.37</w:t>
            </w:r>
          </w:p>
        </w:tc>
        <w:tc>
          <w:tcPr>
            <w:tcW w:w="100" w:type="dxa"/>
            <w:vAlign w:val="bottom"/>
          </w:tcPr>
          <w:p>
            <w:pPr>
              <w:spacing w:after="0"/>
              <w:rPr>
                <w:sz w:val="14"/>
                <w:szCs w:val="14"/>
                <w:color w:val="auto"/>
              </w:rPr>
            </w:pPr>
          </w:p>
        </w:tc>
        <w:tc>
          <w:tcPr>
            <w:tcW w:w="144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31.35</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62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Options outstanding at September 30, 2022</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906,470</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21.71</w:t>
            </w:r>
          </w:p>
        </w:tc>
        <w:tc>
          <w:tcPr>
            <w:tcW w:w="100" w:type="dxa"/>
            <w:vAlign w:val="bottom"/>
          </w:tcPr>
          <w:p>
            <w:pPr>
              <w:spacing w:after="0"/>
              <w:rPr>
                <w:sz w:val="13"/>
                <w:szCs w:val="13"/>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3"/>
                <w:szCs w:val="13"/>
                <w:color w:val="auto"/>
                <w:w w:val="88"/>
              </w:rPr>
              <w:t>3.9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tcBorders>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Exercisable at September 30,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729,720</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20.46</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3"/>
                <w:szCs w:val="13"/>
                <w:color w:val="auto"/>
                <w:w w:val="88"/>
              </w:rPr>
              <w:t>3.1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Non-vested at September 30, 2022</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620" w:type="dxa"/>
            <w:vAlign w:val="bottom"/>
            <w:vMerge w:val="continue"/>
          </w:tcPr>
          <w:p>
            <w:pPr>
              <w:spacing w:after="0"/>
              <w:rPr>
                <w:sz w:val="11"/>
                <w:szCs w:val="11"/>
                <w:color w:val="auto"/>
              </w:rPr>
            </w:pPr>
          </w:p>
        </w:tc>
        <w:tc>
          <w:tcPr>
            <w:tcW w:w="1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176,750</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26.87</w:t>
            </w:r>
          </w:p>
        </w:tc>
        <w:tc>
          <w:tcPr>
            <w:tcW w:w="100" w:type="dxa"/>
            <w:vAlign w:val="bottom"/>
          </w:tcPr>
          <w:p>
            <w:pPr>
              <w:spacing w:after="0"/>
              <w:rPr>
                <w:sz w:val="11"/>
                <w:szCs w:val="11"/>
                <w:color w:val="auto"/>
              </w:rPr>
            </w:pPr>
          </w:p>
        </w:tc>
        <w:tc>
          <w:tcPr>
            <w:tcW w:w="1340" w:type="dxa"/>
            <w:vAlign w:val="bottom"/>
            <w:tcBorders>
              <w:bottom w:val="single" w:sz="8" w:color="auto"/>
            </w:tcBorders>
          </w:tcPr>
          <w:p>
            <w:pPr>
              <w:ind w:left="1160"/>
              <w:spacing w:after="0" w:line="133" w:lineRule="exact"/>
              <w:rPr>
                <w:sz w:val="20"/>
                <w:szCs w:val="20"/>
                <w:color w:val="auto"/>
              </w:rPr>
            </w:pPr>
            <w:r>
              <w:rPr>
                <w:rFonts w:ascii="Arial" w:cs="Arial" w:eastAsia="Arial" w:hAnsi="Arial"/>
                <w:sz w:val="13"/>
                <w:szCs w:val="13"/>
                <w:color w:val="auto"/>
                <w:w w:val="88"/>
              </w:rPr>
              <w:t>7.3</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80"/>
        <w:spacing w:after="0" w:line="257" w:lineRule="auto"/>
        <w:rPr>
          <w:sz w:val="20"/>
          <w:szCs w:val="20"/>
          <w:color w:val="auto"/>
        </w:rPr>
      </w:pPr>
      <w:r>
        <w:rPr>
          <w:rFonts w:ascii="Arial" w:cs="Arial" w:eastAsia="Arial" w:hAnsi="Arial"/>
          <w:sz w:val="13"/>
          <w:szCs w:val="13"/>
          <w:color w:val="auto"/>
        </w:rPr>
        <w:t>Assumptions used in estimating the fair value of options granted during the three months ended September 30, 2022 have been detailed below. There were no options granted during the three months ended September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September 30, 2022</w:t>
            </w:r>
          </w:p>
        </w:tc>
      </w:tr>
      <w:tr>
        <w:trPr>
          <w:trHeight w:val="163"/>
        </w:trPr>
        <w:tc>
          <w:tcPr>
            <w:tcW w:w="9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Weighted-average volatility</w:t>
            </w: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27.78 %</w:t>
            </w:r>
          </w:p>
        </w:tc>
      </w:tr>
      <w:tr>
        <w:trPr>
          <w:trHeight w:val="168"/>
        </w:trPr>
        <w:tc>
          <w:tcPr>
            <w:tcW w:w="940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1.62 %</w:t>
            </w:r>
          </w:p>
        </w:tc>
      </w:tr>
      <w:tr>
        <w:trPr>
          <w:trHeight w:val="172"/>
        </w:trPr>
        <w:tc>
          <w:tcPr>
            <w:tcW w:w="9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3.11 %</w:t>
            </w:r>
          </w:p>
        </w:tc>
      </w:tr>
      <w:tr>
        <w:trPr>
          <w:trHeight w:val="168"/>
        </w:trPr>
        <w:tc>
          <w:tcPr>
            <w:tcW w:w="9400" w:type="dxa"/>
            <w:vAlign w:val="bottom"/>
          </w:tcPr>
          <w:p>
            <w:pPr>
              <w:ind w:left="20"/>
              <w:spacing w:after="0"/>
              <w:rPr>
                <w:sz w:val="20"/>
                <w:szCs w:val="20"/>
                <w:color w:val="auto"/>
              </w:rPr>
            </w:pPr>
            <w:r>
              <w:rPr>
                <w:rFonts w:ascii="Arial" w:cs="Arial" w:eastAsia="Arial" w:hAnsi="Arial"/>
                <w:sz w:val="13"/>
                <w:szCs w:val="13"/>
                <w:color w:val="auto"/>
              </w:rPr>
              <w:t>Expected life (years)</w:t>
            </w: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72"/>
        </w:trPr>
        <w:tc>
          <w:tcPr>
            <w:tcW w:w="9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fair value of options granted</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6.77</w:t>
            </w:r>
          </w:p>
        </w:tc>
      </w:tr>
    </w:tbl>
    <w:p>
      <w:pPr>
        <w:spacing w:after="0" w:line="99"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At September 30, 2022, the Company had $800 of unrecognized compensation expense related to 176,750 stock options originally scheduled to vest over a five-year period. The weighted average period over which compensation cost related to non-vested awards expected to be recognized was 1.4 years at September 30, 2022. At September 30, 2021, the Company had $1,083 of unrecognized compensation expense related to 240,150 stock options originally scheduled to vest over a five-year period. The weighted average period over which compensation cost related to non-vested awards expected to be recognized was 1.4 years at September 30,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20"/>
                <w:szCs w:val="20"/>
                <w:color w:val="auto"/>
              </w:rPr>
            </w:pPr>
            <w:r>
              <w:rPr>
                <w:rFonts w:ascii="Arial" w:cs="Arial" w:eastAsia="Arial" w:hAnsi="Arial"/>
                <w:sz w:val="13"/>
                <w:szCs w:val="13"/>
                <w:color w:val="auto"/>
              </w:rPr>
              <w:t>The table below presents restricted stock award activity and related information:</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Restricted</w:t>
            </w: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89"/>
              </w:rPr>
              <w:t>Weighted-</w:t>
            </w:r>
          </w:p>
        </w:tc>
        <w:tc>
          <w:tcPr>
            <w:tcW w:w="220" w:type="dxa"/>
            <w:vAlign w:val="bottom"/>
          </w:tcPr>
          <w:p>
            <w:pPr>
              <w:spacing w:after="0"/>
              <w:rPr>
                <w:sz w:val="12"/>
                <w:szCs w:val="12"/>
                <w:color w:val="auto"/>
              </w:rPr>
            </w:pPr>
          </w:p>
        </w:tc>
        <w:tc>
          <w:tcPr>
            <w:tcW w:w="1060" w:type="dxa"/>
            <w:vAlign w:val="bottom"/>
          </w:tcPr>
          <w:p>
            <w:pPr>
              <w:jc w:val="center"/>
              <w:ind w:right="156"/>
              <w:spacing w:after="0" w:line="143"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4"/>
        </w:trPr>
        <w:tc>
          <w:tcPr>
            <w:tcW w:w="704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280"/>
              <w:spacing w:after="0" w:line="128" w:lineRule="exact"/>
              <w:rPr>
                <w:sz w:val="20"/>
                <w:szCs w:val="20"/>
                <w:color w:val="auto"/>
              </w:rPr>
            </w:pPr>
            <w:r>
              <w:rPr>
                <w:rFonts w:ascii="Arial" w:cs="Arial" w:eastAsia="Arial" w:hAnsi="Arial"/>
                <w:sz w:val="13"/>
                <w:szCs w:val="13"/>
                <w:b w:val="1"/>
                <w:bCs w:val="1"/>
                <w:color w:val="auto"/>
                <w:w w:val="89"/>
              </w:rPr>
              <w:t>Average Grant</w:t>
            </w:r>
          </w:p>
        </w:tc>
        <w:tc>
          <w:tcPr>
            <w:tcW w:w="220" w:type="dxa"/>
            <w:vAlign w:val="bottom"/>
          </w:tcPr>
          <w:p>
            <w:pPr>
              <w:spacing w:after="0"/>
              <w:rPr>
                <w:sz w:val="5"/>
                <w:szCs w:val="5"/>
                <w:color w:val="auto"/>
              </w:rPr>
            </w:pPr>
          </w:p>
        </w:tc>
        <w:tc>
          <w:tcPr>
            <w:tcW w:w="1060" w:type="dxa"/>
            <w:vAlign w:val="bottom"/>
            <w:vMerge w:val="restart"/>
          </w:tcPr>
          <w:p>
            <w:pPr>
              <w:jc w:val="center"/>
              <w:ind w:right="136"/>
              <w:spacing w:after="0" w:line="128"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64"/>
        </w:trPr>
        <w:tc>
          <w:tcPr>
            <w:tcW w:w="7040" w:type="dxa"/>
            <w:vAlign w:val="bottom"/>
          </w:tcPr>
          <w:p>
            <w:pPr>
              <w:spacing w:after="0"/>
              <w:rPr>
                <w:sz w:val="5"/>
                <w:szCs w:val="5"/>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Stock Awards</w:t>
            </w:r>
          </w:p>
        </w:tc>
        <w:tc>
          <w:tcPr>
            <w:tcW w:w="2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Date Fair Value</w:t>
            </w:r>
          </w:p>
        </w:tc>
        <w:tc>
          <w:tcPr>
            <w:tcW w:w="220" w:type="dxa"/>
            <w:vAlign w:val="bottom"/>
          </w:tcPr>
          <w:p>
            <w:pPr>
              <w:spacing w:after="0"/>
              <w:rPr>
                <w:sz w:val="8"/>
                <w:szCs w:val="8"/>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66"/>
        </w:trPr>
        <w:tc>
          <w:tcPr>
            <w:tcW w:w="70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70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Non-vested at June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151,575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4,229</w:t>
            </w:r>
          </w:p>
        </w:tc>
        <w:tc>
          <w:tcPr>
            <w:tcW w:w="0" w:type="dxa"/>
            <w:vAlign w:val="bottom"/>
          </w:tcPr>
          <w:p>
            <w:pPr>
              <w:spacing w:after="0"/>
              <w:rPr>
                <w:sz w:val="1"/>
                <w:szCs w:val="1"/>
                <w:color w:val="auto"/>
              </w:rPr>
            </w:pPr>
          </w:p>
        </w:tc>
      </w:tr>
      <w:tr>
        <w:trPr>
          <w:trHeight w:val="168"/>
        </w:trPr>
        <w:tc>
          <w:tcPr>
            <w:tcW w:w="7040" w:type="dxa"/>
            <w:vAlign w:val="bottom"/>
          </w:tcPr>
          <w:p>
            <w:pPr>
              <w:ind w:left="100"/>
              <w:spacing w:after="0"/>
              <w:rPr>
                <w:sz w:val="20"/>
                <w:szCs w:val="20"/>
                <w:color w:val="auto"/>
              </w:rPr>
            </w:pPr>
            <w:r>
              <w:rPr>
                <w:rFonts w:ascii="Arial" w:cs="Arial" w:eastAsia="Arial" w:hAnsi="Arial"/>
                <w:sz w:val="13"/>
                <w:szCs w:val="13"/>
                <w:color w:val="auto"/>
              </w:rPr>
              <w:t>Vested</w:t>
            </w:r>
          </w:p>
        </w:tc>
        <w:tc>
          <w:tcPr>
            <w:tcW w:w="1260" w:type="dxa"/>
            <w:vAlign w:val="bottom"/>
          </w:tcPr>
          <w:p>
            <w:pPr>
              <w:jc w:val="right"/>
              <w:spacing w:after="0"/>
              <w:rPr>
                <w:sz w:val="20"/>
                <w:szCs w:val="20"/>
                <w:color w:val="auto"/>
              </w:rPr>
            </w:pPr>
            <w:r>
              <w:rPr>
                <w:rFonts w:ascii="Arial" w:cs="Arial" w:eastAsia="Arial" w:hAnsi="Arial"/>
                <w:sz w:val="13"/>
                <w:szCs w:val="13"/>
                <w:color w:val="auto"/>
              </w:rPr>
              <w:t>(8,918)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0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Non-vested at September 30,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139,657</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3,908</w:t>
            </w:r>
          </w:p>
        </w:tc>
        <w:tc>
          <w:tcPr>
            <w:tcW w:w="0" w:type="dxa"/>
            <w:vAlign w:val="bottom"/>
          </w:tcPr>
          <w:p>
            <w:pPr>
              <w:spacing w:after="0"/>
              <w:rPr>
                <w:sz w:val="1"/>
                <w:szCs w:val="1"/>
                <w:color w:val="auto"/>
              </w:rPr>
            </w:pPr>
          </w:p>
        </w:tc>
      </w:tr>
      <w:tr>
        <w:trPr>
          <w:trHeight w:val="63"/>
        </w:trPr>
        <w:tc>
          <w:tcPr>
            <w:tcW w:w="704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704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Non-vested at June 30, 2022</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135,910</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27.40</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2,345</w:t>
            </w:r>
          </w:p>
        </w:tc>
        <w:tc>
          <w:tcPr>
            <w:tcW w:w="0" w:type="dxa"/>
            <w:vAlign w:val="bottom"/>
          </w:tcPr>
          <w:p>
            <w:pPr>
              <w:spacing w:after="0"/>
              <w:rPr>
                <w:sz w:val="1"/>
                <w:szCs w:val="1"/>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Granted</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040" w:type="dxa"/>
            <w:vAlign w:val="bottom"/>
          </w:tcPr>
          <w:p>
            <w:pPr>
              <w:ind w:left="100"/>
              <w:spacing w:after="0"/>
              <w:rPr>
                <w:sz w:val="20"/>
                <w:szCs w:val="20"/>
                <w:color w:val="auto"/>
              </w:rPr>
            </w:pPr>
            <w:r>
              <w:rPr>
                <w:rFonts w:ascii="Arial" w:cs="Arial" w:eastAsia="Arial" w:hAnsi="Arial"/>
                <w:sz w:val="13"/>
                <w:szCs w:val="13"/>
                <w:color w:val="auto"/>
              </w:rPr>
              <w:t>Vested</w:t>
            </w:r>
          </w:p>
        </w:tc>
        <w:tc>
          <w:tcPr>
            <w:tcW w:w="1260" w:type="dxa"/>
            <w:vAlign w:val="bottom"/>
          </w:tcPr>
          <w:p>
            <w:pPr>
              <w:jc w:val="right"/>
              <w:spacing w:after="0"/>
              <w:rPr>
                <w:sz w:val="20"/>
                <w:szCs w:val="20"/>
                <w:color w:val="auto"/>
              </w:rPr>
            </w:pPr>
            <w:r>
              <w:rPr>
                <w:rFonts w:ascii="Arial" w:cs="Arial" w:eastAsia="Arial" w:hAnsi="Arial"/>
                <w:sz w:val="13"/>
                <w:szCs w:val="13"/>
                <w:color w:val="auto"/>
              </w:rPr>
              <w:t>(13,861)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27.11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0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Non-vested at September 30, 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129,635</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1,943</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table above includes non-vested performance-based restricted stock units totaling 22,843 and 23,662 at September 30, 2022 and 2021, respectively. Each issuance of these stock units is scheduled to vest over 3.0 years assuming the applicable dilutive EPS goals are met.</w:t>
      </w:r>
    </w:p>
    <w:p>
      <w:pPr>
        <w:spacing w:after="0" w:line="3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September 30, 2022, unrecognized compensation expense was $2,490 related to 129,635 shares of restricted stock originally scheduled to vest over three- and five-year periods. The weighted average period over which compensation cost related to non-vested awards is expected to be recognized was 1.6 years at September 30, 2022. At September 30, 2021, unrecognized compensation expense was $2,483 related to 139,657 shares of restricted stock originally scheduled to vest over three- and five-year periods. The weighted average period over which compensation cost related to non-vested awards is expected to be recognized was 1.5 years at September 30,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gridSpan w:val="3"/>
          </w:tcPr>
          <w:p>
            <w:pPr>
              <w:spacing w:after="0"/>
              <w:rPr>
                <w:sz w:val="20"/>
                <w:szCs w:val="20"/>
                <w:color w:val="auto"/>
              </w:rPr>
            </w:pPr>
            <w:r>
              <w:rPr>
                <w:rFonts w:ascii="Arial" w:cs="Arial" w:eastAsia="Arial" w:hAnsi="Arial"/>
                <w:sz w:val="13"/>
                <w:szCs w:val="13"/>
                <w:b w:val="1"/>
                <w:bCs w:val="1"/>
                <w:color w:val="auto"/>
              </w:rPr>
              <w:t>8.  Net Income per Share</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3"/>
          </w:tcPr>
          <w:p>
            <w:pPr>
              <w:spacing w:after="0"/>
              <w:rPr>
                <w:sz w:val="20"/>
                <w:szCs w:val="20"/>
                <w:color w:val="auto"/>
              </w:rPr>
            </w:pPr>
            <w:r>
              <w:rPr>
                <w:rFonts w:ascii="Arial" w:cs="Arial" w:eastAsia="Arial" w:hAnsi="Arial"/>
                <w:sz w:val="13"/>
                <w:szCs w:val="13"/>
                <w:color w:val="auto"/>
              </w:rPr>
              <w:t>The following table sets forth the computation of basic and diluted net income per common share for the periods indicated: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3"/>
                <w:szCs w:val="13"/>
                <w:b w:val="1"/>
                <w:bCs w:val="1"/>
                <w:color w:val="auto"/>
                <w:w w:val="92"/>
              </w:rPr>
              <w:t>Three Months Ended September 30,</w:t>
            </w:r>
          </w:p>
        </w:tc>
        <w:tc>
          <w:tcPr>
            <w:tcW w:w="0" w:type="dxa"/>
            <w:vAlign w:val="bottom"/>
          </w:tcPr>
          <w:p>
            <w:pPr>
              <w:spacing w:after="0"/>
              <w:rPr>
                <w:sz w:val="1"/>
                <w:szCs w:val="1"/>
                <w:color w:val="auto"/>
              </w:rPr>
            </w:pPr>
          </w:p>
        </w:tc>
      </w:tr>
      <w:tr>
        <w:trPr>
          <w:trHeight w:val="160"/>
        </w:trPr>
        <w:tc>
          <w:tcPr>
            <w:tcW w:w="2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73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2"/>
        </w:trPr>
        <w:tc>
          <w:tcPr>
            <w:tcW w:w="87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Numerator</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780" w:type="dxa"/>
            <w:vAlign w:val="bottom"/>
            <w:gridSpan w:val="3"/>
          </w:tcPr>
          <w:p>
            <w:pPr>
              <w:ind w:left="140"/>
              <w:spacing w:after="0"/>
              <w:rPr>
                <w:sz w:val="20"/>
                <w:szCs w:val="20"/>
                <w:color w:val="auto"/>
              </w:rPr>
            </w:pPr>
            <w:r>
              <w:rPr>
                <w:rFonts w:ascii="Arial" w:cs="Arial" w:eastAsia="Arial" w:hAnsi="Arial"/>
                <w:sz w:val="13"/>
                <w:szCs w:val="13"/>
                <w:color w:val="auto"/>
              </w:rPr>
              <w:t>Net income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9,199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10,527</w:t>
            </w:r>
          </w:p>
        </w:tc>
        <w:tc>
          <w:tcPr>
            <w:tcW w:w="0" w:type="dxa"/>
            <w:vAlign w:val="bottom"/>
          </w:tcPr>
          <w:p>
            <w:pPr>
              <w:spacing w:after="0"/>
              <w:rPr>
                <w:sz w:val="1"/>
                <w:szCs w:val="1"/>
                <w:color w:val="auto"/>
              </w:rPr>
            </w:pPr>
          </w:p>
        </w:tc>
      </w:tr>
      <w:tr>
        <w:trPr>
          <w:trHeight w:val="170"/>
        </w:trPr>
        <w:tc>
          <w:tcPr>
            <w:tcW w:w="87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Allocation of earnings to participating securities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8560" w:type="dxa"/>
            <w:vAlign w:val="bottom"/>
            <w:gridSpan w:val="2"/>
          </w:tcPr>
          <w:p>
            <w:pPr>
              <w:ind w:left="20"/>
              <w:spacing w:after="0"/>
              <w:rPr>
                <w:sz w:val="20"/>
                <w:szCs w:val="20"/>
                <w:color w:val="auto"/>
              </w:rPr>
            </w:pPr>
            <w:r>
              <w:rPr>
                <w:rFonts w:ascii="Arial" w:cs="Arial" w:eastAsia="Arial" w:hAnsi="Arial"/>
                <w:sz w:val="13"/>
                <w:szCs w:val="13"/>
                <w:color w:val="auto"/>
              </w:rPr>
              <w:t>Numerator for basic EPS - Net income available to common stockholders</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10,435</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780" w:type="dxa"/>
            <w:vAlign w:val="bottom"/>
            <w:gridSpan w:val="3"/>
            <w:shd w:val="clear" w:color="auto" w:fill="CCEEFF"/>
          </w:tcPr>
          <w:p>
            <w:pPr>
              <w:ind w:left="140"/>
              <w:spacing w:after="0" w:line="131" w:lineRule="exact"/>
              <w:rPr>
                <w:sz w:val="20"/>
                <w:szCs w:val="20"/>
                <w:color w:val="auto"/>
              </w:rPr>
            </w:pPr>
            <w:r>
              <w:rPr>
                <w:rFonts w:ascii="Arial" w:cs="Arial" w:eastAsia="Arial" w:hAnsi="Arial"/>
                <w:sz w:val="13"/>
                <w:szCs w:val="13"/>
                <w:color w:val="auto"/>
              </w:rPr>
              <w:t>Effect of dilutive securities</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560" w:type="dxa"/>
            <w:vAlign w:val="bottom"/>
            <w:gridSpan w:val="2"/>
          </w:tcPr>
          <w:p>
            <w:pPr>
              <w:ind w:left="20"/>
              <w:spacing w:after="0"/>
              <w:rPr>
                <w:sz w:val="20"/>
                <w:szCs w:val="20"/>
                <w:color w:val="auto"/>
              </w:rPr>
            </w:pPr>
            <w:r>
              <w:rPr>
                <w:rFonts w:ascii="Arial" w:cs="Arial" w:eastAsia="Arial" w:hAnsi="Arial"/>
                <w:sz w:val="13"/>
                <w:szCs w:val="13"/>
                <w:color w:val="auto"/>
              </w:rPr>
              <w:t>Dilutive effect of participating securities</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8"/>
        </w:trPr>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5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Numerator for diluted EPS</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10,437</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3"/>
            <w:vMerge w:val="restart"/>
          </w:tcPr>
          <w:p>
            <w:pPr>
              <w:ind w:left="20"/>
              <w:spacing w:after="0" w:line="147" w:lineRule="exact"/>
              <w:rPr>
                <w:sz w:val="20"/>
                <w:szCs w:val="20"/>
                <w:color w:val="auto"/>
              </w:rPr>
            </w:pPr>
            <w:r>
              <w:rPr>
                <w:rFonts w:ascii="Arial" w:cs="Arial" w:eastAsia="Arial" w:hAnsi="Arial"/>
                <w:sz w:val="13"/>
                <w:szCs w:val="13"/>
                <w:b w:val="1"/>
                <w:bCs w:val="1"/>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7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8780" w:type="dxa"/>
            <w:vAlign w:val="bottom"/>
            <w:gridSpan w:val="3"/>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7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Weighted-average common shares outstanding - basic</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14,988,006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15,761,247</w:t>
            </w:r>
          </w:p>
        </w:tc>
        <w:tc>
          <w:tcPr>
            <w:tcW w:w="0" w:type="dxa"/>
            <w:vAlign w:val="bottom"/>
          </w:tcPr>
          <w:p>
            <w:pPr>
              <w:spacing w:after="0"/>
              <w:rPr>
                <w:sz w:val="1"/>
                <w:szCs w:val="1"/>
                <w:color w:val="auto"/>
              </w:rPr>
            </w:pPr>
          </w:p>
        </w:tc>
      </w:tr>
      <w:tr>
        <w:trPr>
          <w:trHeight w:val="168"/>
        </w:trPr>
        <w:tc>
          <w:tcPr>
            <w:tcW w:w="878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Dilutive effect of assumed exercises of stock options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142,756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385,364</w:t>
            </w:r>
          </w:p>
        </w:tc>
        <w:tc>
          <w:tcPr>
            <w:tcW w:w="0" w:type="dxa"/>
            <w:vAlign w:val="bottom"/>
          </w:tcPr>
          <w:p>
            <w:pPr>
              <w:spacing w:after="0"/>
              <w:rPr>
                <w:sz w:val="1"/>
                <w:szCs w:val="1"/>
                <w:color w:val="auto"/>
              </w:rPr>
            </w:pPr>
          </w:p>
        </w:tc>
      </w:tr>
      <w:tr>
        <w:trPr>
          <w:trHeight w:val="188"/>
        </w:trPr>
        <w:tc>
          <w:tcPr>
            <w:tcW w:w="8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Weighted-average common shares outstanding - diluted</w:t>
            </w: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15,130,762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16,146,611</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3"/>
                <w:szCs w:val="13"/>
                <w:b w:val="1"/>
                <w:bCs w:val="1"/>
                <w:color w:val="auto"/>
              </w:rPr>
              <w:t>Net income per share - basic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780" w:type="dxa"/>
            <w:vAlign w:val="bottom"/>
            <w:gridSpan w:val="3"/>
            <w:vMerge w:val="continue"/>
          </w:tcPr>
          <w:p>
            <w:pPr>
              <w:spacing w:after="0"/>
              <w:rPr>
                <w:sz w:val="11"/>
                <w:szCs w:val="11"/>
                <w:color w:val="auto"/>
              </w:rPr>
            </w:pPr>
          </w:p>
        </w:tc>
        <w:tc>
          <w:tcPr>
            <w:tcW w:w="180" w:type="dxa"/>
            <w:vAlign w:val="bottom"/>
          </w:tcPr>
          <w:p>
            <w:pPr>
              <w:jc w:val="right"/>
              <w:ind w:right="36"/>
              <w:spacing w:after="0" w:line="130"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line="130" w:lineRule="exact"/>
              <w:rPr>
                <w:sz w:val="20"/>
                <w:szCs w:val="20"/>
                <w:color w:val="auto"/>
              </w:rPr>
            </w:pPr>
            <w:r>
              <w:rPr>
                <w:rFonts w:ascii="Arial" w:cs="Arial" w:eastAsia="Arial" w:hAnsi="Arial"/>
                <w:sz w:val="13"/>
                <w:szCs w:val="13"/>
                <w:color w:val="auto"/>
              </w:rPr>
              <w:t>0.61</w:t>
            </w:r>
          </w:p>
        </w:tc>
        <w:tc>
          <w:tcPr>
            <w:tcW w:w="100" w:type="dxa"/>
            <w:vAlign w:val="bottom"/>
          </w:tcPr>
          <w:p>
            <w:pPr>
              <w:spacing w:after="0"/>
              <w:rPr>
                <w:sz w:val="11"/>
                <w:szCs w:val="11"/>
                <w:color w:val="auto"/>
              </w:rPr>
            </w:pPr>
          </w:p>
        </w:tc>
        <w:tc>
          <w:tcPr>
            <w:tcW w:w="280" w:type="dxa"/>
            <w:vAlign w:val="bottom"/>
          </w:tcPr>
          <w:p>
            <w:pPr>
              <w:jc w:val="right"/>
              <w:ind w:right="136"/>
              <w:spacing w:after="0" w:line="130"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0" w:lineRule="exact"/>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172"/>
        </w:trPr>
        <w:tc>
          <w:tcPr>
            <w:tcW w:w="878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per share - diluted</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Potential dilutive shares are excluded from the computation of earnings per share if their effect is anti-dilutive. There were 550,400 and 446,250 of stock options that were anti-dilutive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ind w:left="220" w:hanging="215"/>
        <w:spacing w:after="0"/>
        <w:tabs>
          <w:tab w:leader="none" w:pos="22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Commitments and Contingencies</w:t>
      </w:r>
    </w:p>
    <w:p>
      <w:pPr>
        <w:spacing w:after="0" w:line="4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u w:val="single" w:color="auto"/>
          <w:color w:val="auto"/>
        </w:rPr>
        <w:t>Loan Commitments</w:t>
      </w:r>
      <w:r>
        <w:rPr>
          <w:rFonts w:ascii="Arial" w:cs="Arial" w:eastAsia="Arial" w:hAnsi="Arial"/>
          <w:sz w:val="11"/>
          <w:szCs w:val="11"/>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September 30, 2022 and June 30, 2022, respectively, loan commitments (excluding $301,336 and $312,893 of undisbursed portions of construction loans) totaled $130,492 and $104,745 of which $8,664 and $23,159 were variable rate commitments and $121,828 and $81,586 were fixed rate commitments. The fixed rate loans had interest rates ranging from 1.59% to 8.78% at September 30, 2022 and 1.41% to 9.00% at June 30, 2022, and terms ranging from three to 30 years. Pre-approved but unused lines of credit (principally second mortgage home equity loans and overdraft protection loans) totaled $511,398 and $485,239 at September 30, 2022 and June 30, 2022, respectively. These amounts represent the Company's exposure to credit risk, and in the opinion of management have no more than the normal lending risk that the Company commits to its borrowers. 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on a “best efforts” basis, which do not meet the definition of a derivative instrument. The fair value of these interest rate lock commitments was not material at September 30, 2022 or June 30, 2022.</w:t>
      </w:r>
    </w:p>
    <w:p>
      <w:pPr>
        <w:spacing w:after="0" w:line="42"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Company grants construction and permanent loans collateralized primarily by residential and commercial real estate to customers throughout its primary market areas. In addition, the Company grants equipment financing throughout the United States and municipal financing to customers throughout North Carolina, South Carolina and, to a lesser extent, Virginia. The Company’s loan portfolio can be affected by the general economic conditions within these market areas. Management believes that the Company has no significant concentration of credit in the loan portfolio.</w:t>
      </w:r>
    </w:p>
    <w:p>
      <w:pPr>
        <w:spacing w:after="0" w:line="4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u w:val="single" w:color="auto"/>
          <w:color w:val="auto"/>
        </w:rPr>
        <w:t>Restrictions on Cash</w:t>
      </w:r>
      <w:r>
        <w:rPr>
          <w:rFonts w:ascii="Arial" w:cs="Arial" w:eastAsia="Arial" w:hAnsi="Arial"/>
          <w:sz w:val="13"/>
          <w:szCs w:val="13"/>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5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u w:val="single" w:color="auto"/>
          <w:color w:val="auto"/>
        </w:rPr>
        <w:t>Guarantees</w:t>
      </w:r>
      <w:r>
        <w:rPr>
          <w:rFonts w:ascii="Arial" w:cs="Arial" w:eastAsia="Arial" w:hAnsi="Arial"/>
          <w:sz w:val="12"/>
          <w:szCs w:val="12"/>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September 30, 2022 and June 30, 2022 were $19,760 and $18,362, respectively. There was no liability recorded for these letters of credit at September 30, 2022 or June 30, 2022, respectively.</w:t>
      </w:r>
    </w:p>
    <w:p>
      <w:pPr>
        <w:spacing w:after="0" w:line="46" w:lineRule="exact"/>
        <w:rPr>
          <w:sz w:val="20"/>
          <w:szCs w:val="20"/>
          <w:color w:val="auto"/>
        </w:rPr>
      </w:pPr>
    </w:p>
    <w:p>
      <w:pPr>
        <w:jc w:val="both"/>
        <w:spacing w:after="0" w:line="325" w:lineRule="auto"/>
        <w:rPr>
          <w:sz w:val="20"/>
          <w:szCs w:val="20"/>
          <w:color w:val="auto"/>
        </w:rPr>
      </w:pPr>
      <w:r>
        <w:rPr>
          <w:rFonts w:ascii="Arial" w:cs="Arial" w:eastAsia="Arial" w:hAnsi="Arial"/>
          <w:sz w:val="11"/>
          <w:szCs w:val="11"/>
          <w:u w:val="single" w:color="auto"/>
          <w:color w:val="auto"/>
        </w:rPr>
        <w:t>Litigation</w:t>
      </w:r>
      <w:r>
        <w:rPr>
          <w:rFonts w:ascii="Arial" w:cs="Arial" w:eastAsia="Arial" w:hAnsi="Arial"/>
          <w:sz w:val="11"/>
          <w:szCs w:val="11"/>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Arial" w:cs="Arial" w:eastAsia="Arial" w:hAnsi="Arial"/>
          <w:sz w:val="11"/>
          <w:szCs w:val="11"/>
          <w:b w:val="1"/>
          <w:bCs w:val="1"/>
          <w:color w:val="auto"/>
        </w:rPr>
        <w:t>.</w:t>
      </w:r>
    </w:p>
    <w:p>
      <w:pPr>
        <w:spacing w:after="0" w:line="76" w:lineRule="exact"/>
        <w:rPr>
          <w:sz w:val="20"/>
          <w:szCs w:val="20"/>
          <w:color w:val="auto"/>
        </w:rPr>
      </w:pPr>
    </w:p>
    <w:p>
      <w:pPr>
        <w:ind w:left="300" w:hanging="295"/>
        <w:spacing w:after="0"/>
        <w:tabs>
          <w:tab w:leader="none" w:pos="3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Fair Value of Financial Instruments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Fair value is the exchange price that would be received for an asset or paid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72"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1"/>
          <w:szCs w:val="11"/>
          <w:color w:val="auto"/>
        </w:rPr>
        <w:t>Valuation is based upon quoted prices for identical instruments traded in active markets.</w:t>
      </w:r>
    </w:p>
    <w:p>
      <w:pPr>
        <w:spacing w:after="0" w:line="41" w:lineRule="exact"/>
        <w:rPr>
          <w:sz w:val="20"/>
          <w:szCs w:val="20"/>
          <w:color w:val="auto"/>
        </w:rPr>
      </w:pPr>
    </w:p>
    <w:p>
      <w:pPr>
        <w:ind w:left="900" w:hanging="636"/>
        <w:spacing w:after="0" w:line="274" w:lineRule="auto"/>
        <w:tabs>
          <w:tab w:leader="none" w:pos="880" w:val="left"/>
        </w:tabs>
        <w:rPr>
          <w:sz w:val="20"/>
          <w:szCs w:val="20"/>
          <w:color w:val="auto"/>
        </w:rPr>
      </w:pPr>
      <w:r>
        <w:rPr>
          <w:rFonts w:ascii="Arial" w:cs="Arial" w:eastAsia="Arial" w:hAnsi="Arial"/>
          <w:sz w:val="13"/>
          <w:szCs w:val="13"/>
          <w:color w:val="auto"/>
        </w:rPr>
        <w:t>Level 2:</w:t>
        <w:tab/>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9" w:lineRule="exact"/>
        <w:rPr>
          <w:sz w:val="20"/>
          <w:szCs w:val="20"/>
          <w:color w:val="auto"/>
        </w:rPr>
      </w:pPr>
    </w:p>
    <w:p>
      <w:pPr>
        <w:ind w:left="880" w:hanging="636"/>
        <w:spacing w:after="0" w:line="257" w:lineRule="auto"/>
        <w:tabs>
          <w:tab w:leader="none" w:pos="860" w:val="left"/>
        </w:tabs>
        <w:rPr>
          <w:sz w:val="20"/>
          <w:szCs w:val="20"/>
          <w:color w:val="auto"/>
        </w:rPr>
      </w:pPr>
      <w:r>
        <w:rPr>
          <w:rFonts w:ascii="Arial" w:cs="Arial" w:eastAsia="Arial" w:hAnsi="Arial"/>
          <w:sz w:val="13"/>
          <w:szCs w:val="13"/>
          <w:color w:val="auto"/>
        </w:rPr>
        <w:t>Level 3:</w:t>
        <w:tab/>
        <w:t>Valuation is generated from model-based techniques that use at least one significant assumption not observable in the market. These unobservable assumptions reflect estimates of assumptions that market participants would use in pricing the asset. Valuation techniques include use of option pricing models, discounted cash flow models and similar techniques.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methods of determining the fair value of assets and liabilities presented in this note are consistent with the methodologies disclosed in Note 19 of the 2022 Form 10-K.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Assets Recorded at Fair Value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financial assets measured at fair value on a recurring basis at the dates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September 30, 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3</w:t>
            </w:r>
          </w:p>
        </w:tc>
      </w:tr>
      <w:tr>
        <w:trPr>
          <w:trHeight w:val="16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562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91,507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91,507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47,498</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47,498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r>
      <w:tr>
        <w:trPr>
          <w:trHeight w:val="183"/>
        </w:trPr>
        <w:tc>
          <w:tcPr>
            <w:tcW w:w="56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161,741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161,741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2"/>
              </w:rPr>
              <w:t>June 30, 2022</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Level 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w w:val="99"/>
              </w:rPr>
              <w:t>Level 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3</w:t>
            </w:r>
          </w:p>
        </w:tc>
      </w:tr>
      <w:tr>
        <w:trPr>
          <w:trHeight w:val="16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agencies</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562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47,233</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47,233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55,728</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r>
      <w:tr>
        <w:trPr>
          <w:trHeight w:val="183"/>
        </w:trPr>
        <w:tc>
          <w:tcPr>
            <w:tcW w:w="56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126,978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There were no transfers between levels during the three months ended September 30, 2022 and 2021.</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financial assets measured at fair value on a non-recurring basis at the dates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580"/>
              <w:spacing w:after="0"/>
              <w:rPr>
                <w:sz w:val="20"/>
                <w:szCs w:val="20"/>
                <w:color w:val="auto"/>
              </w:rPr>
            </w:pPr>
            <w:r>
              <w:rPr>
                <w:rFonts w:ascii="Arial" w:cs="Arial" w:eastAsia="Arial" w:hAnsi="Arial"/>
                <w:sz w:val="13"/>
                <w:szCs w:val="13"/>
                <w:b w:val="1"/>
                <w:bCs w:val="1"/>
                <w:color w:val="auto"/>
              </w:rPr>
              <w:t>September 30, 2022</w:t>
            </w: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3"/>
                <w:szCs w:val="13"/>
                <w:color w:val="auto"/>
              </w:rPr>
            </w:pPr>
          </w:p>
        </w:tc>
        <w:tc>
          <w:tcPr>
            <w:tcW w:w="1420" w:type="dxa"/>
            <w:vAlign w:val="bottom"/>
            <w:gridSpan w:val="3"/>
          </w:tcPr>
          <w:p>
            <w:pPr>
              <w:ind w:left="200"/>
              <w:spacing w:after="0"/>
              <w:rPr>
                <w:sz w:val="20"/>
                <w:szCs w:val="20"/>
                <w:color w:val="auto"/>
              </w:rPr>
            </w:pPr>
            <w:r>
              <w:rPr>
                <w:rFonts w:ascii="Arial" w:cs="Arial" w:eastAsia="Arial" w:hAnsi="Arial"/>
                <w:sz w:val="13"/>
                <w:szCs w:val="13"/>
                <w:b w:val="1"/>
                <w:bCs w:val="1"/>
                <w:color w:val="auto"/>
              </w:rPr>
              <w:t>Level 1</w:t>
            </w:r>
          </w:p>
        </w:tc>
        <w:tc>
          <w:tcPr>
            <w:tcW w:w="1420" w:type="dxa"/>
            <w:vAlign w:val="bottom"/>
            <w:gridSpan w:val="3"/>
          </w:tcPr>
          <w:p>
            <w:pPr>
              <w:ind w:left="200"/>
              <w:spacing w:after="0"/>
              <w:rPr>
                <w:sz w:val="20"/>
                <w:szCs w:val="20"/>
                <w:color w:val="auto"/>
              </w:rPr>
            </w:pPr>
            <w:r>
              <w:rPr>
                <w:rFonts w:ascii="Arial" w:cs="Arial" w:eastAsia="Arial" w:hAnsi="Arial"/>
                <w:sz w:val="13"/>
                <w:szCs w:val="13"/>
                <w:b w:val="1"/>
                <w:bCs w:val="1"/>
                <w:color w:val="auto"/>
              </w:rPr>
              <w:t>Level 2</w:t>
            </w:r>
          </w:p>
        </w:tc>
        <w:tc>
          <w:tcPr>
            <w:tcW w:w="1080" w:type="dxa"/>
            <w:vAlign w:val="bottom"/>
          </w:tcPr>
          <w:p>
            <w:pPr>
              <w:jc w:val="right"/>
              <w:ind w:right="416"/>
              <w:spacing w:after="0"/>
              <w:rPr>
                <w:sz w:val="20"/>
                <w:szCs w:val="20"/>
                <w:color w:val="auto"/>
              </w:rPr>
            </w:pPr>
            <w:r>
              <w:rPr>
                <w:rFonts w:ascii="Arial" w:cs="Arial" w:eastAsia="Arial" w:hAnsi="Arial"/>
                <w:sz w:val="13"/>
                <w:szCs w:val="13"/>
                <w:b w:val="1"/>
                <w:bCs w:val="1"/>
                <w:color w:val="auto"/>
              </w:rPr>
              <w:t>Level 3</w:t>
            </w:r>
          </w:p>
        </w:tc>
      </w:tr>
      <w:tr>
        <w:trPr>
          <w:trHeight w:val="152"/>
        </w:trPr>
        <w:tc>
          <w:tcPr>
            <w:tcW w:w="56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Collateral dependent loans</w:t>
            </w: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68"/>
        </w:trPr>
        <w:tc>
          <w:tcPr>
            <w:tcW w:w="5620" w:type="dxa"/>
            <w:vAlign w:val="bottom"/>
          </w:tcPr>
          <w:p>
            <w:pPr>
              <w:ind w:left="100"/>
              <w:spacing w:after="0"/>
              <w:rPr>
                <w:sz w:val="20"/>
                <w:szCs w:val="20"/>
                <w:color w:val="auto"/>
              </w:rPr>
            </w:pPr>
            <w:r>
              <w:rPr>
                <w:rFonts w:ascii="Arial" w:cs="Arial" w:eastAsia="Arial" w:hAnsi="Arial"/>
                <w:sz w:val="13"/>
                <w:szCs w:val="13"/>
                <w:b w:val="1"/>
                <w:bCs w:val="1"/>
                <w:color w:val="auto"/>
              </w:rPr>
              <w:t>Commercial loans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 industrial</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   $</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3"/>
                <w:szCs w:val="13"/>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w w:val="92"/>
              </w:rPr>
              <w:t>June 30, 2022</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3"/>
                <w:szCs w:val="13"/>
                <w:color w:val="auto"/>
              </w:rPr>
            </w:pPr>
          </w:p>
        </w:tc>
        <w:tc>
          <w:tcPr>
            <w:tcW w:w="1540" w:type="dxa"/>
            <w:vAlign w:val="bottom"/>
            <w:gridSpan w:val="3"/>
          </w:tcPr>
          <w:p>
            <w:pPr>
              <w:ind w:left="200"/>
              <w:spacing w:after="0"/>
              <w:rPr>
                <w:sz w:val="20"/>
                <w:szCs w:val="20"/>
                <w:color w:val="auto"/>
              </w:rPr>
            </w:pPr>
            <w:r>
              <w:rPr>
                <w:rFonts w:ascii="Arial" w:cs="Arial" w:eastAsia="Arial" w:hAnsi="Arial"/>
                <w:sz w:val="13"/>
                <w:szCs w:val="13"/>
                <w:b w:val="1"/>
                <w:bCs w:val="1"/>
                <w:color w:val="auto"/>
              </w:rPr>
              <w:t>Level 1</w:t>
            </w:r>
          </w:p>
        </w:tc>
        <w:tc>
          <w:tcPr>
            <w:tcW w:w="130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2</w:t>
            </w:r>
          </w:p>
        </w:tc>
        <w:tc>
          <w:tcPr>
            <w:tcW w:w="1080" w:type="dxa"/>
            <w:vAlign w:val="bottom"/>
          </w:tcPr>
          <w:p>
            <w:pPr>
              <w:jc w:val="right"/>
              <w:ind w:right="416"/>
              <w:spacing w:after="0"/>
              <w:rPr>
                <w:sz w:val="20"/>
                <w:szCs w:val="20"/>
                <w:color w:val="auto"/>
              </w:rPr>
            </w:pPr>
            <w:r>
              <w:rPr>
                <w:rFonts w:ascii="Arial" w:cs="Arial" w:eastAsia="Arial" w:hAnsi="Arial"/>
                <w:sz w:val="13"/>
                <w:szCs w:val="13"/>
                <w:b w:val="1"/>
                <w:bCs w:val="1"/>
                <w:color w:val="auto"/>
              </w:rPr>
              <w:t>Level 3</w:t>
            </w:r>
          </w:p>
        </w:tc>
      </w:tr>
      <w:tr>
        <w:trPr>
          <w:trHeight w:val="152"/>
        </w:trPr>
        <w:tc>
          <w:tcPr>
            <w:tcW w:w="56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Collateral dependent loans</w:t>
            </w: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68"/>
        </w:trPr>
        <w:tc>
          <w:tcPr>
            <w:tcW w:w="5620" w:type="dxa"/>
            <w:vAlign w:val="bottom"/>
          </w:tcPr>
          <w:p>
            <w:pPr>
              <w:ind w:left="100"/>
              <w:spacing w:after="0"/>
              <w:rPr>
                <w:sz w:val="20"/>
                <w:szCs w:val="20"/>
                <w:color w:val="auto"/>
              </w:rPr>
            </w:pPr>
            <w:r>
              <w:rPr>
                <w:rFonts w:ascii="Arial" w:cs="Arial" w:eastAsia="Arial" w:hAnsi="Arial"/>
                <w:sz w:val="13"/>
                <w:szCs w:val="13"/>
                <w:b w:val="1"/>
                <w:bCs w:val="1"/>
                <w:color w:val="auto"/>
              </w:rPr>
              <w:t>Commercial loans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 industrial</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54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   $</w:t>
            </w:r>
          </w:p>
        </w:tc>
        <w:tc>
          <w:tcPr>
            <w:tcW w:w="1300" w:type="dxa"/>
            <w:vAlign w:val="bottom"/>
            <w:gridSpan w:val="3"/>
            <w:shd w:val="clear" w:color="auto" w:fill="CCEEFF"/>
          </w:tcPr>
          <w:p>
            <w:pPr>
              <w:ind w:left="760"/>
              <w:spacing w:after="0"/>
              <w:rPr>
                <w:sz w:val="20"/>
                <w:szCs w:val="20"/>
                <w:color w:val="auto"/>
              </w:rPr>
            </w:pPr>
            <w:r>
              <w:rPr>
                <w:rFonts w:ascii="Arial" w:cs="Arial" w:eastAsia="Arial" w:hAnsi="Arial"/>
                <w:sz w:val="13"/>
                <w:szCs w:val="13"/>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r>
    </w:tbl>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gridSpan w:val="16"/>
          </w:tcPr>
          <w:p>
            <w:pPr>
              <w:spacing w:after="0"/>
              <w:rPr>
                <w:sz w:val="20"/>
                <w:szCs w:val="20"/>
                <w:color w:val="auto"/>
              </w:rPr>
            </w:pPr>
            <w:r>
              <w:rPr>
                <w:rFonts w:ascii="Arial" w:cs="Arial" w:eastAsia="Arial" w:hAnsi="Arial"/>
                <w:sz w:val="13"/>
                <w:szCs w:val="13"/>
                <w:color w:val="auto"/>
                <w:w w:val="94"/>
              </w:rPr>
              <w:t>The stated carrying value and estimated fair value amounts of financial instruments as of September 30, 2022 and June 30, 2022, are summarized below:</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5"/>
              </w:rPr>
              <w:t>September 30, 2022</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97"/>
              </w:rPr>
              <w:t>Carrying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tcPr>
          <w:p>
            <w:pPr>
              <w:jc w:val="right"/>
              <w:ind w:right="540"/>
              <w:spacing w:after="0" w:line="120"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Level 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Value</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1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94,159</w:t>
            </w:r>
          </w:p>
        </w:tc>
        <w:tc>
          <w:tcPr>
            <w:tcW w:w="40" w:type="dxa"/>
            <w:vAlign w:val="bottom"/>
          </w:tcPr>
          <w:p>
            <w:pPr>
              <w:spacing w:after="0"/>
              <w:rPr>
                <w:sz w:val="14"/>
                <w:szCs w:val="14"/>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94,159</w:t>
            </w:r>
          </w:p>
        </w:tc>
        <w:tc>
          <w:tcPr>
            <w:tcW w:w="20" w:type="dxa"/>
            <w:vAlign w:val="bottom"/>
          </w:tcPr>
          <w:p>
            <w:pPr>
              <w:spacing w:after="0"/>
              <w:rPr>
                <w:sz w:val="14"/>
                <w:szCs w:val="1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94,159</w:t>
            </w:r>
          </w:p>
        </w:tc>
        <w:tc>
          <w:tcPr>
            <w:tcW w:w="40" w:type="dxa"/>
            <w:vAlign w:val="bottom"/>
          </w:tcPr>
          <w:p>
            <w:pPr>
              <w:spacing w:after="0"/>
              <w:rPr>
                <w:sz w:val="14"/>
                <w:szCs w:val="14"/>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Certificates of deposit in other banks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27,535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27,535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27,535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securities available for sale</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161,741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161,741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Loans held for sale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76,252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77,513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77,513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2,829,482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2,756,169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2,756,169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FHLB and FRB stock</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9,404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840"/>
              <w:spacing w:after="0"/>
              <w:rPr>
                <w:sz w:val="20"/>
                <w:szCs w:val="20"/>
                <w:color w:val="auto"/>
              </w:rPr>
            </w:pPr>
            <w:r>
              <w:rPr>
                <w:rFonts w:ascii="Arial" w:cs="Arial" w:eastAsia="Arial" w:hAnsi="Arial"/>
                <w:sz w:val="13"/>
                <w:szCs w:val="13"/>
                <w:color w:val="auto"/>
                <w:w w:val="92"/>
              </w:rPr>
              <w:t>N/A</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80"/>
              <w:spacing w:after="0"/>
              <w:rPr>
                <w:sz w:val="20"/>
                <w:szCs w:val="20"/>
                <w:color w:val="auto"/>
              </w:rPr>
            </w:pPr>
            <w:r>
              <w:rPr>
                <w:rFonts w:ascii="Arial" w:cs="Arial" w:eastAsia="Arial" w:hAnsi="Arial"/>
                <w:sz w:val="13"/>
                <w:szCs w:val="13"/>
                <w:color w:val="auto"/>
              </w:rPr>
              <w:t>N/A</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840"/>
              <w:spacing w:after="0"/>
              <w:rPr>
                <w:sz w:val="20"/>
                <w:szCs w:val="20"/>
                <w:color w:val="auto"/>
              </w:rPr>
            </w:pPr>
            <w:r>
              <w:rPr>
                <w:rFonts w:ascii="Arial" w:cs="Arial" w:eastAsia="Arial" w:hAnsi="Arial"/>
                <w:sz w:val="13"/>
                <w:szCs w:val="13"/>
                <w:color w:val="auto"/>
                <w:w w:val="92"/>
              </w:rPr>
              <w:t>N/A</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SBIC investments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Accrued interest receivable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9,667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9,667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8,890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Noninterest-bearing and NOW deposits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1,431,101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1,431,101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1,431,101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Money market accounts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960,150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960,150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960,150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Savings accounts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240,412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240,412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240,412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Certificates of deposit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471,005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462,500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462,500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Accrued interest payable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2"/>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June 30, 2022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w w:val="93"/>
              </w:rPr>
              <w:t>Carrying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tcPr>
          <w:p>
            <w:pPr>
              <w:ind w:left="240"/>
              <w:spacing w:after="0" w:line="120"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0"/>
              </w:rPr>
              <w:t>Level 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16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26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105,119</w:t>
            </w:r>
          </w:p>
        </w:tc>
        <w:tc>
          <w:tcPr>
            <w:tcW w:w="40" w:type="dxa"/>
            <w:vAlign w:val="bottom"/>
          </w:tcPr>
          <w:p>
            <w:pPr>
              <w:spacing w:after="0"/>
              <w:rPr>
                <w:sz w:val="14"/>
                <w:szCs w:val="14"/>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105,119</w:t>
            </w:r>
          </w:p>
        </w:tc>
        <w:tc>
          <w:tcPr>
            <w:tcW w:w="20" w:type="dxa"/>
            <w:vAlign w:val="bottom"/>
          </w:tcPr>
          <w:p>
            <w:pPr>
              <w:spacing w:after="0"/>
              <w:rPr>
                <w:sz w:val="14"/>
                <w:szCs w:val="14"/>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105,119</w:t>
            </w:r>
          </w:p>
        </w:tc>
        <w:tc>
          <w:tcPr>
            <w:tcW w:w="40" w:type="dxa"/>
            <w:vAlign w:val="bottom"/>
          </w:tcPr>
          <w:p>
            <w:pPr>
              <w:spacing w:after="0"/>
              <w:rPr>
                <w:sz w:val="14"/>
                <w:szCs w:val="14"/>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194,427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Certificates of deposit in other banks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23,551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23,551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 securities available for sale</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Loans held for sale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79,307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80,489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80,489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2,734,605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2,687,293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2,687,293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FHLB and FRB stock</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9,326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N/A</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Arial" w:cs="Arial" w:eastAsia="Arial" w:hAnsi="Arial"/>
                <w:sz w:val="13"/>
                <w:szCs w:val="13"/>
                <w:color w:val="auto"/>
              </w:rPr>
              <w:t>N/A</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SBIC investments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8,573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8,573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Noninterest-bearing and NOW deposits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1,400,727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1,400,727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1,400,727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969,661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Savings accounts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238,197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238,197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238,197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Certificates of deposit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491,176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485,452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had off-balance sheet financial commitments, which included approximately $962,986 and $921,239 of commitments to originate loans, undisbursed portions of construction loans, unused lines of credit, and standby letters of credit at September 30, 2022 and June 30, 2022, respectively (see "Note 9 – Commitments and Contingencies"). Since these commitments are based on current rates, the carrying amount approximates the fair value.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31" w:name="page32"/>
    <w:bookmarkEnd w:id="31"/>
    <w:p>
      <w:pPr>
        <w:spacing w:after="0"/>
        <w:tabs>
          <w:tab w:leader="none" w:pos="5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In November 2020, the SEC adopted amendments to Regulation S-K to eliminate certain disclosure requirements and to revise several others to make the disclosures provided in the management's discussion and analysis section more useful for investors. When providing a discussion and analysis of interim period results, the amendments provide a registrant with the option to discuss its interim results by comparing its most recent quarter to the immediately preceding quarter rather than to the same quarter of the prior year. The Company elected to exercise this option as it believes that the comparison of current quarter results to a linked quarter, rather than the prior year comparable quarter, more accurately reflects management's perspective of the organization and its results. In the first quarter of fiscal year 2023, which is the first period of transition, the Company has provided comparisons to both the immediately preceding quarter and the comparable quarter of the prior year, as required in the amendments.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The factors that could result in material differentiation include, but are not limited to:</w:t>
      </w:r>
    </w:p>
    <w:p>
      <w:pPr>
        <w:spacing w:after="0" w:line="41" w:lineRule="exact"/>
        <w:rPr>
          <w:sz w:val="20"/>
          <w:szCs w:val="20"/>
          <w:color w:val="auto"/>
        </w:rPr>
      </w:pPr>
    </w:p>
    <w:p>
      <w:pPr>
        <w:jc w:val="both"/>
        <w:ind w:left="260" w:hanging="255"/>
        <w:spacing w:after="0" w:line="256" w:lineRule="auto"/>
        <w:tabs>
          <w:tab w:leader="none" w:pos="25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remaining effect of the COVID-19 pandemic, including on our credit quality and business operations, as well as its impact on general economic and financial market conditions and other uncertainties resulting from the COVID-19 pandemic, such as the extent and remaining duration of the impact on public health, the U.S. and global economies, and consumer and corporate customers, including economic activity, employment levels, labor shortages and market liquidity, both nationally and in our market areas;</w:t>
      </w:r>
    </w:p>
    <w:p>
      <w:pPr>
        <w:spacing w:after="0" w:line="30" w:lineRule="exact"/>
        <w:rPr>
          <w:rFonts w:ascii="Arial" w:cs="Arial" w:eastAsia="Arial" w:hAnsi="Arial"/>
          <w:sz w:val="13"/>
          <w:szCs w:val="13"/>
          <w:color w:val="auto"/>
        </w:rPr>
      </w:pPr>
    </w:p>
    <w:p>
      <w:pPr>
        <w:ind w:left="260" w:hanging="255"/>
        <w:spacing w:after="0" w:line="295" w:lineRule="auto"/>
        <w:tabs>
          <w:tab w:leader="none" w:pos="251" w:val="left"/>
        </w:tabs>
        <w:numPr>
          <w:ilvl w:val="0"/>
          <w:numId w:val="10"/>
        </w:numPr>
        <w:rPr>
          <w:rFonts w:ascii="Arial" w:cs="Arial" w:eastAsia="Arial" w:hAnsi="Arial"/>
          <w:sz w:val="12"/>
          <w:szCs w:val="12"/>
          <w:color w:val="auto"/>
        </w:rPr>
      </w:pPr>
      <w:r>
        <w:rPr>
          <w:rFonts w:ascii="Arial" w:cs="Arial" w:eastAsia="Arial" w:hAnsi="Arial"/>
          <w:sz w:val="12"/>
          <w:szCs w:val="12"/>
          <w:color w:val="auto"/>
        </w:rPr>
        <w:t>expected revenues, cost savings, synergies and other benefits from our merger and acquisition activities, including the proposed acquisition of Quantum Capital Corporation, might not be realized to the extent anticipated, within the anticipated time frames, or at all, and costs or difficulties relating to integration matters, including but not limited to customer and employee retention, might be greater than expected;</w:t>
      </w:r>
    </w:p>
    <w:p>
      <w:pPr>
        <w:ind w:left="260" w:hanging="255"/>
        <w:spacing w:after="0" w:line="274" w:lineRule="auto"/>
        <w:tabs>
          <w:tab w:leader="none" w:pos="25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credit risks of lending activities, including changes in the level and trend of loan delinquencies and write offs and changes in our allowance for credit losses and provision for credit losses that may be impacted by deterioration in the housing and commercial real estate markets;</w:t>
      </w:r>
    </w:p>
    <w:p>
      <w:pPr>
        <w:spacing w:after="0" w:line="8"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general economic conditions, either nationally or in our market areas;</w:t>
      </w:r>
    </w:p>
    <w:p>
      <w:pPr>
        <w:spacing w:after="0" w:line="52" w:lineRule="exact"/>
        <w:rPr>
          <w:rFonts w:ascii="Arial" w:cs="Arial" w:eastAsia="Arial" w:hAnsi="Arial"/>
          <w:sz w:val="13"/>
          <w:szCs w:val="13"/>
          <w:color w:val="auto"/>
        </w:rPr>
      </w:pPr>
    </w:p>
    <w:p>
      <w:pPr>
        <w:ind w:left="260" w:hanging="255"/>
        <w:spacing w:after="0" w:line="257" w:lineRule="auto"/>
        <w:tabs>
          <w:tab w:leader="none" w:pos="251"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the levels of general interest rates, and the relative differences between short and long term interest rates, deposit interest rates, our net interest margin and funding sources and the effects of inflation of a potential recession;</w:t>
      </w:r>
    </w:p>
    <w:p>
      <w:pPr>
        <w:spacing w:after="0" w:line="19"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uncertainty regarding the limited future of LIBOR, and the expected transition toward new interest rate benchmarks;</w:t>
      </w:r>
    </w:p>
    <w:p>
      <w:pPr>
        <w:spacing w:after="0" w:line="52"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fluctuations in the demand for loans, the number of unsold homes, land and other properties and fluctuations in real estate values in our market areas;</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decreases in the secondary market for the sale of loans that we originate;</w:t>
      </w:r>
    </w:p>
    <w:p>
      <w:pPr>
        <w:spacing w:after="0" w:line="52" w:lineRule="exact"/>
        <w:rPr>
          <w:rFonts w:ascii="Arial" w:cs="Arial" w:eastAsia="Arial" w:hAnsi="Arial"/>
          <w:sz w:val="13"/>
          <w:szCs w:val="13"/>
          <w:color w:val="auto"/>
        </w:rPr>
      </w:pPr>
    </w:p>
    <w:p>
      <w:pPr>
        <w:ind w:left="260" w:hanging="255"/>
        <w:spacing w:after="0" w:line="322" w:lineRule="auto"/>
        <w:tabs>
          <w:tab w:leader="none" w:pos="251"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results of examinations of us by the Federal Reserve, the NCCOB, or other regulatory authorities, including the possibility that any such regulatory authority may, among other things, require us to increase our allowance for credit losses, write-down assets, change our regulatory capital position or affect our ability to borrow funds or maintain or increase deposits, which could adversely affect our liquidity and earnings;</w:t>
      </w:r>
    </w:p>
    <w:p>
      <w:pPr>
        <w:jc w:val="both"/>
        <w:ind w:left="260" w:hanging="255"/>
        <w:spacing w:after="0" w:line="256" w:lineRule="auto"/>
        <w:tabs>
          <w:tab w:leader="none" w:pos="251"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legislative or regulatory changes that adversely affect our business including the effect of Dodd-Frank Wall Street Reform and Consumer Protection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spacing w:after="0" w:line="30"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attract and retain deposits;</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management's assumptions in determining the adequacy of the allowance for credit losses;</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control operating costs and expenses, especially costs associated with our operation as a public company;</w:t>
      </w:r>
    </w:p>
    <w:p>
      <w:pPr>
        <w:spacing w:after="0" w:line="52"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use of estimates in determining fair value of certain assets, which estimates may prove to be incorrect and result in significant declines in valuation;</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difficulties in reducing risks associated with the loans on our balance sheet;</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staffing fluctuations in response to product demand or the implementation of corporate strategies that affect our workforce and potential associated charges;</w:t>
      </w:r>
    </w:p>
    <w:p>
      <w:pPr>
        <w:spacing w:after="0" w:line="52" w:lineRule="exact"/>
        <w:rPr>
          <w:rFonts w:ascii="Arial" w:cs="Arial" w:eastAsia="Arial" w:hAnsi="Arial"/>
          <w:sz w:val="13"/>
          <w:szCs w:val="13"/>
          <w:color w:val="auto"/>
        </w:rPr>
      </w:pPr>
    </w:p>
    <w:p>
      <w:pPr>
        <w:ind w:left="260" w:hanging="255"/>
        <w:spacing w:after="0" w:line="257" w:lineRule="auto"/>
        <w:tabs>
          <w:tab w:leader="none" w:pos="251"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disruptions, security breaches, or other adverse events, failures or interruptions in, or attacks on, our information technology systems or on the third-party vendors who perform several of our critical processing functions;</w:t>
      </w:r>
    </w:p>
    <w:p>
      <w:pPr>
        <w:spacing w:after="0" w:line="29" w:lineRule="exact"/>
        <w:rPr>
          <w:rFonts w:ascii="Arial" w:cs="Arial" w:eastAsia="Arial" w:hAnsi="Arial"/>
          <w:sz w:val="13"/>
          <w:szCs w:val="13"/>
          <w:color w:val="auto"/>
        </w:rPr>
      </w:pPr>
    </w:p>
    <w:p>
      <w:pPr>
        <w:ind w:left="260" w:hanging="255"/>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retain key members of our senior management team;</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2" w:name="page33"/>
    <w:bookmarkEnd w:id="32"/>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costs and effects of litigation, including settlements and judgments;</w:t>
      </w:r>
    </w:p>
    <w:p>
      <w:pPr>
        <w:spacing w:after="0" w:line="41" w:lineRule="exact"/>
        <w:rPr>
          <w:rFonts w:ascii="Arial" w:cs="Arial" w:eastAsia="Arial" w:hAnsi="Arial"/>
          <w:sz w:val="13"/>
          <w:szCs w:val="13"/>
          <w:color w:val="auto"/>
        </w:rPr>
      </w:pPr>
    </w:p>
    <w:p>
      <w:pPr>
        <w:ind w:left="260" w:hanging="255"/>
        <w:spacing w:after="0" w:line="274" w:lineRule="auto"/>
        <w:tabs>
          <w:tab w:leader="none" w:pos="25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spacing w:after="0" w:line="8"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increased competitive pressures among financial services companies;</w:t>
      </w:r>
    </w:p>
    <w:p>
      <w:pPr>
        <w:spacing w:after="0" w:line="52"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consumer spending, borrowing and savings habits;</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availability of resources to address changes in laws, rules, or regulations or to respond to regulatory actions;</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adverse changes in the securities markets;</w:t>
      </w:r>
    </w:p>
    <w:p>
      <w:pPr>
        <w:spacing w:after="0" w:line="52"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inability of key third-party providers to perform their obligations to us;</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accounting principles, policies or guidelines and practices, as may be adopted by the financial institution regulatory agencies, the Public Company Accounting Oversight Board or the FASB;</w:t>
      </w:r>
    </w:p>
    <w:p>
      <w:pPr>
        <w:spacing w:after="0" w:line="63" w:lineRule="exact"/>
        <w:rPr>
          <w:rFonts w:ascii="Arial" w:cs="Arial" w:eastAsia="Arial" w:hAnsi="Arial"/>
          <w:sz w:val="12"/>
          <w:szCs w:val="12"/>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economic, competitive, governmental, regulatory, and technological factors affecting our operations, pricing, products and services including the CARES Act; and</w:t>
      </w:r>
    </w:p>
    <w:p>
      <w:pPr>
        <w:spacing w:after="0" w:line="41" w:lineRule="exact"/>
        <w:rPr>
          <w:rFonts w:ascii="Arial" w:cs="Arial" w:eastAsia="Arial" w:hAnsi="Arial"/>
          <w:sz w:val="13"/>
          <w:szCs w:val="13"/>
          <w:color w:val="auto"/>
        </w:rPr>
      </w:pPr>
    </w:p>
    <w:p>
      <w:pPr>
        <w:ind w:left="260" w:hanging="255"/>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risks detailed from time to time in our filings with the SEC, including this report on Form 10-Q.</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Many of the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4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56"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The Company has not engaged in any significant activity other than holding the stock of the Bank.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Bank has more than 30 locations across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 parties. In addition, we invest in debt securities issued by United States Government agencies and GSEs, corporate bonds, commercial paper, and certificates of deposit in other banks insured by the FDIC. We offer a variety of deposit accounts for individuals, businesses, and nonprofit organizations.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 secondary source of income is noninterest income, which includes revenue we receive from providing products and services, including service charges and fees on deposit accounts, loan income and fees, gains on the sale of loans held for sale, BOLI income, and operating lease income.</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An offset to net interest income is the provision for credit losses which is required to establish the ACL at a level that adequately provides for current expected credit losses inherent in our loan portfolio, off balance sheet credit commitments, and available for sale debt securities. See "Note 1 – Summary of Significant Accounting Policies" in Item 1 of our 2022 Form 10-K for further discussion.</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noninterest expenses consist primarily of salaries and employee benefits, expenses for occupancy,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our critical accounting policy:</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2"/>
          <w:szCs w:val="12"/>
          <w:b w:val="1"/>
          <w:bCs w:val="1"/>
          <w:i w:val="1"/>
          <w:iCs w:val="1"/>
          <w:color w:val="auto"/>
        </w:rPr>
        <w:t xml:space="preserve">Allowance for Credit Losses, or ACL, on Loans. </w:t>
      </w:r>
      <w:r>
        <w:rPr>
          <w:rFonts w:ascii="Arial" w:cs="Arial" w:eastAsia="Arial" w:hAnsi="Arial"/>
          <w:sz w:val="12"/>
          <w:szCs w:val="12"/>
          <w:color w:val="auto"/>
        </w:rPr>
        <w:t>The ACL reflects our estimate of credit losses that will result from the inability of our borrowers to make required loan payments. We charge off loans against the ACL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subsequent recoveries, if any, increase the ACL when they are recognized. We use a systematic methodology to determine our ACL for loans held for investment and certain off-balance-sheet credit exposures. The ACL is a valuation account that is deducted from the amortized cost basis to present the net amount expected to be collected on the loan portfolio. We consider the effects of past events, current conditions, and reasonable and supportable forecasts on the collectability of the loan portfolio. The estimate of our ACL involves a high degree of judgment; therefore, our process for determining expected credit losses may result in a range of expected credit losses. Our ACL recorded in the balance sheet reflects our best estimate within the range of expected credit losses. We recognize in net income the amount needed to adjust the ACL for management’s current estimate of expected credit losses. Our ACL is calculated using collectively evaluated and individually evaluated loans.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GAAP Reconciliation of Non-GAAP Financial Measures</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20"/>
                <w:szCs w:val="20"/>
                <w:color w:val="auto"/>
              </w:rPr>
            </w:pPr>
            <w:r>
              <w:rPr>
                <w:rFonts w:ascii="Arial" w:cs="Arial" w:eastAsia="Arial" w:hAnsi="Arial"/>
                <w:sz w:val="13"/>
                <w:szCs w:val="13"/>
                <w:color w:val="auto"/>
              </w:rPr>
              <w:t>Set forth below is a reconciliation to US GAAP of tangible book value and tangible book value per share: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As of</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820" w:type="dxa"/>
            <w:vAlign w:val="bottom"/>
          </w:tcPr>
          <w:p>
            <w:pPr>
              <w:ind w:left="20"/>
              <w:spacing w:after="0"/>
              <w:rPr>
                <w:sz w:val="20"/>
                <w:szCs w:val="20"/>
                <w:color w:val="auto"/>
              </w:rPr>
            </w:pPr>
            <w:r>
              <w:rPr>
                <w:rFonts w:ascii="Arial" w:cs="Arial" w:eastAsia="Arial" w:hAnsi="Arial"/>
                <w:sz w:val="13"/>
                <w:szCs w:val="13"/>
                <w:color w:val="auto"/>
              </w:rPr>
              <w:t>(Dollars in thousands, except per share data)</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216"/>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172"/>
        </w:trPr>
        <w:tc>
          <w:tcPr>
            <w:tcW w:w="68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2"/>
              </w:rPr>
              <w:t>2022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6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stockholders' equity</w:t>
            </w:r>
          </w:p>
        </w:tc>
        <w:tc>
          <w:tcPr>
            <w:tcW w:w="44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396,222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388,845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396,511</w:t>
            </w:r>
          </w:p>
        </w:tc>
        <w:tc>
          <w:tcPr>
            <w:tcW w:w="0" w:type="dxa"/>
            <w:vAlign w:val="bottom"/>
          </w:tcPr>
          <w:p>
            <w:pPr>
              <w:spacing w:after="0"/>
              <w:rPr>
                <w:sz w:val="1"/>
                <w:szCs w:val="1"/>
                <w:color w:val="auto"/>
              </w:rPr>
            </w:pPr>
          </w:p>
        </w:tc>
      </w:tr>
      <w:tr>
        <w:trPr>
          <w:trHeight w:val="16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goodwill, core deposit intangibles, net of taxes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25,683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25,710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25,830</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Tangible book value</w:t>
            </w:r>
          </w:p>
        </w:tc>
        <w:tc>
          <w:tcPr>
            <w:tcW w:w="44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370,539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363,135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370,681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Common shares outstanding</w:t>
            </w: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right"/>
              <w:spacing w:after="0" w:line="130" w:lineRule="exact"/>
              <w:rPr>
                <w:sz w:val="20"/>
                <w:szCs w:val="20"/>
                <w:color w:val="auto"/>
              </w:rPr>
            </w:pPr>
            <w:r>
              <w:rPr>
                <w:rFonts w:ascii="Arial" w:cs="Arial" w:eastAsia="Arial" w:hAnsi="Arial"/>
                <w:sz w:val="13"/>
                <w:szCs w:val="13"/>
                <w:color w:val="auto"/>
              </w:rPr>
              <w:t>15,632,348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60"/>
              <w:spacing w:after="0" w:line="130" w:lineRule="exact"/>
              <w:rPr>
                <w:sz w:val="20"/>
                <w:szCs w:val="20"/>
                <w:color w:val="auto"/>
              </w:rPr>
            </w:pPr>
            <w:r>
              <w:rPr>
                <w:rFonts w:ascii="Arial" w:cs="Arial" w:eastAsia="Arial" w:hAnsi="Arial"/>
                <w:sz w:val="13"/>
                <w:szCs w:val="13"/>
                <w:color w:val="auto"/>
              </w:rPr>
              <w:t>15,591,466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line="130" w:lineRule="exact"/>
              <w:rPr>
                <w:sz w:val="20"/>
                <w:szCs w:val="20"/>
                <w:color w:val="auto"/>
              </w:rPr>
            </w:pPr>
            <w:r>
              <w:rPr>
                <w:rFonts w:ascii="Arial" w:cs="Arial" w:eastAsia="Arial" w:hAnsi="Arial"/>
                <w:sz w:val="13"/>
                <w:szCs w:val="13"/>
                <w:color w:val="auto"/>
              </w:rPr>
              <w:t>16,307,658</w:t>
            </w:r>
          </w:p>
        </w:tc>
        <w:tc>
          <w:tcPr>
            <w:tcW w:w="0" w:type="dxa"/>
            <w:vAlign w:val="bottom"/>
          </w:tcPr>
          <w:p>
            <w:pPr>
              <w:spacing w:after="0"/>
              <w:rPr>
                <w:sz w:val="1"/>
                <w:szCs w:val="1"/>
                <w:color w:val="auto"/>
              </w:rPr>
            </w:pPr>
          </w:p>
        </w:tc>
      </w:tr>
      <w:tr>
        <w:trPr>
          <w:trHeight w:val="172"/>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Book value per share</w:t>
            </w:r>
          </w:p>
        </w:tc>
        <w:tc>
          <w:tcPr>
            <w:tcW w:w="44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w:t>
            </w:r>
          </w:p>
        </w:tc>
        <w:tc>
          <w:tcPr>
            <w:tcW w:w="0" w:type="dxa"/>
            <w:vAlign w:val="bottom"/>
          </w:tcPr>
          <w:p>
            <w:pPr>
              <w:spacing w:after="0"/>
              <w:rPr>
                <w:sz w:val="1"/>
                <w:szCs w:val="1"/>
                <w:color w:val="auto"/>
              </w:rPr>
            </w:pPr>
          </w:p>
        </w:tc>
      </w:tr>
      <w:tr>
        <w:trPr>
          <w:trHeight w:val="165"/>
        </w:trPr>
        <w:tc>
          <w:tcPr>
            <w:tcW w:w="6820" w:type="dxa"/>
            <w:vAlign w:val="bottom"/>
          </w:tcPr>
          <w:p>
            <w:pPr>
              <w:ind w:left="20"/>
              <w:spacing w:after="0"/>
              <w:rPr>
                <w:sz w:val="20"/>
                <w:szCs w:val="20"/>
                <w:color w:val="auto"/>
              </w:rPr>
            </w:pPr>
            <w:r>
              <w:rPr>
                <w:rFonts w:ascii="Arial" w:cs="Arial" w:eastAsia="Arial" w:hAnsi="Arial"/>
                <w:sz w:val="13"/>
                <w:szCs w:val="13"/>
                <w:color w:val="auto"/>
              </w:rPr>
              <w:t>Tangible book value per share</w:t>
            </w:r>
          </w:p>
        </w:tc>
        <w:tc>
          <w:tcPr>
            <w:tcW w:w="4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3"/>
          </w:tcPr>
          <w:p>
            <w:pPr>
              <w:jc w:val="right"/>
              <w:spacing w:after="0"/>
              <w:rPr>
                <w:sz w:val="20"/>
                <w:szCs w:val="20"/>
                <w:color w:val="auto"/>
              </w:rPr>
            </w:pPr>
            <w:r>
              <w:rPr>
                <w:rFonts w:ascii="Arial" w:cs="Arial" w:eastAsia="Arial" w:hAnsi="Arial"/>
                <w:sz w:val="13"/>
                <w:szCs w:val="13"/>
                <w:color w:val="auto"/>
              </w:rPr>
              <w:t>23.70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23.29</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24.31</w:t>
            </w:r>
          </w:p>
        </w:tc>
        <w:tc>
          <w:tcPr>
            <w:tcW w:w="0" w:type="dxa"/>
            <w:vAlign w:val="bottom"/>
          </w:tcPr>
          <w:p>
            <w:pPr>
              <w:spacing w:after="0"/>
              <w:rPr>
                <w:sz w:val="1"/>
                <w:szCs w:val="1"/>
                <w:color w:val="auto"/>
              </w:rPr>
            </w:pPr>
          </w:p>
        </w:tc>
      </w:tr>
      <w:tr>
        <w:trPr>
          <w:trHeight w:val="318"/>
        </w:trPr>
        <w:tc>
          <w:tcPr>
            <w:tcW w:w="6820" w:type="dxa"/>
            <w:vAlign w:val="bottom"/>
          </w:tcPr>
          <w:p>
            <w:pPr>
              <w:spacing w:after="0"/>
              <w:rPr>
                <w:sz w:val="20"/>
                <w:szCs w:val="20"/>
                <w:color w:val="auto"/>
              </w:rPr>
            </w:pPr>
            <w:r>
              <w:rPr>
                <w:rFonts w:ascii="Arial" w:cs="Arial" w:eastAsia="Arial" w:hAnsi="Arial"/>
                <w:sz w:val="13"/>
                <w:szCs w:val="13"/>
                <w:color w:val="auto"/>
              </w:rPr>
              <w:t>Set forth below is a reconciliation to US GAAP of tangible equity to tangible assets: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w w:val="86"/>
              </w:rPr>
              <w:t>As of</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82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26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256"/>
              <w:spacing w:after="0"/>
              <w:rPr>
                <w:sz w:val="20"/>
                <w:szCs w:val="20"/>
                <w:color w:val="auto"/>
              </w:rPr>
            </w:pPr>
            <w:r>
              <w:rPr>
                <w:rFonts w:ascii="Arial" w:cs="Arial" w:eastAsia="Arial" w:hAnsi="Arial"/>
                <w:sz w:val="13"/>
                <w:szCs w:val="13"/>
                <w:b w:val="1"/>
                <w:bCs w:val="1"/>
                <w:color w:val="auto"/>
                <w:w w:val="94"/>
              </w:rPr>
              <w:t>September 30,</w:t>
            </w:r>
          </w:p>
        </w:tc>
        <w:tc>
          <w:tcPr>
            <w:tcW w:w="0" w:type="dxa"/>
            <w:vAlign w:val="bottom"/>
          </w:tcPr>
          <w:p>
            <w:pPr>
              <w:spacing w:after="0"/>
              <w:rPr>
                <w:sz w:val="1"/>
                <w:szCs w:val="1"/>
                <w:color w:val="auto"/>
              </w:rPr>
            </w:pPr>
          </w:p>
        </w:tc>
      </w:tr>
      <w:tr>
        <w:trPr>
          <w:trHeight w:val="172"/>
        </w:trPr>
        <w:tc>
          <w:tcPr>
            <w:tcW w:w="68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16"/>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682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 xml:space="preserve">Tangible equity </w:t>
            </w:r>
            <w:r>
              <w:rPr>
                <w:rFonts w:ascii="Arial" w:cs="Arial" w:eastAsia="Arial" w:hAnsi="Arial"/>
                <w:sz w:val="16"/>
                <w:szCs w:val="16"/>
                <w:color w:val="auto"/>
                <w:vertAlign w:val="superscript"/>
              </w:rPr>
              <w:t>(1)</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370,539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363,135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370,681</w:t>
            </w:r>
          </w:p>
        </w:tc>
        <w:tc>
          <w:tcPr>
            <w:tcW w:w="0" w:type="dxa"/>
            <w:vAlign w:val="bottom"/>
          </w:tcPr>
          <w:p>
            <w:pPr>
              <w:spacing w:after="0"/>
              <w:rPr>
                <w:sz w:val="1"/>
                <w:szCs w:val="1"/>
                <w:color w:val="auto"/>
              </w:rPr>
            </w:pPr>
          </w:p>
        </w:tc>
      </w:tr>
      <w:tr>
        <w:trPr>
          <w:trHeight w:val="158"/>
        </w:trPr>
        <w:tc>
          <w:tcPr>
            <w:tcW w:w="6820" w:type="dxa"/>
            <w:vAlign w:val="bottom"/>
          </w:tcPr>
          <w:p>
            <w:pPr>
              <w:ind w:left="20"/>
              <w:spacing w:after="0" w:line="146" w:lineRule="exact"/>
              <w:rPr>
                <w:sz w:val="20"/>
                <w:szCs w:val="20"/>
                <w:color w:val="auto"/>
              </w:rPr>
            </w:pPr>
            <w:r>
              <w:rPr>
                <w:rFonts w:ascii="Arial" w:cs="Arial" w:eastAsia="Arial" w:hAnsi="Arial"/>
                <w:sz w:val="13"/>
                <w:szCs w:val="13"/>
                <w:color w:val="auto"/>
              </w:rPr>
              <w:t>Total assets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3,555,186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3,549,204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3,481,360</w:t>
            </w:r>
          </w:p>
        </w:tc>
        <w:tc>
          <w:tcPr>
            <w:tcW w:w="0" w:type="dxa"/>
            <w:vAlign w:val="bottom"/>
          </w:tcPr>
          <w:p>
            <w:pPr>
              <w:spacing w:after="0"/>
              <w:rPr>
                <w:sz w:val="1"/>
                <w:szCs w:val="1"/>
                <w:color w:val="auto"/>
              </w:rPr>
            </w:pP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goodwill, core deposit intangibles, net of taxes</w:t>
            </w:r>
          </w:p>
        </w:tc>
        <w:tc>
          <w:tcPr>
            <w:tcW w:w="2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25,683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25,710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25,830</w:t>
            </w:r>
          </w:p>
        </w:tc>
        <w:tc>
          <w:tcPr>
            <w:tcW w:w="0" w:type="dxa"/>
            <w:vAlign w:val="bottom"/>
          </w:tcPr>
          <w:p>
            <w:pPr>
              <w:spacing w:after="0"/>
              <w:rPr>
                <w:sz w:val="1"/>
                <w:szCs w:val="1"/>
                <w:color w:val="auto"/>
              </w:rPr>
            </w:pPr>
          </w:p>
        </w:tc>
      </w:tr>
      <w:tr>
        <w:trPr>
          <w:trHeight w:val="163"/>
        </w:trPr>
        <w:tc>
          <w:tcPr>
            <w:tcW w:w="6820" w:type="dxa"/>
            <w:vAlign w:val="bottom"/>
          </w:tcPr>
          <w:p>
            <w:pPr>
              <w:ind w:left="20"/>
              <w:spacing w:after="0"/>
              <w:rPr>
                <w:sz w:val="20"/>
                <w:szCs w:val="20"/>
                <w:color w:val="auto"/>
              </w:rPr>
            </w:pPr>
            <w:r>
              <w:rPr>
                <w:rFonts w:ascii="Arial" w:cs="Arial" w:eastAsia="Arial" w:hAnsi="Arial"/>
                <w:sz w:val="13"/>
                <w:szCs w:val="13"/>
                <w:color w:val="auto"/>
              </w:rPr>
              <w:t>Total tangible assets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3,529,503</w:t>
            </w:r>
          </w:p>
        </w:tc>
        <w:tc>
          <w:tcPr>
            <w:tcW w:w="10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3,523,494</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3,455,530</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8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Tangible equity to tangible assets</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10.73 %</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tabs>
          <w:tab w:leader="none" w:pos="20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Tangible equity (or tangible book value) is equal to total stockholders' equity less goodwill and core deposit intangibles, net of related deferred tax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Results of Operations for the Three Months Ended September 30, 2022 and June 30, 2022</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Net Income. </w:t>
      </w:r>
      <w:r>
        <w:rPr>
          <w:rFonts w:ascii="Arial" w:cs="Arial" w:eastAsia="Arial" w:hAnsi="Arial"/>
          <w:sz w:val="13"/>
          <w:szCs w:val="13"/>
          <w:color w:val="auto"/>
        </w:rPr>
        <w:t>Net income totaled $9.2 million, or $0.60 per diluted share, for the three months ended September 30, 2022 compared to net income of $6.0 million, or $0.39 per diluted share, for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June 30, 2022, an increase of $3.2 million, or 52.7%. The results for the three months ended September 30, 2022 were positively impacted by a $5.7 million increase in net interest income, partially offset by a $2.3 million decrease in noninterest income. Details of the changes in the various components of net income are further discussed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4" w:name="page35"/>
    <w:bookmarkEnd w:id="34"/>
    <w:p>
      <w:pPr>
        <w:spacing w:after="0" w:line="257" w:lineRule="auto"/>
        <w:rPr>
          <w:sz w:val="20"/>
          <w:szCs w:val="20"/>
          <w:color w:val="auto"/>
        </w:rPr>
      </w:pPr>
      <w:r>
        <w:rPr>
          <w:rFonts w:ascii="Arial" w:cs="Arial" w:eastAsia="Arial" w:hAnsi="Arial"/>
          <w:sz w:val="13"/>
          <w:szCs w:val="13"/>
          <w:b w:val="1"/>
          <w:bCs w:val="1"/>
          <w:i w:val="1"/>
          <w:iCs w:val="1"/>
          <w:color w:val="auto"/>
        </w:rPr>
        <w:t xml:space="preserve">Net Interest Income. </w:t>
      </w:r>
      <w:r>
        <w:rPr>
          <w:rFonts w:ascii="Arial" w:cs="Arial" w:eastAsia="Arial" w:hAnsi="Arial"/>
          <w:sz w:val="13"/>
          <w:szCs w:val="13"/>
          <w:color w:val="auto"/>
        </w:rPr>
        <w:t>The following table presents the distribution of average assets, liabilities and equity, as well as interest income on average interest-earning assets and interest expense paid on average interest-bearing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liabilities. All average balances are daily average balances. Nonaccruing loans have been included in the table as loans carrying a zero yield.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8"/>
              </w:rPr>
              <w:t>September 30, 2022</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7"/>
              </w:rPr>
              <w:t>June 30, 2022</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w w:val="85"/>
              </w:rPr>
              <w:t>Average</w:t>
            </w:r>
          </w:p>
        </w:tc>
        <w:tc>
          <w:tcPr>
            <w:tcW w:w="200" w:type="dxa"/>
            <w:vAlign w:val="bottom"/>
          </w:tcPr>
          <w:p>
            <w:pPr>
              <w:spacing w:after="0"/>
              <w:rPr>
                <w:sz w:val="10"/>
                <w:szCs w:val="10"/>
                <w:color w:val="auto"/>
              </w:rPr>
            </w:pPr>
          </w:p>
        </w:tc>
        <w:tc>
          <w:tcPr>
            <w:tcW w:w="900" w:type="dxa"/>
            <w:vAlign w:val="bottom"/>
          </w:tcPr>
          <w:p>
            <w:pPr>
              <w:jc w:val="center"/>
              <w:ind w:right="136"/>
              <w:spacing w:after="0" w:line="12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0"/>
                <w:szCs w:val="10"/>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0"/>
                <w:szCs w:val="10"/>
                <w:color w:val="auto"/>
              </w:rPr>
            </w:pPr>
          </w:p>
        </w:tc>
        <w:tc>
          <w:tcPr>
            <w:tcW w:w="980" w:type="dxa"/>
            <w:vAlign w:val="bottom"/>
          </w:tcPr>
          <w:p>
            <w:pPr>
              <w:jc w:val="center"/>
              <w:ind w:right="56"/>
              <w:spacing w:after="0" w:line="12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0"/>
                <w:szCs w:val="10"/>
                <w:color w:val="auto"/>
              </w:rPr>
            </w:pPr>
          </w:p>
        </w:tc>
        <w:tc>
          <w:tcPr>
            <w:tcW w:w="120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27"/>
        </w:trPr>
        <w:tc>
          <w:tcPr>
            <w:tcW w:w="372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8"/>
              </w:rPr>
              <w:t>Balance</w:t>
            </w:r>
          </w:p>
        </w:tc>
        <w:tc>
          <w:tcPr>
            <w:tcW w:w="200" w:type="dxa"/>
            <w:vAlign w:val="bottom"/>
          </w:tcPr>
          <w:p>
            <w:pPr>
              <w:spacing w:after="0"/>
              <w:rPr>
                <w:sz w:val="11"/>
                <w:szCs w:val="11"/>
                <w:color w:val="auto"/>
              </w:rPr>
            </w:pPr>
          </w:p>
        </w:tc>
        <w:tc>
          <w:tcPr>
            <w:tcW w:w="900" w:type="dxa"/>
            <w:vAlign w:val="bottom"/>
          </w:tcPr>
          <w:p>
            <w:pPr>
              <w:jc w:val="center"/>
              <w:ind w:right="156"/>
              <w:spacing w:after="0" w:line="128" w:lineRule="exact"/>
              <w:rPr>
                <w:sz w:val="20"/>
                <w:szCs w:val="20"/>
                <w:color w:val="auto"/>
              </w:rPr>
            </w:pPr>
            <w:r>
              <w:rPr>
                <w:rFonts w:ascii="Arial" w:cs="Arial" w:eastAsia="Arial" w:hAnsi="Arial"/>
                <w:sz w:val="13"/>
                <w:szCs w:val="13"/>
                <w:b w:val="1"/>
                <w:bCs w:val="1"/>
                <w:color w:val="auto"/>
                <w:w w:val="92"/>
              </w:rPr>
              <w:t>Earned/</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8"/>
              </w:rPr>
              <w:t>Balance</w:t>
            </w:r>
          </w:p>
        </w:tc>
        <w:tc>
          <w:tcPr>
            <w:tcW w:w="140" w:type="dxa"/>
            <w:vAlign w:val="bottom"/>
          </w:tcPr>
          <w:p>
            <w:pPr>
              <w:spacing w:after="0"/>
              <w:rPr>
                <w:sz w:val="11"/>
                <w:szCs w:val="11"/>
                <w:color w:val="auto"/>
              </w:rPr>
            </w:pPr>
          </w:p>
        </w:tc>
        <w:tc>
          <w:tcPr>
            <w:tcW w:w="980" w:type="dxa"/>
            <w:vAlign w:val="bottom"/>
          </w:tcPr>
          <w:p>
            <w:pPr>
              <w:jc w:val="center"/>
              <w:ind w:right="76"/>
              <w:spacing w:after="0" w:line="128" w:lineRule="exact"/>
              <w:rPr>
                <w:sz w:val="20"/>
                <w:szCs w:val="20"/>
                <w:color w:val="auto"/>
              </w:rPr>
            </w:pPr>
            <w:r>
              <w:rPr>
                <w:rFonts w:ascii="Arial" w:cs="Arial" w:eastAsia="Arial" w:hAnsi="Arial"/>
                <w:sz w:val="13"/>
                <w:szCs w:val="13"/>
                <w:b w:val="1"/>
                <w:bCs w:val="1"/>
                <w:color w:val="auto"/>
                <w:w w:val="92"/>
              </w:rPr>
              <w:t>Earned/</w:t>
            </w: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900" w:type="dxa"/>
            <w:vAlign w:val="bottom"/>
          </w:tcPr>
          <w:p>
            <w:pPr>
              <w:jc w:val="center"/>
              <w:ind w:right="136"/>
              <w:spacing w:after="0" w:line="170" w:lineRule="exact"/>
              <w:rPr>
                <w:sz w:val="20"/>
                <w:szCs w:val="20"/>
                <w:color w:val="auto"/>
              </w:rPr>
            </w:pPr>
            <w:r>
              <w:rPr>
                <w:rFonts w:ascii="Arial" w:cs="Arial" w:eastAsia="Arial" w:hAnsi="Arial"/>
                <w:sz w:val="13"/>
                <w:szCs w:val="13"/>
                <w:b w:val="1"/>
                <w:bCs w:val="1"/>
                <w:color w:val="auto"/>
                <w:w w:val="83"/>
              </w:rPr>
              <w:t>Paid</w:t>
            </w:r>
            <w:r>
              <w:rPr>
                <w:rFonts w:ascii="Arial" w:cs="Arial" w:eastAsia="Arial" w:hAnsi="Arial"/>
                <w:sz w:val="16"/>
                <w:szCs w:val="16"/>
                <w:b w:val="1"/>
                <w:bCs w:val="1"/>
                <w:color w:val="auto"/>
                <w:w w:val="83"/>
                <w:vertAlign w:val="superscript"/>
              </w:rPr>
              <w:t>(2)</w:t>
            </w:r>
          </w:p>
        </w:tc>
        <w:tc>
          <w:tcPr>
            <w:tcW w:w="100" w:type="dxa"/>
            <w:vAlign w:val="bottom"/>
          </w:tcPr>
          <w:p>
            <w:pPr>
              <w:spacing w:after="0"/>
              <w:rPr>
                <w:sz w:val="14"/>
                <w:szCs w:val="14"/>
                <w:color w:val="auto"/>
              </w:rPr>
            </w:pPr>
          </w:p>
        </w:tc>
        <w:tc>
          <w:tcPr>
            <w:tcW w:w="1280" w:type="dxa"/>
            <w:vAlign w:val="bottom"/>
            <w:gridSpan w:val="2"/>
          </w:tcPr>
          <w:p>
            <w:pPr>
              <w:ind w:left="420"/>
              <w:spacing w:after="0" w:line="170"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6"/>
                <w:szCs w:val="16"/>
                <w:b w:val="1"/>
                <w:bCs w:val="1"/>
                <w:color w:val="auto"/>
                <w:vertAlign w:val="superscript"/>
              </w:rPr>
              <w:t>(2)</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4"/>
                <w:szCs w:val="14"/>
                <w:color w:val="auto"/>
              </w:rPr>
            </w:pPr>
          </w:p>
        </w:tc>
        <w:tc>
          <w:tcPr>
            <w:tcW w:w="980" w:type="dxa"/>
            <w:vAlign w:val="bottom"/>
          </w:tcPr>
          <w:p>
            <w:pPr>
              <w:jc w:val="center"/>
              <w:ind w:right="76"/>
              <w:spacing w:after="0" w:line="170" w:lineRule="exact"/>
              <w:rPr>
                <w:sz w:val="20"/>
                <w:szCs w:val="20"/>
                <w:color w:val="auto"/>
              </w:rPr>
            </w:pPr>
            <w:r>
              <w:rPr>
                <w:rFonts w:ascii="Arial" w:cs="Arial" w:eastAsia="Arial" w:hAnsi="Arial"/>
                <w:sz w:val="13"/>
                <w:szCs w:val="13"/>
                <w:b w:val="1"/>
                <w:bCs w:val="1"/>
                <w:color w:val="auto"/>
                <w:w w:val="88"/>
              </w:rPr>
              <w:t>Paid</w:t>
            </w:r>
            <w:r>
              <w:rPr>
                <w:rFonts w:ascii="Arial" w:cs="Arial" w:eastAsia="Arial" w:hAnsi="Arial"/>
                <w:sz w:val="16"/>
                <w:szCs w:val="16"/>
                <w:b w:val="1"/>
                <w:bCs w:val="1"/>
                <w:color w:val="auto"/>
                <w:w w:val="88"/>
                <w:vertAlign w:val="superscript"/>
              </w:rPr>
              <w:t>(2)</w:t>
            </w:r>
          </w:p>
        </w:tc>
        <w:tc>
          <w:tcPr>
            <w:tcW w:w="100" w:type="dxa"/>
            <w:vAlign w:val="bottom"/>
          </w:tcPr>
          <w:p>
            <w:pPr>
              <w:spacing w:after="0"/>
              <w:rPr>
                <w:sz w:val="14"/>
                <w:szCs w:val="14"/>
                <w:color w:val="auto"/>
              </w:rPr>
            </w:pPr>
          </w:p>
        </w:tc>
        <w:tc>
          <w:tcPr>
            <w:tcW w:w="1200" w:type="dxa"/>
            <w:vAlign w:val="bottom"/>
          </w:tcPr>
          <w:p>
            <w:pPr>
              <w:ind w:left="420"/>
              <w:spacing w:after="0" w:line="170"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50"/>
        </w:trPr>
        <w:tc>
          <w:tcPr>
            <w:tcW w:w="37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Arial" w:cs="Arial" w:eastAsia="Arial" w:hAnsi="Arial"/>
                <w:sz w:val="13"/>
                <w:szCs w:val="13"/>
                <w:color w:val="auto"/>
              </w:rPr>
              <w:t>Interest-earning assets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line="172" w:lineRule="exact"/>
              <w:rPr>
                <w:sz w:val="20"/>
                <w:szCs w:val="20"/>
                <w:color w:val="auto"/>
              </w:rPr>
            </w:pPr>
            <w:r>
              <w:rPr>
                <w:rFonts w:ascii="Arial" w:cs="Arial" w:eastAsia="Arial" w:hAnsi="Arial"/>
                <w:sz w:val="13"/>
                <w:szCs w:val="13"/>
                <w:color w:val="auto"/>
              </w:rPr>
              <w:t>Loans receivable</w:t>
            </w:r>
            <w:r>
              <w:rPr>
                <w:rFonts w:ascii="Arial" w:cs="Arial" w:eastAsia="Arial" w:hAnsi="Arial"/>
                <w:sz w:val="16"/>
                <w:szCs w:val="16"/>
                <w:color w:val="auto"/>
                <w:vertAlign w:val="superscript"/>
              </w:rPr>
              <w:t>(1)</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2,880,148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33,522</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4.62 %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2,807,969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28,457</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4.06 %</w:t>
            </w: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rPr>
                <w:sz w:val="20"/>
                <w:szCs w:val="20"/>
                <w:color w:val="auto"/>
              </w:rPr>
            </w:pPr>
            <w:r>
              <w:rPr>
                <w:rFonts w:ascii="Arial" w:cs="Arial" w:eastAsia="Arial" w:hAnsi="Arial"/>
                <w:sz w:val="13"/>
                <w:szCs w:val="13"/>
                <w:color w:val="auto"/>
              </w:rPr>
              <w:t>Commercial paper</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214,214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1,116</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295,485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852</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 securities available for sale</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135,015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118,075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70"/>
        </w:trPr>
        <w:tc>
          <w:tcPr>
            <w:tcW w:w="372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3"/>
                <w:szCs w:val="13"/>
                <w:color w:val="auto"/>
              </w:rPr>
              <w:t>Other interest-earning assets</w:t>
            </w:r>
            <w:r>
              <w:rPr>
                <w:rFonts w:ascii="Arial" w:cs="Arial" w:eastAsia="Arial" w:hAnsi="Arial"/>
                <w:sz w:val="16"/>
                <w:szCs w:val="16"/>
                <w:color w:val="auto"/>
                <w:vertAlign w:val="superscript"/>
              </w:rPr>
              <w:t>(3)</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113,821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3.10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92,026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60"/>
        </w:trPr>
        <w:tc>
          <w:tcPr>
            <w:tcW w:w="3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interest-earning assets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3,343,198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36,204</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3,313,555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30,420</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6"/>
              <w:spacing w:after="0" w:line="146" w:lineRule="exact"/>
              <w:rPr>
                <w:sz w:val="20"/>
                <w:szCs w:val="20"/>
                <w:color w:val="auto"/>
              </w:rPr>
            </w:pPr>
            <w:r>
              <w:rPr>
                <w:rFonts w:ascii="Arial" w:cs="Arial" w:eastAsia="Arial" w:hAnsi="Arial"/>
                <w:sz w:val="13"/>
                <w:szCs w:val="13"/>
                <w:color w:val="auto"/>
              </w:rPr>
              <w:t>243,113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6" w:lineRule="exact"/>
              <w:rPr>
                <w:sz w:val="20"/>
                <w:szCs w:val="20"/>
                <w:color w:val="auto"/>
              </w:rPr>
            </w:pPr>
            <w:r>
              <w:rPr>
                <w:rFonts w:ascii="Arial" w:cs="Arial" w:eastAsia="Arial" w:hAnsi="Arial"/>
                <w:sz w:val="13"/>
                <w:szCs w:val="13"/>
                <w:color w:val="auto"/>
              </w:rPr>
              <w:t>255,596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3,586,311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3,569,151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Interest-bearing liabilities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654,154</w:t>
            </w:r>
          </w:p>
        </w:tc>
        <w:tc>
          <w:tcPr>
            <w:tcW w:w="1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268</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w w:val="88"/>
              </w:rPr>
              <w:t>0.16 %</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664,966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340</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w w:val="88"/>
              </w:rPr>
              <w:t>0.20 %</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968,084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0.21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979,816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rPr>
                <w:sz w:val="20"/>
                <w:szCs w:val="20"/>
                <w:color w:val="auto"/>
              </w:rPr>
            </w:pPr>
            <w:r>
              <w:rPr>
                <w:rFonts w:ascii="Arial" w:cs="Arial" w:eastAsia="Arial" w:hAnsi="Arial"/>
                <w:sz w:val="13"/>
                <w:szCs w:val="13"/>
                <w:color w:val="auto"/>
              </w:rPr>
              <w:t>Savings accounts</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238,992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235,848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 accounts</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476,761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0.47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485,978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0.41</w:t>
            </w:r>
          </w:p>
        </w:tc>
        <w:tc>
          <w:tcPr>
            <w:tcW w:w="0" w:type="dxa"/>
            <w:vAlign w:val="bottom"/>
          </w:tcPr>
          <w:p>
            <w:pPr>
              <w:spacing w:after="0"/>
              <w:rPr>
                <w:sz w:val="1"/>
                <w:szCs w:val="1"/>
                <w:color w:val="auto"/>
              </w:rPr>
            </w:pPr>
          </w:p>
        </w:tc>
      </w:tr>
      <w:tr>
        <w:trPr>
          <w:trHeight w:val="158"/>
        </w:trPr>
        <w:tc>
          <w:tcPr>
            <w:tcW w:w="3720" w:type="dxa"/>
            <w:vAlign w:val="bottom"/>
          </w:tcPr>
          <w:p>
            <w:pPr>
              <w:ind w:left="200"/>
              <w:spacing w:after="0"/>
              <w:rPr>
                <w:sz w:val="20"/>
                <w:szCs w:val="20"/>
                <w:color w:val="auto"/>
              </w:rPr>
            </w:pPr>
            <w:r>
              <w:rPr>
                <w:rFonts w:ascii="Arial" w:cs="Arial" w:eastAsia="Arial" w:hAnsi="Arial"/>
                <w:sz w:val="13"/>
                <w:szCs w:val="13"/>
                <w:color w:val="auto"/>
              </w:rPr>
              <w:t>Total interest-bearing deposits</w:t>
            </w: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2,337,991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1,395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2,366,608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1,232</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1,526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26,761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0.52</w:t>
            </w:r>
          </w:p>
        </w:tc>
        <w:tc>
          <w:tcPr>
            <w:tcW w:w="0" w:type="dxa"/>
            <w:vAlign w:val="bottom"/>
          </w:tcPr>
          <w:p>
            <w:pPr>
              <w:spacing w:after="0"/>
              <w:rPr>
                <w:sz w:val="1"/>
                <w:szCs w:val="1"/>
                <w:color w:val="auto"/>
              </w:rPr>
            </w:pPr>
          </w:p>
        </w:tc>
      </w:tr>
      <w:tr>
        <w:trPr>
          <w:trHeight w:val="158"/>
        </w:trPr>
        <w:tc>
          <w:tcPr>
            <w:tcW w:w="3720" w:type="dxa"/>
            <w:vAlign w:val="bottom"/>
          </w:tcPr>
          <w:p>
            <w:pPr>
              <w:ind w:left="200"/>
              <w:spacing w:after="0"/>
              <w:rPr>
                <w:sz w:val="20"/>
                <w:szCs w:val="20"/>
                <w:color w:val="auto"/>
              </w:rPr>
            </w:pPr>
            <w:r>
              <w:rPr>
                <w:rFonts w:ascii="Arial" w:cs="Arial" w:eastAsia="Arial" w:hAnsi="Arial"/>
                <w:sz w:val="13"/>
                <w:szCs w:val="13"/>
                <w:color w:val="auto"/>
              </w:rPr>
              <w:t>Total interest-bearing liabilities</w:t>
            </w: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2,339,517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1,407</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2,393,369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1,267</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52"/>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Noninterest-bearing deposits</w:t>
            </w:r>
          </w:p>
        </w:tc>
        <w:tc>
          <w:tcPr>
            <w:tcW w:w="1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jc w:val="right"/>
              <w:ind w:right="36"/>
              <w:spacing w:after="0" w:line="148" w:lineRule="exact"/>
              <w:rPr>
                <w:sz w:val="20"/>
                <w:szCs w:val="20"/>
                <w:color w:val="auto"/>
              </w:rPr>
            </w:pPr>
            <w:r>
              <w:rPr>
                <w:rFonts w:ascii="Arial" w:cs="Arial" w:eastAsia="Arial" w:hAnsi="Arial"/>
                <w:sz w:val="13"/>
                <w:szCs w:val="13"/>
                <w:color w:val="auto"/>
              </w:rPr>
              <w:t>800,912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jc w:val="right"/>
              <w:ind w:right="36"/>
              <w:spacing w:after="0" w:line="148" w:lineRule="exact"/>
              <w:rPr>
                <w:sz w:val="20"/>
                <w:szCs w:val="20"/>
                <w:color w:val="auto"/>
              </w:rPr>
            </w:pPr>
            <w:r>
              <w:rPr>
                <w:rFonts w:ascii="Arial" w:cs="Arial" w:eastAsia="Arial" w:hAnsi="Arial"/>
                <w:sz w:val="13"/>
                <w:szCs w:val="13"/>
                <w:color w:val="auto"/>
              </w:rPr>
              <w:t>738,734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51,485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46,928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3,191,914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3,179,031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Stockholders' equity</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394,397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390,120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Borders>
              <w:bottom w:val="single" w:sz="8" w:color="CCEEFF"/>
            </w:tcBorders>
            <w:shd w:val="clear" w:color="auto" w:fill="CCEEFF"/>
          </w:tcPr>
          <w:p>
            <w:pPr>
              <w:ind w:left="120"/>
              <w:spacing w:after="0" w:line="141" w:lineRule="exact"/>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3,586,311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3,569,151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20" w:type="dxa"/>
            <w:vAlign w:val="bottom"/>
          </w:tcPr>
          <w:p>
            <w:pPr>
              <w:ind w:left="20"/>
              <w:spacing w:after="0" w:line="133" w:lineRule="exact"/>
              <w:rPr>
                <w:sz w:val="20"/>
                <w:szCs w:val="20"/>
                <w:color w:val="auto"/>
              </w:rPr>
            </w:pPr>
            <w:r>
              <w:rPr>
                <w:rFonts w:ascii="Arial" w:cs="Arial" w:eastAsia="Arial" w:hAnsi="Arial"/>
                <w:sz w:val="13"/>
                <w:szCs w:val="13"/>
                <w:color w:val="auto"/>
              </w:rPr>
              <w:t>Net earning assets</w:t>
            </w: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rPr>
              <w:t>1,003,681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rPr>
              <w:t>920,186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w w:val="90"/>
              </w:rPr>
              <w:t>Average interest-earning assets to average interest-bearing liabilities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142.90 %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138.45 %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Tax-equivalent</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34,797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29,153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4.06 %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3.47 %</w:t>
            </w: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(4)</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4.13 %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3.53 %</w:t>
            </w: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Non-tax-equivalent</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34,520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28,859</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4.02 %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3.43 %</w:t>
            </w: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(4)</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4.10 %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3.49 %</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The average loans receivable balances include loans held for sale and nonaccruing loans.</w:t>
      </w:r>
    </w:p>
    <w:p>
      <w:pPr>
        <w:spacing w:after="0" w:line="9" w:lineRule="exact"/>
        <w:rPr>
          <w:rFonts w:ascii="Arial" w:cs="Arial" w:eastAsia="Arial" w:hAnsi="Arial"/>
          <w:sz w:val="10"/>
          <w:szCs w:val="10"/>
          <w:color w:val="auto"/>
        </w:rPr>
      </w:pPr>
    </w:p>
    <w:p>
      <w:pPr>
        <w:ind w:left="320" w:hanging="315"/>
        <w:spacing w:after="0"/>
        <w:tabs>
          <w:tab w:leader="none" w:pos="320" w:val="left"/>
        </w:tabs>
        <w:numPr>
          <w:ilvl w:val="0"/>
          <w:numId w:val="12"/>
        </w:numPr>
        <w:rPr>
          <w:rFonts w:ascii="Arial" w:cs="Arial" w:eastAsia="Arial" w:hAnsi="Arial"/>
          <w:sz w:val="7"/>
          <w:szCs w:val="7"/>
          <w:color w:val="auto"/>
        </w:rPr>
      </w:pPr>
      <w:r>
        <w:rPr>
          <w:rFonts w:ascii="Arial" w:cs="Arial" w:eastAsia="Arial" w:hAnsi="Arial"/>
          <w:sz w:val="7"/>
          <w:szCs w:val="7"/>
          <w:color w:val="auto"/>
        </w:rPr>
        <w:t>Interest income used in the average interest earned and yield calculation includes the tax equivalent adjustment of $277 and $294 for the three months ended September 30, 2022 and June 30, 2022, respectively, calculated based on a combined federal and state tax rate of 24%.</w:t>
      </w:r>
    </w:p>
    <w:p>
      <w:pPr>
        <w:spacing w:after="0" w:line="36" w:lineRule="exact"/>
        <w:rPr>
          <w:rFonts w:ascii="Arial" w:cs="Arial" w:eastAsia="Arial" w:hAnsi="Arial"/>
          <w:sz w:val="7"/>
          <w:szCs w:val="7"/>
          <w:color w:val="auto"/>
        </w:rPr>
      </w:pPr>
    </w:p>
    <w:p>
      <w:pPr>
        <w:ind w:left="320" w:hanging="315"/>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The average other interest-earning assets consist of FRB stock, FHLB stock, SBIC investments, and deposits in other banks.</w:t>
      </w:r>
    </w:p>
    <w:p>
      <w:pPr>
        <w:spacing w:after="0" w:line="1" w:lineRule="exact"/>
        <w:rPr>
          <w:rFonts w:ascii="Arial" w:cs="Arial" w:eastAsia="Arial" w:hAnsi="Arial"/>
          <w:sz w:val="10"/>
          <w:szCs w:val="10"/>
          <w:color w:val="auto"/>
        </w:rPr>
      </w:pPr>
    </w:p>
    <w:p>
      <w:pPr>
        <w:ind w:left="320" w:hanging="315"/>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Net interest income divided by average interest-earning assets.</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Total interest and dividend income for the three months ended September 30, 2022 increased $5.8 million, or 19.3%, compared to the three months ended June 30, 2022, which was driven by a $5.1 million, or 18.0%, increase in interest income on loans. The overall increase in average yield on interest-earning assets was the result of rising interest rates, while the rate paid on interest-bearing liabilities has not increased as rapidly. Specific to the commercial paper and debt securities available for sale, the Company has intentionally maintained relatively short-term duration portfolios which has allowed, and will continue to allow, the Company to take advantage of rising rates when reinvesting the proceeds of maturing instruments.</w:t>
      </w:r>
    </w:p>
    <w:p>
      <w:pPr>
        <w:spacing w:after="0" w:line="62"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Total interest expense for the three months ended September 30, 2022 increased $140,000, or 11.0%, compared to the three months ended June 30, 2022. The increase was driven by a $163,000, or 13.2%, increase in interest expense on deposits as a result of a 3 basis point increase in the associated average cost of funds, offset by a $23,000 decrease in interest expense on borrowings.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3"/>
          <w:szCs w:val="13"/>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Increase/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jc w:val="center"/>
              <w:spacing w:after="0" w:line="128" w:lineRule="exact"/>
              <w:rPr>
                <w:sz w:val="20"/>
                <w:szCs w:val="20"/>
                <w:color w:val="auto"/>
              </w:rPr>
            </w:pPr>
            <w:r>
              <w:rPr>
                <w:rFonts w:ascii="Arial" w:cs="Arial" w:eastAsia="Arial" w:hAnsi="Arial"/>
                <w:sz w:val="13"/>
                <w:szCs w:val="13"/>
                <w:b w:val="1"/>
                <w:bCs w:val="1"/>
                <w:color w:val="auto"/>
                <w:w w:val="84"/>
              </w:rPr>
              <w:t>(Decrease)</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3"/>
        </w:trPr>
        <w:tc>
          <w:tcPr>
            <w:tcW w:w="740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860" w:type="dxa"/>
            <w:vAlign w:val="bottom"/>
          </w:tcPr>
          <w:p>
            <w:pPr>
              <w:spacing w:after="0"/>
              <w:rPr>
                <w:sz w:val="4"/>
                <w:szCs w:val="4"/>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Due to</w:t>
            </w: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400" w:type="dxa"/>
            <w:vAlign w:val="bottom"/>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37"/>
              <w:spacing w:after="0" w:line="107" w:lineRule="exact"/>
              <w:rPr>
                <w:sz w:val="20"/>
                <w:szCs w:val="20"/>
                <w:color w:val="auto"/>
              </w:rPr>
            </w:pPr>
            <w:r>
              <w:rPr>
                <w:rFonts w:ascii="Arial" w:cs="Arial" w:eastAsia="Arial" w:hAnsi="Arial"/>
                <w:sz w:val="12"/>
                <w:szCs w:val="12"/>
                <w:b w:val="1"/>
                <w:bCs w:val="1"/>
                <w:color w:val="auto"/>
                <w:w w:val="95"/>
              </w:rPr>
              <w:t>Increase/</w:t>
            </w:r>
          </w:p>
        </w:tc>
        <w:tc>
          <w:tcPr>
            <w:tcW w:w="0" w:type="dxa"/>
            <w:vAlign w:val="bottom"/>
          </w:tcPr>
          <w:p>
            <w:pPr>
              <w:spacing w:after="0"/>
              <w:rPr>
                <w:sz w:val="1"/>
                <w:szCs w:val="1"/>
                <w:color w:val="auto"/>
              </w:rPr>
            </w:pPr>
          </w:p>
        </w:tc>
      </w:tr>
      <w:tr>
        <w:trPr>
          <w:trHeight w:val="158"/>
        </w:trPr>
        <w:tc>
          <w:tcPr>
            <w:tcW w:w="7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Volume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3"/>
                <w:szCs w:val="13"/>
                <w:color w:val="auto"/>
              </w:rPr>
            </w:pPr>
          </w:p>
        </w:tc>
        <w:tc>
          <w:tcPr>
            <w:tcW w:w="102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(Decrease)</w:t>
            </w:r>
          </w:p>
        </w:tc>
        <w:tc>
          <w:tcPr>
            <w:tcW w:w="0" w:type="dxa"/>
            <w:vAlign w:val="bottom"/>
          </w:tcPr>
          <w:p>
            <w:pPr>
              <w:spacing w:after="0"/>
              <w:rPr>
                <w:sz w:val="1"/>
                <w:szCs w:val="1"/>
                <w:color w:val="auto"/>
              </w:rPr>
            </w:pPr>
          </w:p>
        </w:tc>
      </w:tr>
      <w:tr>
        <w:trPr>
          <w:trHeight w:val="152"/>
        </w:trPr>
        <w:tc>
          <w:tcPr>
            <w:tcW w:w="74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Interest-earning assets</w:t>
            </w:r>
          </w:p>
        </w:tc>
        <w:tc>
          <w:tcPr>
            <w:tcW w:w="8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Loans receivable</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1,096</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3,969</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5,065</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Debt securities available for sale</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interest-earning assets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58"/>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Total interest-earning assets</w:t>
            </w: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1,109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5,784</w:t>
            </w:r>
          </w:p>
        </w:tc>
        <w:tc>
          <w:tcPr>
            <w:tcW w:w="0" w:type="dxa"/>
            <w:vAlign w:val="bottom"/>
          </w:tcPr>
          <w:p>
            <w:pPr>
              <w:spacing w:after="0"/>
              <w:rPr>
                <w:sz w:val="1"/>
                <w:szCs w:val="1"/>
                <w:color w:val="auto"/>
              </w:rPr>
            </w:pPr>
          </w:p>
        </w:tc>
      </w:tr>
      <w:tr>
        <w:trPr>
          <w:trHeight w:val="152"/>
        </w:trPr>
        <w:tc>
          <w:tcPr>
            <w:tcW w:w="7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Interest-bearing liabilities</w:t>
            </w: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Savings accounts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 accounts</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Borrowings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0"/>
        </w:trPr>
        <w:tc>
          <w:tcPr>
            <w:tcW w:w="74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interest-bearing liabilities</w:t>
            </w:r>
          </w:p>
        </w:tc>
        <w:tc>
          <w:tcPr>
            <w:tcW w:w="8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3"/>
        </w:trPr>
        <w:tc>
          <w:tcPr>
            <w:tcW w:w="7400" w:type="dxa"/>
            <w:vAlign w:val="bottom"/>
          </w:tcPr>
          <w:p>
            <w:pPr>
              <w:ind w:left="20"/>
              <w:spacing w:after="0"/>
              <w:rPr>
                <w:sz w:val="20"/>
                <w:szCs w:val="20"/>
                <w:color w:val="auto"/>
              </w:rPr>
            </w:pPr>
            <w:r>
              <w:rPr>
                <w:rFonts w:ascii="Arial" w:cs="Arial" w:eastAsia="Arial" w:hAnsi="Arial"/>
                <w:sz w:val="13"/>
                <w:szCs w:val="13"/>
                <w:b w:val="1"/>
                <w:bCs w:val="1"/>
                <w:color w:val="auto"/>
              </w:rPr>
              <w:t>Net increase in tax equivalent interest income</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Provision for Credit Losses. </w:t>
      </w:r>
      <w:r>
        <w:rPr>
          <w:rFonts w:ascii="Arial" w:cs="Arial" w:eastAsia="Arial" w:hAnsi="Arial"/>
          <w:sz w:val="13"/>
          <w:szCs w:val="13"/>
          <w:color w:val="auto"/>
        </w:rPr>
        <w:t>The provision for credit losses is the amount of expense that, based on our judgment, is required to maintain the ACL at an appropriate level under the CECL model.</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breakdown of the components of the provision for credit losses: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66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2022</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96"/>
              </w:rPr>
              <w:t>June 30, 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8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Provision for credit losses</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5880" w:type="dxa"/>
            <w:vAlign w:val="bottom"/>
          </w:tcPr>
          <w:p>
            <w:pPr>
              <w:ind w:left="100"/>
              <w:spacing w:after="0"/>
              <w:rPr>
                <w:sz w:val="20"/>
                <w:szCs w:val="20"/>
                <w:color w:val="auto"/>
              </w:rPr>
            </w:pPr>
            <w:r>
              <w:rPr>
                <w:rFonts w:ascii="Arial" w:cs="Arial" w:eastAsia="Arial" w:hAnsi="Arial"/>
                <w:sz w:val="13"/>
                <w:szCs w:val="13"/>
                <w:color w:val="auto"/>
              </w:rPr>
              <w:t>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3,694</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2,942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26 %</w:t>
            </w:r>
          </w:p>
        </w:tc>
      </w:tr>
      <w:tr>
        <w:trPr>
          <w:trHeight w:val="172"/>
        </w:trPr>
        <w:tc>
          <w:tcPr>
            <w:tcW w:w="5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Off-balance-sheet credit exposure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w:t>
            </w:r>
          </w:p>
        </w:tc>
      </w:tr>
      <w:tr>
        <w:trPr>
          <w:trHeight w:val="168"/>
        </w:trPr>
        <w:tc>
          <w:tcPr>
            <w:tcW w:w="58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Commercial paper</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(58)</w:t>
            </w:r>
          </w:p>
        </w:tc>
      </w:tr>
      <w:tr>
        <w:trPr>
          <w:trHeight w:val="185"/>
        </w:trPr>
        <w:tc>
          <w:tcPr>
            <w:tcW w:w="5880" w:type="dxa"/>
            <w:vAlign w:val="bottom"/>
            <w:tcBorders>
              <w:bottom w:val="single" w:sz="8" w:color="CCEEFF"/>
            </w:tcBorders>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rPr>
              <w:t>Total provision for credit losses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September 30, 2022, the "loans" portion of the provision for credit losses was the result of the following, offset by net charge-offs of $83,000 during the quarter:</w:t>
      </w:r>
    </w:p>
    <w:p>
      <w:pPr>
        <w:spacing w:after="0" w:line="41" w:lineRule="exact"/>
        <w:rPr>
          <w:sz w:val="20"/>
          <w:szCs w:val="20"/>
          <w:color w:val="auto"/>
        </w:rPr>
      </w:pPr>
    </w:p>
    <w:p>
      <w:pPr>
        <w:ind w:left="380" w:hanging="24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$1.3 million provision specific to fintech portfolios which have a riskier credit profile than loans originated in-house. The elevated credit risk is offset by the higher yields earned on the portfolios.</w:t>
      </w:r>
    </w:p>
    <w:p>
      <w:pPr>
        <w:spacing w:after="0" w:line="63" w:lineRule="exact"/>
        <w:rPr>
          <w:rFonts w:ascii="Arial" w:cs="Arial" w:eastAsia="Arial" w:hAnsi="Arial"/>
          <w:sz w:val="12"/>
          <w:szCs w:val="12"/>
          <w:color w:val="auto"/>
        </w:rPr>
      </w:pPr>
    </w:p>
    <w:p>
      <w:pPr>
        <w:ind w:left="380" w:hanging="248"/>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$1.1 million provision driven by a projected worsening of the economic forecast, specifically the national unemployment rate.</w:t>
      </w:r>
    </w:p>
    <w:p>
      <w:pPr>
        <w:spacing w:after="0" w:line="41" w:lineRule="exact"/>
        <w:rPr>
          <w:rFonts w:ascii="Arial" w:cs="Arial" w:eastAsia="Arial" w:hAnsi="Arial"/>
          <w:sz w:val="13"/>
          <w:szCs w:val="13"/>
          <w:color w:val="auto"/>
        </w:rPr>
      </w:pPr>
    </w:p>
    <w:p>
      <w:pPr>
        <w:ind w:left="380" w:hanging="248"/>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$1.3 million provision driven by loan growth, changes in the loan mix, and qualitative adjustments.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June 30, 2022, the "loans" portion of the provision for credit losses was the result of the following, offset by net recoveries of $714,000 during the quarter:</w:t>
      </w:r>
    </w:p>
    <w:p>
      <w:pPr>
        <w:spacing w:after="0" w:line="52" w:lineRule="exact"/>
        <w:rPr>
          <w:sz w:val="20"/>
          <w:szCs w:val="20"/>
          <w:color w:val="auto"/>
        </w:rPr>
      </w:pPr>
    </w:p>
    <w:p>
      <w:pPr>
        <w:ind w:left="380" w:hanging="24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$1.2 million provision specific to fintech portfolios.</w:t>
      </w:r>
    </w:p>
    <w:p>
      <w:pPr>
        <w:spacing w:after="0" w:line="41" w:lineRule="exact"/>
        <w:rPr>
          <w:rFonts w:ascii="Arial" w:cs="Arial" w:eastAsia="Arial" w:hAnsi="Arial"/>
          <w:sz w:val="13"/>
          <w:szCs w:val="13"/>
          <w:color w:val="auto"/>
        </w:rPr>
      </w:pPr>
    </w:p>
    <w:p>
      <w:pPr>
        <w:ind w:left="380" w:hanging="24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$0.8 million provision driven by a projected worsening of the economic forecast, specifically the national unemployment rate.</w:t>
      </w:r>
    </w:p>
    <w:p>
      <w:pPr>
        <w:spacing w:after="0" w:line="52" w:lineRule="exact"/>
        <w:rPr>
          <w:rFonts w:ascii="Arial" w:cs="Arial" w:eastAsia="Arial" w:hAnsi="Arial"/>
          <w:sz w:val="13"/>
          <w:szCs w:val="13"/>
          <w:color w:val="auto"/>
        </w:rPr>
      </w:pPr>
    </w:p>
    <w:p>
      <w:pPr>
        <w:ind w:left="380" w:hanging="24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$0.8 million provision driven by loan growth, changes in the loan mix, and qualitative adjustments.</w:t>
      </w:r>
    </w:p>
    <w:p>
      <w:pPr>
        <w:spacing w:after="0" w:line="41" w:lineRule="exact"/>
        <w:rPr>
          <w:rFonts w:ascii="Arial" w:cs="Arial" w:eastAsia="Arial" w:hAnsi="Arial"/>
          <w:sz w:val="13"/>
          <w:szCs w:val="13"/>
          <w:color w:val="auto"/>
        </w:rPr>
      </w:pPr>
    </w:p>
    <w:p>
      <w:pPr>
        <w:ind w:left="380" w:hanging="24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$0.8 million provision to fully reserve a single individually evaluated commercial loan relationship where the borrower's financial performance deteriorated during the quarter.</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For both periods presented, the provision for credit losses for off-balance-sheet credit exposure increased for the same reasons outlined above rather than as a result of significant increases in outstanding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13"/>
          <w:szCs w:val="13"/>
          <w:b w:val="1"/>
          <w:bCs w:val="1"/>
          <w:i w:val="1"/>
          <w:iCs w:val="1"/>
          <w:color w:val="auto"/>
        </w:rPr>
        <w:t xml:space="preserve">Noninterest Income. </w:t>
      </w:r>
      <w:r>
        <w:rPr>
          <w:rFonts w:ascii="Arial" w:cs="Arial" w:eastAsia="Arial" w:hAnsi="Arial"/>
          <w:sz w:val="13"/>
          <w:szCs w:val="13"/>
          <w:color w:val="auto"/>
        </w:rPr>
        <w:t>Noninterest income for the three months ended September 30, 2022 decreased $2.3 million, or 23.7%, when compared to the quarter ended June 30, 2022. Changes in selected components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noninterest income are discussed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66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2022</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96"/>
              </w:rPr>
              <w:t>June 30, 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8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Noninterest income</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Service charges and fees on deposit accounts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2,361</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 income and fees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Gain on sale of loans held for sale</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(19)</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BOLI income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Operating lease income</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8</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sale of debt securities available for sale</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w:t>
            </w:r>
          </w:p>
        </w:tc>
      </w:tr>
      <w:tr>
        <w:trPr>
          <w:trHeight w:val="168"/>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w:t>
            </w:r>
          </w:p>
        </w:tc>
      </w:tr>
      <w:tr>
        <w:trPr>
          <w:trHeight w:val="188"/>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noninterest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380" w:hanging="248"/>
        <w:spacing w:after="0" w:line="312" w:lineRule="auto"/>
        <w:tabs>
          <w:tab w:leader="none" w:pos="371" w:val="left"/>
        </w:tabs>
        <w:numPr>
          <w:ilvl w:val="0"/>
          <w:numId w:val="15"/>
        </w:numPr>
        <w:rPr>
          <w:rFonts w:ascii="Arial" w:cs="Arial" w:eastAsia="Arial" w:hAnsi="Arial"/>
          <w:sz w:val="11"/>
          <w:szCs w:val="11"/>
          <w:color w:val="auto"/>
        </w:rPr>
      </w:pPr>
      <w:r>
        <w:rPr>
          <w:rFonts w:ascii="Arial" w:cs="Arial" w:eastAsia="Arial" w:hAnsi="Arial"/>
          <w:sz w:val="11"/>
          <w:szCs w:val="11"/>
          <w:i w:val="1"/>
          <w:iCs w:val="1"/>
          <w:color w:val="auto"/>
        </w:rPr>
        <w:t xml:space="preserve">Gain on sale of loans held for sale: </w:t>
      </w:r>
      <w:r>
        <w:rPr>
          <w:rFonts w:ascii="Arial" w:cs="Arial" w:eastAsia="Arial" w:hAnsi="Arial"/>
          <w:sz w:val="11"/>
          <w:szCs w:val="11"/>
          <w:color w:val="auto"/>
        </w:rPr>
        <w:t>The decrease in the gain on sale of loans held for sale was primarily driven by a decrease in volume of residential mortgage loans sold during the period as a result of rising</w:t>
      </w:r>
      <w:r>
        <w:rPr>
          <w:rFonts w:ascii="Arial" w:cs="Arial" w:eastAsia="Arial" w:hAnsi="Arial"/>
          <w:sz w:val="11"/>
          <w:szCs w:val="11"/>
          <w:i w:val="1"/>
          <w:iCs w:val="1"/>
          <w:color w:val="auto"/>
        </w:rPr>
        <w:t xml:space="preserve"> </w:t>
      </w:r>
      <w:r>
        <w:rPr>
          <w:rFonts w:ascii="Arial" w:cs="Arial" w:eastAsia="Arial" w:hAnsi="Arial"/>
          <w:sz w:val="11"/>
          <w:szCs w:val="11"/>
          <w:color w:val="auto"/>
        </w:rPr>
        <w:t>interest rates. During the quarter ended September 30, 2022, $20.9 million of residential mortgage loans originated for sale were sold with gains of $493,000 compared to $38.3 million sold with gains of $835,000 for the quarter ended June 30, 2022. There were $12.1 million of sales of the guaranteed portion of SBA commercial loans with gains of $891,000 in the current quarter compared to $11.2 million sold and gains of $904,000 in the prior quarter. Lastly, the Company sold $22.8 million of HELOCs during the current quarter for a gain of $202,000 compared to $22.8 million sold and gains of $210,000 in the prior quarter.</w:t>
      </w:r>
    </w:p>
    <w:p>
      <w:pPr>
        <w:ind w:left="380" w:hanging="248"/>
        <w:spacing w:after="0" w:line="257" w:lineRule="auto"/>
        <w:tabs>
          <w:tab w:leader="none" w:pos="371" w:val="left"/>
        </w:tabs>
        <w:numPr>
          <w:ilvl w:val="0"/>
          <w:numId w:val="15"/>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Gain on sale of debt securities available for sale: </w:t>
      </w:r>
      <w:r>
        <w:rPr>
          <w:rFonts w:ascii="Arial" w:cs="Arial" w:eastAsia="Arial" w:hAnsi="Arial"/>
          <w:sz w:val="13"/>
          <w:szCs w:val="13"/>
          <w:color w:val="auto"/>
        </w:rPr>
        <w:t>The decrease in the gain was driven by the sale of seven trust preferred securities during the quarter ended June 30, 2022 which had previously been written down</w:t>
      </w:r>
      <w:r>
        <w:rPr>
          <w:rFonts w:ascii="Arial" w:cs="Arial" w:eastAsia="Arial" w:hAnsi="Arial"/>
          <w:sz w:val="13"/>
          <w:szCs w:val="13"/>
          <w:i w:val="1"/>
          <w:iCs w:val="1"/>
          <w:color w:val="auto"/>
        </w:rPr>
        <w:t xml:space="preserve"> </w:t>
      </w:r>
      <w:r>
        <w:rPr>
          <w:rFonts w:ascii="Arial" w:cs="Arial" w:eastAsia="Arial" w:hAnsi="Arial"/>
          <w:sz w:val="13"/>
          <w:szCs w:val="13"/>
          <w:color w:val="auto"/>
        </w:rPr>
        <w:t>to zero through purchase accounting adjustments from a merger in a prior period. No other securities were sold during either period presented.</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i w:val="1"/>
          <w:iCs w:val="1"/>
          <w:color w:val="auto"/>
        </w:rPr>
        <w:t xml:space="preserve">Noninterest Expense. </w:t>
      </w:r>
      <w:r>
        <w:rPr>
          <w:rFonts w:ascii="Arial" w:cs="Arial" w:eastAsia="Arial" w:hAnsi="Arial"/>
          <w:sz w:val="13"/>
          <w:szCs w:val="13"/>
          <w:color w:val="auto"/>
        </w:rPr>
        <w:t>Noninterest expense for the three months ended September 30, 2022 decreased $1.4 million, or 4.9%, when compared to the three months ended June 30, 2022. Changes in selected components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noninterest expense are discussed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66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2022</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96"/>
              </w:rPr>
              <w:t>June 30, 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8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Noninterest expense</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Salaries and employee benefits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14,815</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14,709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Occupancy expense, net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Computer services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(2)</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Telephone, postage and supplies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Marketing and advertising</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25</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Deposit insurance premiums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Core deposit intangible amortization</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(19)</w:t>
            </w:r>
          </w:p>
        </w:tc>
      </w:tr>
      <w:tr>
        <w:trPr>
          <w:trHeight w:val="172"/>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Merger-related expenses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w:t>
            </w:r>
          </w:p>
        </w:tc>
      </w:tr>
      <w:tr>
        <w:trPr>
          <w:trHeight w:val="168"/>
        </w:trPr>
        <w:tc>
          <w:tcPr>
            <w:tcW w:w="5880" w:type="dxa"/>
            <w:vAlign w:val="bottom"/>
          </w:tcPr>
          <w:p>
            <w:pPr>
              <w:ind w:left="120"/>
              <w:spacing w:after="0"/>
              <w:rPr>
                <w:sz w:val="20"/>
                <w:szCs w:val="20"/>
                <w:color w:val="auto"/>
              </w:rPr>
            </w:pPr>
            <w:r>
              <w:rPr>
                <w:rFonts w:ascii="Arial" w:cs="Arial" w:eastAsia="Arial" w:hAnsi="Arial"/>
                <w:sz w:val="13"/>
                <w:szCs w:val="13"/>
                <w:color w:val="auto"/>
              </w:rPr>
              <w:t>Officer transition agreement expense</w:t>
            </w: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(100)</w:t>
            </w:r>
          </w:p>
        </w:tc>
      </w:tr>
      <w:tr>
        <w:trPr>
          <w:trHeight w:val="170"/>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b w:val="1"/>
                <w:bCs w:val="1"/>
                <w:color w:val="auto"/>
              </w:rPr>
              <w:t>Total noninterest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26,101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(1,358)</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80" w:hanging="248"/>
        <w:spacing w:after="0" w:line="274" w:lineRule="auto"/>
        <w:tabs>
          <w:tab w:leader="none" w:pos="371"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Merger-related expenses: </w:t>
      </w:r>
      <w:r>
        <w:rPr>
          <w:rFonts w:ascii="Arial" w:cs="Arial" w:eastAsia="Arial" w:hAnsi="Arial"/>
          <w:sz w:val="13"/>
          <w:szCs w:val="13"/>
          <w:color w:val="auto"/>
        </w:rPr>
        <w:t>On July 24, 2022, the Company entered into an Agreement and Plan of Merger with Quantum Capital Corp. The expense for the three months ended September 30, 2022 are costs incurred</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due diligence and legal work performed associated with the transaction. No such expense was incurred in the quarter ended June 30, 2022.</w:t>
      </w:r>
    </w:p>
    <w:p>
      <w:pPr>
        <w:spacing w:after="0" w:line="8" w:lineRule="exact"/>
        <w:rPr>
          <w:rFonts w:ascii="Arial" w:cs="Arial" w:eastAsia="Arial" w:hAnsi="Arial"/>
          <w:sz w:val="13"/>
          <w:szCs w:val="13"/>
          <w:b w:val="1"/>
          <w:bCs w:val="1"/>
          <w:i w:val="1"/>
          <w:iCs w:val="1"/>
          <w:color w:val="auto"/>
        </w:rPr>
      </w:pPr>
    </w:p>
    <w:p>
      <w:pPr>
        <w:ind w:left="380" w:hanging="248"/>
        <w:spacing w:after="0" w:line="299" w:lineRule="auto"/>
        <w:tabs>
          <w:tab w:leader="none" w:pos="371"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Officer transition agreement expense: </w:t>
      </w:r>
      <w:r>
        <w:rPr>
          <w:rFonts w:ascii="Arial" w:cs="Arial" w:eastAsia="Arial" w:hAnsi="Arial"/>
          <w:sz w:val="12"/>
          <w:szCs w:val="12"/>
          <w:color w:val="auto"/>
        </w:rPr>
        <w:t>In May 2022, the Company entered into an amended and restated employment and transition agreement with the Company's Chairman and former CEO. As part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the full amount of the estimated separation payment was accrued in the quarter ended June 30, 2022. No such expenses were incurred in the quarter ended September 30, 2022.</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The amount of income tax expense is influenced by the amount of pre-tax income, the amount of tax-exempt income, changes in the statutory rate, and the effect of changes in valuation allowances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maintained against deferred tax benefits. Income tax expense for the three months ended September 30, 2022 increased $965,000 as a result of higher taxable income in the current quarter and an increase in the effective tax rate which moved from 21.8% to 22.3% quarter-over-quarter.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Comparison of Results of Operations for the Three Months Ended September 30, 2022 and September 30, 2021</w:t>
      </w:r>
    </w:p>
    <w:p>
      <w:pPr>
        <w:spacing w:after="0" w:line="88" w:lineRule="exact"/>
        <w:rPr>
          <w:sz w:val="20"/>
          <w:szCs w:val="20"/>
          <w:color w:val="auto"/>
        </w:rPr>
      </w:pPr>
    </w:p>
    <w:p>
      <w:pPr>
        <w:jc w:val="both"/>
        <w:spacing w:after="0" w:line="325" w:lineRule="auto"/>
        <w:rPr>
          <w:sz w:val="20"/>
          <w:szCs w:val="20"/>
          <w:color w:val="auto"/>
        </w:rPr>
      </w:pPr>
      <w:r>
        <w:rPr>
          <w:rFonts w:ascii="Arial" w:cs="Arial" w:eastAsia="Arial" w:hAnsi="Arial"/>
          <w:sz w:val="11"/>
          <w:szCs w:val="11"/>
          <w:b w:val="1"/>
          <w:bCs w:val="1"/>
          <w:i w:val="1"/>
          <w:iCs w:val="1"/>
          <w:color w:val="auto"/>
        </w:rPr>
        <w:t xml:space="preserve">Net Income. </w:t>
      </w:r>
      <w:r>
        <w:rPr>
          <w:rFonts w:ascii="Arial" w:cs="Arial" w:eastAsia="Arial" w:hAnsi="Arial"/>
          <w:sz w:val="11"/>
          <w:szCs w:val="11"/>
          <w:color w:val="auto"/>
        </w:rPr>
        <w:t>Net income totaled $9.2 million, or $0.60 per diluted share, for the three months ended September 30, 2022 compared to net income of $10.5 million, or $0.65 per diluted share, for the three months ended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September 30, 2021, a decrease of $1.3 million, or 12.6%. The results for the three months ended September 30, 2022 were negatively impacted by an increase of $5.4 million in the provision for credit losses and a $2.9 million decrease in noninterest income, partially offset by a $6.8 million increase in net interest income. Details of the changes in the various components of net income are further discussed below.</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Net Interest Income. </w:t>
      </w:r>
      <w:r>
        <w:rPr>
          <w:rFonts w:ascii="Arial" w:cs="Arial" w:eastAsia="Arial" w:hAnsi="Arial"/>
          <w:sz w:val="13"/>
          <w:szCs w:val="13"/>
          <w:color w:val="auto"/>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8"/>
              </w:rPr>
              <w:t>September 30, 2022</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September 30, 2021</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w w:val="85"/>
              </w:rPr>
              <w:t>Average</w:t>
            </w:r>
          </w:p>
        </w:tc>
        <w:tc>
          <w:tcPr>
            <w:tcW w:w="200" w:type="dxa"/>
            <w:vAlign w:val="bottom"/>
          </w:tcPr>
          <w:p>
            <w:pPr>
              <w:spacing w:after="0"/>
              <w:rPr>
                <w:sz w:val="10"/>
                <w:szCs w:val="10"/>
                <w:color w:val="auto"/>
              </w:rPr>
            </w:pPr>
          </w:p>
        </w:tc>
        <w:tc>
          <w:tcPr>
            <w:tcW w:w="900" w:type="dxa"/>
            <w:vAlign w:val="bottom"/>
          </w:tcPr>
          <w:p>
            <w:pPr>
              <w:jc w:val="center"/>
              <w:ind w:right="136"/>
              <w:spacing w:after="0" w:line="12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0"/>
                <w:szCs w:val="10"/>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0"/>
                <w:szCs w:val="10"/>
                <w:color w:val="auto"/>
              </w:rPr>
            </w:pPr>
          </w:p>
        </w:tc>
        <w:tc>
          <w:tcPr>
            <w:tcW w:w="900" w:type="dxa"/>
            <w:vAlign w:val="bottom"/>
          </w:tcPr>
          <w:p>
            <w:pPr>
              <w:jc w:val="center"/>
              <w:ind w:right="136"/>
              <w:spacing w:after="0" w:line="12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0"/>
                <w:szCs w:val="10"/>
                <w:color w:val="auto"/>
              </w:rPr>
            </w:pPr>
          </w:p>
        </w:tc>
        <w:tc>
          <w:tcPr>
            <w:tcW w:w="120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27"/>
        </w:trPr>
        <w:tc>
          <w:tcPr>
            <w:tcW w:w="372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8"/>
              </w:rPr>
              <w:t>Balance</w:t>
            </w:r>
          </w:p>
        </w:tc>
        <w:tc>
          <w:tcPr>
            <w:tcW w:w="200" w:type="dxa"/>
            <w:vAlign w:val="bottom"/>
          </w:tcPr>
          <w:p>
            <w:pPr>
              <w:spacing w:after="0"/>
              <w:rPr>
                <w:sz w:val="11"/>
                <w:szCs w:val="11"/>
                <w:color w:val="auto"/>
              </w:rPr>
            </w:pPr>
          </w:p>
        </w:tc>
        <w:tc>
          <w:tcPr>
            <w:tcW w:w="900" w:type="dxa"/>
            <w:vAlign w:val="bottom"/>
          </w:tcPr>
          <w:p>
            <w:pPr>
              <w:jc w:val="center"/>
              <w:ind w:right="156"/>
              <w:spacing w:after="0" w:line="128" w:lineRule="exact"/>
              <w:rPr>
                <w:sz w:val="20"/>
                <w:szCs w:val="20"/>
                <w:color w:val="auto"/>
              </w:rPr>
            </w:pPr>
            <w:r>
              <w:rPr>
                <w:rFonts w:ascii="Arial" w:cs="Arial" w:eastAsia="Arial" w:hAnsi="Arial"/>
                <w:sz w:val="13"/>
                <w:szCs w:val="13"/>
                <w:b w:val="1"/>
                <w:bCs w:val="1"/>
                <w:color w:val="auto"/>
                <w:w w:val="92"/>
              </w:rPr>
              <w:t>Earned/</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8"/>
              </w:rPr>
              <w:t>Balance</w:t>
            </w:r>
          </w:p>
        </w:tc>
        <w:tc>
          <w:tcPr>
            <w:tcW w:w="220" w:type="dxa"/>
            <w:vAlign w:val="bottom"/>
          </w:tcPr>
          <w:p>
            <w:pPr>
              <w:spacing w:after="0"/>
              <w:rPr>
                <w:sz w:val="11"/>
                <w:szCs w:val="11"/>
                <w:color w:val="auto"/>
              </w:rPr>
            </w:pPr>
          </w:p>
        </w:tc>
        <w:tc>
          <w:tcPr>
            <w:tcW w:w="900" w:type="dxa"/>
            <w:vAlign w:val="bottom"/>
          </w:tcPr>
          <w:p>
            <w:pPr>
              <w:jc w:val="center"/>
              <w:ind w:right="156"/>
              <w:spacing w:after="0" w:line="128" w:lineRule="exact"/>
              <w:rPr>
                <w:sz w:val="20"/>
                <w:szCs w:val="20"/>
                <w:color w:val="auto"/>
              </w:rPr>
            </w:pPr>
            <w:r>
              <w:rPr>
                <w:rFonts w:ascii="Arial" w:cs="Arial" w:eastAsia="Arial" w:hAnsi="Arial"/>
                <w:sz w:val="13"/>
                <w:szCs w:val="13"/>
                <w:b w:val="1"/>
                <w:bCs w:val="1"/>
                <w:color w:val="auto"/>
                <w:w w:val="92"/>
              </w:rPr>
              <w:t>Earned/</w:t>
            </w: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900" w:type="dxa"/>
            <w:vAlign w:val="bottom"/>
          </w:tcPr>
          <w:p>
            <w:pPr>
              <w:jc w:val="center"/>
              <w:ind w:right="136"/>
              <w:spacing w:after="0" w:line="170" w:lineRule="exact"/>
              <w:rPr>
                <w:sz w:val="20"/>
                <w:szCs w:val="20"/>
                <w:color w:val="auto"/>
              </w:rPr>
            </w:pPr>
            <w:r>
              <w:rPr>
                <w:rFonts w:ascii="Arial" w:cs="Arial" w:eastAsia="Arial" w:hAnsi="Arial"/>
                <w:sz w:val="13"/>
                <w:szCs w:val="13"/>
                <w:b w:val="1"/>
                <w:bCs w:val="1"/>
                <w:color w:val="auto"/>
                <w:w w:val="83"/>
              </w:rPr>
              <w:t>Paid</w:t>
            </w:r>
            <w:r>
              <w:rPr>
                <w:rFonts w:ascii="Arial" w:cs="Arial" w:eastAsia="Arial" w:hAnsi="Arial"/>
                <w:sz w:val="16"/>
                <w:szCs w:val="16"/>
                <w:b w:val="1"/>
                <w:bCs w:val="1"/>
                <w:color w:val="auto"/>
                <w:w w:val="83"/>
                <w:vertAlign w:val="superscript"/>
              </w:rPr>
              <w:t>(2)</w:t>
            </w:r>
          </w:p>
        </w:tc>
        <w:tc>
          <w:tcPr>
            <w:tcW w:w="100" w:type="dxa"/>
            <w:vAlign w:val="bottom"/>
          </w:tcPr>
          <w:p>
            <w:pPr>
              <w:spacing w:after="0"/>
              <w:rPr>
                <w:sz w:val="14"/>
                <w:szCs w:val="14"/>
                <w:color w:val="auto"/>
              </w:rPr>
            </w:pPr>
          </w:p>
        </w:tc>
        <w:tc>
          <w:tcPr>
            <w:tcW w:w="1280" w:type="dxa"/>
            <w:vAlign w:val="bottom"/>
            <w:gridSpan w:val="2"/>
          </w:tcPr>
          <w:p>
            <w:pPr>
              <w:ind w:left="420"/>
              <w:spacing w:after="0" w:line="170"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6"/>
                <w:szCs w:val="16"/>
                <w:b w:val="1"/>
                <w:bCs w:val="1"/>
                <w:color w:val="auto"/>
                <w:vertAlign w:val="superscript"/>
              </w:rPr>
              <w:t>(2)</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Outstanding</w:t>
            </w:r>
          </w:p>
        </w:tc>
        <w:tc>
          <w:tcPr>
            <w:tcW w:w="220" w:type="dxa"/>
            <w:vAlign w:val="bottom"/>
          </w:tcPr>
          <w:p>
            <w:pPr>
              <w:spacing w:after="0"/>
              <w:rPr>
                <w:sz w:val="14"/>
                <w:szCs w:val="14"/>
                <w:color w:val="auto"/>
              </w:rPr>
            </w:pPr>
          </w:p>
        </w:tc>
        <w:tc>
          <w:tcPr>
            <w:tcW w:w="900" w:type="dxa"/>
            <w:vAlign w:val="bottom"/>
          </w:tcPr>
          <w:p>
            <w:pPr>
              <w:jc w:val="center"/>
              <w:ind w:right="156"/>
              <w:spacing w:after="0" w:line="170" w:lineRule="exact"/>
              <w:rPr>
                <w:sz w:val="20"/>
                <w:szCs w:val="20"/>
                <w:color w:val="auto"/>
              </w:rPr>
            </w:pPr>
            <w:r>
              <w:rPr>
                <w:rFonts w:ascii="Arial" w:cs="Arial" w:eastAsia="Arial" w:hAnsi="Arial"/>
                <w:sz w:val="13"/>
                <w:szCs w:val="13"/>
                <w:b w:val="1"/>
                <w:bCs w:val="1"/>
                <w:color w:val="auto"/>
                <w:w w:val="88"/>
              </w:rPr>
              <w:t>Paid</w:t>
            </w:r>
            <w:r>
              <w:rPr>
                <w:rFonts w:ascii="Arial" w:cs="Arial" w:eastAsia="Arial" w:hAnsi="Arial"/>
                <w:sz w:val="16"/>
                <w:szCs w:val="16"/>
                <w:b w:val="1"/>
                <w:bCs w:val="1"/>
                <w:color w:val="auto"/>
                <w:w w:val="88"/>
                <w:vertAlign w:val="superscript"/>
              </w:rPr>
              <w:t>(2)</w:t>
            </w:r>
          </w:p>
        </w:tc>
        <w:tc>
          <w:tcPr>
            <w:tcW w:w="100" w:type="dxa"/>
            <w:vAlign w:val="bottom"/>
          </w:tcPr>
          <w:p>
            <w:pPr>
              <w:spacing w:after="0"/>
              <w:rPr>
                <w:sz w:val="14"/>
                <w:szCs w:val="14"/>
                <w:color w:val="auto"/>
              </w:rPr>
            </w:pPr>
          </w:p>
        </w:tc>
        <w:tc>
          <w:tcPr>
            <w:tcW w:w="1200" w:type="dxa"/>
            <w:vAlign w:val="bottom"/>
          </w:tcPr>
          <w:p>
            <w:pPr>
              <w:ind w:left="420"/>
              <w:spacing w:after="0" w:line="170"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50"/>
        </w:trPr>
        <w:tc>
          <w:tcPr>
            <w:tcW w:w="37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Arial" w:cs="Arial" w:eastAsia="Arial" w:hAnsi="Arial"/>
                <w:sz w:val="13"/>
                <w:szCs w:val="13"/>
                <w:color w:val="auto"/>
              </w:rPr>
              <w:t>Interest-earning assets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line="172" w:lineRule="exact"/>
              <w:rPr>
                <w:sz w:val="20"/>
                <w:szCs w:val="20"/>
                <w:color w:val="auto"/>
              </w:rPr>
            </w:pPr>
            <w:r>
              <w:rPr>
                <w:rFonts w:ascii="Arial" w:cs="Arial" w:eastAsia="Arial" w:hAnsi="Arial"/>
                <w:sz w:val="13"/>
                <w:szCs w:val="13"/>
                <w:color w:val="auto"/>
              </w:rPr>
              <w:t>Loans receivable</w:t>
            </w:r>
            <w:r>
              <w:rPr>
                <w:rFonts w:ascii="Arial" w:cs="Arial" w:eastAsia="Arial" w:hAnsi="Arial"/>
                <w:sz w:val="16"/>
                <w:szCs w:val="16"/>
                <w:color w:val="auto"/>
                <w:vertAlign w:val="superscript"/>
              </w:rPr>
              <w:t>(1)</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2,880,148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33,522</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4.62 %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2,819,716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28,205</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3.97 %</w:t>
            </w: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rPr>
                <w:sz w:val="20"/>
                <w:szCs w:val="20"/>
                <w:color w:val="auto"/>
              </w:rPr>
            </w:pPr>
            <w:r>
              <w:rPr>
                <w:rFonts w:ascii="Arial" w:cs="Arial" w:eastAsia="Arial" w:hAnsi="Arial"/>
                <w:sz w:val="13"/>
                <w:szCs w:val="13"/>
                <w:color w:val="auto"/>
              </w:rPr>
              <w:t>Commercial paper</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214,214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1,116</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160,857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 securities available for sale</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135,015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138,435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0"/>
        </w:trPr>
        <w:tc>
          <w:tcPr>
            <w:tcW w:w="372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3"/>
                <w:szCs w:val="13"/>
                <w:color w:val="auto"/>
              </w:rPr>
              <w:t>Other interest-earning assets</w:t>
            </w:r>
            <w:r>
              <w:rPr>
                <w:rFonts w:ascii="Arial" w:cs="Arial" w:eastAsia="Arial" w:hAnsi="Arial"/>
                <w:sz w:val="16"/>
                <w:szCs w:val="16"/>
                <w:color w:val="auto"/>
                <w:vertAlign w:val="superscript"/>
              </w:rPr>
              <w:t>(3)</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113,821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3.10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138,438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60"/>
        </w:trPr>
        <w:tc>
          <w:tcPr>
            <w:tcW w:w="3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interest-earning assets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3,343,198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36,204</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3,257,446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29,615</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6"/>
              <w:spacing w:after="0" w:line="146" w:lineRule="exact"/>
              <w:rPr>
                <w:sz w:val="20"/>
                <w:szCs w:val="20"/>
                <w:color w:val="auto"/>
              </w:rPr>
            </w:pPr>
            <w:r>
              <w:rPr>
                <w:rFonts w:ascii="Arial" w:cs="Arial" w:eastAsia="Arial" w:hAnsi="Arial"/>
                <w:sz w:val="13"/>
                <w:szCs w:val="13"/>
                <w:color w:val="auto"/>
              </w:rPr>
              <w:t>243,113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6" w:lineRule="exact"/>
              <w:rPr>
                <w:sz w:val="20"/>
                <w:szCs w:val="20"/>
                <w:color w:val="auto"/>
              </w:rPr>
            </w:pPr>
            <w:r>
              <w:rPr>
                <w:rFonts w:ascii="Arial" w:cs="Arial" w:eastAsia="Arial" w:hAnsi="Arial"/>
                <w:sz w:val="13"/>
                <w:szCs w:val="13"/>
                <w:color w:val="auto"/>
              </w:rPr>
              <w:t>260,976</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3,586,311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3,518,422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Interest-bearing liabilities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654,154</w:t>
            </w:r>
          </w:p>
        </w:tc>
        <w:tc>
          <w:tcPr>
            <w:tcW w:w="1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268</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w w:val="88"/>
              </w:rPr>
              <w:t>0.16 %</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635,456</w:t>
            </w:r>
          </w:p>
        </w:tc>
        <w:tc>
          <w:tcPr>
            <w:tcW w:w="10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397</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w w:val="88"/>
              </w:rPr>
              <w:t>0.25 %</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968,084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0.21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988,990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168"/>
        </w:trPr>
        <w:tc>
          <w:tcPr>
            <w:tcW w:w="3720" w:type="dxa"/>
            <w:vAlign w:val="bottom"/>
          </w:tcPr>
          <w:p>
            <w:pPr>
              <w:ind w:left="100"/>
              <w:spacing w:after="0"/>
              <w:rPr>
                <w:sz w:val="20"/>
                <w:szCs w:val="20"/>
                <w:color w:val="auto"/>
              </w:rPr>
            </w:pPr>
            <w:r>
              <w:rPr>
                <w:rFonts w:ascii="Arial" w:cs="Arial" w:eastAsia="Arial" w:hAnsi="Arial"/>
                <w:sz w:val="13"/>
                <w:szCs w:val="13"/>
                <w:color w:val="auto"/>
              </w:rPr>
              <w:t>Savings accounts</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238,992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223,658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 accounts</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476,761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0.47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457,865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767</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158"/>
        </w:trPr>
        <w:tc>
          <w:tcPr>
            <w:tcW w:w="3720" w:type="dxa"/>
            <w:vAlign w:val="bottom"/>
          </w:tcPr>
          <w:p>
            <w:pPr>
              <w:ind w:left="200"/>
              <w:spacing w:after="0"/>
              <w:rPr>
                <w:sz w:val="20"/>
                <w:szCs w:val="20"/>
                <w:color w:val="auto"/>
              </w:rPr>
            </w:pPr>
            <w:r>
              <w:rPr>
                <w:rFonts w:ascii="Arial" w:cs="Arial" w:eastAsia="Arial" w:hAnsi="Arial"/>
                <w:sz w:val="13"/>
                <w:szCs w:val="13"/>
                <w:color w:val="auto"/>
              </w:rPr>
              <w:t>Total interest-bearing deposits</w:t>
            </w: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2,337,991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1,395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2,305,969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1,572</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1,526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55,464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158"/>
        </w:trPr>
        <w:tc>
          <w:tcPr>
            <w:tcW w:w="3720" w:type="dxa"/>
            <w:vAlign w:val="bottom"/>
          </w:tcPr>
          <w:p>
            <w:pPr>
              <w:ind w:left="200"/>
              <w:spacing w:after="0"/>
              <w:rPr>
                <w:sz w:val="20"/>
                <w:szCs w:val="20"/>
                <w:color w:val="auto"/>
              </w:rPr>
            </w:pPr>
            <w:r>
              <w:rPr>
                <w:rFonts w:ascii="Arial" w:cs="Arial" w:eastAsia="Arial" w:hAnsi="Arial"/>
                <w:sz w:val="13"/>
                <w:szCs w:val="13"/>
                <w:color w:val="auto"/>
              </w:rPr>
              <w:t>Total interest-bearing liabilities</w:t>
            </w: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2,339,517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1,407</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2,361,433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1,598</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52"/>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Noninterest-bearing deposits</w:t>
            </w:r>
          </w:p>
        </w:tc>
        <w:tc>
          <w:tcPr>
            <w:tcW w:w="1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jc w:val="right"/>
              <w:ind w:right="36"/>
              <w:spacing w:after="0" w:line="148" w:lineRule="exact"/>
              <w:rPr>
                <w:sz w:val="20"/>
                <w:szCs w:val="20"/>
                <w:color w:val="auto"/>
              </w:rPr>
            </w:pPr>
            <w:r>
              <w:rPr>
                <w:rFonts w:ascii="Arial" w:cs="Arial" w:eastAsia="Arial" w:hAnsi="Arial"/>
                <w:sz w:val="13"/>
                <w:szCs w:val="13"/>
                <w:color w:val="auto"/>
              </w:rPr>
              <w:t>800,912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jc w:val="right"/>
              <w:ind w:right="36"/>
              <w:spacing w:after="0" w:line="148" w:lineRule="exact"/>
              <w:rPr>
                <w:sz w:val="20"/>
                <w:szCs w:val="20"/>
                <w:color w:val="auto"/>
              </w:rPr>
            </w:pPr>
            <w:r>
              <w:rPr>
                <w:rFonts w:ascii="Arial" w:cs="Arial" w:eastAsia="Arial" w:hAnsi="Arial"/>
                <w:sz w:val="13"/>
                <w:szCs w:val="13"/>
                <w:color w:val="auto"/>
              </w:rPr>
              <w:t>708,219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51,485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52,305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3,191,914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3,121,957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Stockholders' equity</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394,397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396,465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Borders>
              <w:bottom w:val="single" w:sz="8" w:color="CCEEFF"/>
            </w:tcBorders>
            <w:shd w:val="clear" w:color="auto" w:fill="CCEEFF"/>
          </w:tcPr>
          <w:p>
            <w:pPr>
              <w:ind w:left="120"/>
              <w:spacing w:after="0" w:line="141" w:lineRule="exact"/>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3,586,311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3,518,422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20" w:type="dxa"/>
            <w:vAlign w:val="bottom"/>
          </w:tcPr>
          <w:p>
            <w:pPr>
              <w:ind w:left="20"/>
              <w:spacing w:after="0" w:line="133" w:lineRule="exact"/>
              <w:rPr>
                <w:sz w:val="20"/>
                <w:szCs w:val="20"/>
                <w:color w:val="auto"/>
              </w:rPr>
            </w:pPr>
            <w:r>
              <w:rPr>
                <w:rFonts w:ascii="Arial" w:cs="Arial" w:eastAsia="Arial" w:hAnsi="Arial"/>
                <w:sz w:val="13"/>
                <w:szCs w:val="13"/>
                <w:color w:val="auto"/>
              </w:rPr>
              <w:t>Net earning assets</w:t>
            </w: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rPr>
              <w:t>1,003,681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rPr>
              <w:t>896,013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w w:val="90"/>
              </w:rPr>
              <w:t>Average interest-earning assets to average interest-bearing liabilities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142.90 %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137.94 %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Tax-equivalent</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34,797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28,017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4.06 %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3.34 %</w:t>
            </w: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(4)</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4.13 %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3.41 %</w:t>
            </w: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Non-tax-equivalent</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34,520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27,707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4.02 %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3.30 %</w:t>
            </w: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(4)</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4.10 %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3.37 %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average loans receivable balances include loans held for sale and nonaccruing loans.</w:t>
      </w:r>
    </w:p>
    <w:p>
      <w:pPr>
        <w:ind w:left="320" w:right="20" w:hanging="315"/>
        <w:spacing w:after="0" w:line="254" w:lineRule="auto"/>
        <w:tabs>
          <w:tab w:leader="none" w:pos="319"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Interest income used in the average interest earned and yield calculation includes the tax equivalent adjustment of $277 and $310 for the three months ended September 30, 2022 and September 30, 2021, respectively, calculated based on a combined federal and state tax rate of 24%.</w:t>
      </w:r>
    </w:p>
    <w:p>
      <w:pPr>
        <w:ind w:left="320" w:hanging="315"/>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average other interest-earning assets consist of FRB stock, FHLB stock, SBIC investments, and deposits in other banks.</w:t>
      </w:r>
    </w:p>
    <w:p>
      <w:pPr>
        <w:spacing w:after="0" w:line="1" w:lineRule="exact"/>
        <w:rPr>
          <w:rFonts w:ascii="Arial" w:cs="Arial" w:eastAsia="Arial" w:hAnsi="Arial"/>
          <w:sz w:val="10"/>
          <w:szCs w:val="10"/>
          <w:color w:val="auto"/>
        </w:rPr>
      </w:pPr>
    </w:p>
    <w:p>
      <w:pPr>
        <w:ind w:left="320" w:hanging="315"/>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Net interest income divided by average interest-earning assets.</w:t>
      </w:r>
    </w:p>
    <w:p>
      <w:pPr>
        <w:spacing w:after="0" w:line="84" w:lineRule="exact"/>
        <w:rPr>
          <w:sz w:val="20"/>
          <w:szCs w:val="20"/>
          <w:color w:val="auto"/>
        </w:rPr>
      </w:pPr>
    </w:p>
    <w:p>
      <w:pPr>
        <w:spacing w:after="0" w:line="317" w:lineRule="auto"/>
        <w:rPr>
          <w:sz w:val="20"/>
          <w:szCs w:val="20"/>
          <w:color w:val="auto"/>
        </w:rPr>
      </w:pPr>
      <w:r>
        <w:rPr>
          <w:rFonts w:ascii="Arial" w:cs="Arial" w:eastAsia="Arial" w:hAnsi="Arial"/>
          <w:sz w:val="12"/>
          <w:szCs w:val="12"/>
          <w:color w:val="auto"/>
        </w:rPr>
        <w:t>Total interest and dividend income for the three months ended September 30, 2022 increased $6.6 million, or 22.6%, compared to the three months ended September 30, 2021, which was driven by a $5.4 million, or 19.2%, increase in interest income on loans, and a $961,000, or 620.0%, increase in interest income on commercial paper. The overall increase in average yield on interest-earning assets was the result of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8" w:name="page39"/>
    <w:bookmarkEnd w:id="38"/>
    <w:p>
      <w:pPr>
        <w:spacing w:after="0" w:line="299" w:lineRule="auto"/>
        <w:rPr>
          <w:sz w:val="20"/>
          <w:szCs w:val="20"/>
          <w:color w:val="auto"/>
        </w:rPr>
      </w:pPr>
      <w:r>
        <w:rPr>
          <w:rFonts w:ascii="Arial" w:cs="Arial" w:eastAsia="Arial" w:hAnsi="Arial"/>
          <w:sz w:val="12"/>
          <w:szCs w:val="12"/>
          <w:color w:val="auto"/>
        </w:rPr>
        <w:t>rising interest rates, while the rate paid on interest-bearing liabilities has not increased as rapidly. Specific to the commercial paper and debt securities available for sale, the Company has intentionally maintained relatively short-term duration portfolios which has allowed, and will continue to allow, the Company to take advantage of rising rates when reinvesting the proceeds of maturing instruments.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Total interest expense for the three months ended September 30, 2022 decreased $191,000, or 12.0%, compared to the three months ended September 30, 2021. The decrease was driven by a $177,000, or 11.3%, decrease in interest expense on deposits as a result of a 3 basis point decrease in the associated average cost of funds.</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Increase/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3"/>
          </w:tcPr>
          <w:p>
            <w:pPr>
              <w:jc w:val="center"/>
              <w:spacing w:after="0" w:line="128" w:lineRule="exact"/>
              <w:rPr>
                <w:sz w:val="20"/>
                <w:szCs w:val="20"/>
                <w:color w:val="auto"/>
              </w:rPr>
            </w:pPr>
            <w:r>
              <w:rPr>
                <w:rFonts w:ascii="Arial" w:cs="Arial" w:eastAsia="Arial" w:hAnsi="Arial"/>
                <w:sz w:val="13"/>
                <w:szCs w:val="13"/>
                <w:b w:val="1"/>
                <w:bCs w:val="1"/>
                <w:color w:val="auto"/>
                <w:w w:val="84"/>
              </w:rPr>
              <w:t>(Decrease)</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3"/>
        </w:trPr>
        <w:tc>
          <w:tcPr>
            <w:tcW w:w="740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880" w:type="dxa"/>
            <w:vAlign w:val="bottom"/>
          </w:tcPr>
          <w:p>
            <w:pPr>
              <w:spacing w:after="0"/>
              <w:rPr>
                <w:sz w:val="4"/>
                <w:szCs w:val="4"/>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Due to</w:t>
            </w: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400" w:type="dxa"/>
            <w:vAlign w:val="bottom"/>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37"/>
              <w:spacing w:after="0" w:line="107" w:lineRule="exact"/>
              <w:rPr>
                <w:sz w:val="20"/>
                <w:szCs w:val="20"/>
                <w:color w:val="auto"/>
              </w:rPr>
            </w:pPr>
            <w:r>
              <w:rPr>
                <w:rFonts w:ascii="Arial" w:cs="Arial" w:eastAsia="Arial" w:hAnsi="Arial"/>
                <w:sz w:val="12"/>
                <w:szCs w:val="12"/>
                <w:b w:val="1"/>
                <w:bCs w:val="1"/>
                <w:color w:val="auto"/>
                <w:w w:val="95"/>
              </w:rPr>
              <w:t>Increase/</w:t>
            </w:r>
          </w:p>
        </w:tc>
        <w:tc>
          <w:tcPr>
            <w:tcW w:w="0" w:type="dxa"/>
            <w:vAlign w:val="bottom"/>
          </w:tcPr>
          <w:p>
            <w:pPr>
              <w:spacing w:after="0"/>
              <w:rPr>
                <w:sz w:val="1"/>
                <w:szCs w:val="1"/>
                <w:color w:val="auto"/>
              </w:rPr>
            </w:pPr>
          </w:p>
        </w:tc>
      </w:tr>
      <w:tr>
        <w:trPr>
          <w:trHeight w:val="158"/>
        </w:trPr>
        <w:tc>
          <w:tcPr>
            <w:tcW w:w="7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Volume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3"/>
                <w:szCs w:val="13"/>
                <w:color w:val="auto"/>
              </w:rPr>
            </w:pPr>
          </w:p>
        </w:tc>
        <w:tc>
          <w:tcPr>
            <w:tcW w:w="102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(Decrease)</w:t>
            </w:r>
          </w:p>
        </w:tc>
        <w:tc>
          <w:tcPr>
            <w:tcW w:w="0" w:type="dxa"/>
            <w:vAlign w:val="bottom"/>
          </w:tcPr>
          <w:p>
            <w:pPr>
              <w:spacing w:after="0"/>
              <w:rPr>
                <w:sz w:val="1"/>
                <w:szCs w:val="1"/>
                <w:color w:val="auto"/>
              </w:rPr>
            </w:pPr>
          </w:p>
        </w:tc>
      </w:tr>
      <w:tr>
        <w:trPr>
          <w:trHeight w:val="152"/>
        </w:trPr>
        <w:tc>
          <w:tcPr>
            <w:tcW w:w="74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Interest-earning assets</w:t>
            </w:r>
          </w:p>
        </w:tc>
        <w:tc>
          <w:tcPr>
            <w:tcW w:w="8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Loans receivable</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604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4,713</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5,317</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Debt securities available for sale</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interest-earning assets</w:t>
            </w:r>
          </w:p>
        </w:tc>
        <w:tc>
          <w:tcPr>
            <w:tcW w:w="8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(130)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8"/>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Total interest-earning assets</w:t>
            </w:r>
          </w:p>
        </w:tc>
        <w:tc>
          <w:tcPr>
            <w:tcW w:w="8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6,589</w:t>
            </w:r>
          </w:p>
        </w:tc>
        <w:tc>
          <w:tcPr>
            <w:tcW w:w="0" w:type="dxa"/>
            <w:vAlign w:val="bottom"/>
          </w:tcPr>
          <w:p>
            <w:pPr>
              <w:spacing w:after="0"/>
              <w:rPr>
                <w:sz w:val="1"/>
                <w:szCs w:val="1"/>
                <w:color w:val="auto"/>
              </w:rPr>
            </w:pPr>
          </w:p>
        </w:tc>
      </w:tr>
      <w:tr>
        <w:trPr>
          <w:trHeight w:val="152"/>
        </w:trPr>
        <w:tc>
          <w:tcPr>
            <w:tcW w:w="7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Interest-bearing liabilities</w:t>
            </w: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8"/>
        </w:trPr>
        <w:tc>
          <w:tcPr>
            <w:tcW w:w="7400" w:type="dxa"/>
            <w:vAlign w:val="bottom"/>
          </w:tcPr>
          <w:p>
            <w:pPr>
              <w:ind w:left="100"/>
              <w:spacing w:after="0"/>
              <w:rPr>
                <w:sz w:val="20"/>
                <w:szCs w:val="20"/>
                <w:color w:val="auto"/>
              </w:rPr>
            </w:pPr>
            <w:r>
              <w:rPr>
                <w:rFonts w:ascii="Arial" w:cs="Arial" w:eastAsia="Arial" w:hAnsi="Arial"/>
                <w:sz w:val="13"/>
                <w:szCs w:val="13"/>
                <w:color w:val="auto"/>
              </w:rPr>
              <w:t>Savings accounts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Certificate accounts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Borrowings</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0"/>
        </w:trPr>
        <w:tc>
          <w:tcPr>
            <w:tcW w:w="74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Total interest-bearing liabilities</w:t>
            </w:r>
          </w:p>
        </w:tc>
        <w:tc>
          <w:tcPr>
            <w:tcW w:w="8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63"/>
        </w:trPr>
        <w:tc>
          <w:tcPr>
            <w:tcW w:w="7400" w:type="dxa"/>
            <w:vAlign w:val="bottom"/>
          </w:tcPr>
          <w:p>
            <w:pPr>
              <w:ind w:left="20"/>
              <w:spacing w:after="0"/>
              <w:rPr>
                <w:sz w:val="20"/>
                <w:szCs w:val="20"/>
                <w:color w:val="auto"/>
              </w:rPr>
            </w:pPr>
            <w:r>
              <w:rPr>
                <w:rFonts w:ascii="Arial" w:cs="Arial" w:eastAsia="Arial" w:hAnsi="Arial"/>
                <w:sz w:val="13"/>
                <w:szCs w:val="13"/>
                <w:b w:val="1"/>
                <w:bCs w:val="1"/>
                <w:color w:val="auto"/>
              </w:rPr>
              <w:t>Net increase in tax equivalent interest income</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Provision (Benefit) for Credit Losses. </w:t>
      </w:r>
      <w:r>
        <w:rPr>
          <w:rFonts w:ascii="Arial" w:cs="Arial" w:eastAsia="Arial" w:hAnsi="Arial"/>
          <w:sz w:val="13"/>
          <w:szCs w:val="13"/>
          <w:color w:val="auto"/>
        </w:rPr>
        <w:t>The following table presents a breakdown of the components of the provision (benefit) for credit losses: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8"/>
              </w:rPr>
              <w:t>September 30, 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320" w:type="dxa"/>
            <w:vAlign w:val="bottom"/>
          </w:tcPr>
          <w:p>
            <w:pPr>
              <w:ind w:left="380"/>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8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Provision (benefit) for credit losses</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5800" w:type="dxa"/>
            <w:vAlign w:val="bottom"/>
          </w:tcPr>
          <w:p>
            <w:pPr>
              <w:ind w:left="100"/>
              <w:spacing w:after="0"/>
              <w:rPr>
                <w:sz w:val="20"/>
                <w:szCs w:val="20"/>
                <w:color w:val="auto"/>
              </w:rPr>
            </w:pPr>
            <w:r>
              <w:rPr>
                <w:rFonts w:ascii="Arial" w:cs="Arial" w:eastAsia="Arial" w:hAnsi="Arial"/>
                <w:sz w:val="13"/>
                <w:szCs w:val="13"/>
                <w:color w:val="auto"/>
              </w:rPr>
              <w:t>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3,694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5,029</w:t>
            </w:r>
          </w:p>
        </w:tc>
        <w:tc>
          <w:tcPr>
            <w:tcW w:w="100" w:type="dxa"/>
            <w:vAlign w:val="bottom"/>
          </w:tcPr>
          <w:p>
            <w:pPr>
              <w:spacing w:after="0"/>
              <w:rPr>
                <w:sz w:val="14"/>
                <w:szCs w:val="14"/>
                <w:color w:val="auto"/>
              </w:rPr>
            </w:pPr>
          </w:p>
        </w:tc>
        <w:tc>
          <w:tcPr>
            <w:tcW w:w="1320" w:type="dxa"/>
            <w:vAlign w:val="bottom"/>
          </w:tcPr>
          <w:p>
            <w:pPr>
              <w:ind w:left="920"/>
              <w:spacing w:after="0"/>
              <w:rPr>
                <w:sz w:val="20"/>
                <w:szCs w:val="20"/>
                <w:color w:val="auto"/>
              </w:rPr>
            </w:pPr>
            <w:r>
              <w:rPr>
                <w:rFonts w:ascii="Arial" w:cs="Arial" w:eastAsia="Arial" w:hAnsi="Arial"/>
                <w:sz w:val="13"/>
                <w:szCs w:val="13"/>
                <w:color w:val="auto"/>
                <w:w w:val="90"/>
              </w:rPr>
              <w:t>(377)%</w:t>
            </w:r>
          </w:p>
        </w:tc>
      </w:tr>
      <w:tr>
        <w:trPr>
          <w:trHeight w:val="172"/>
        </w:trPr>
        <w:tc>
          <w:tcPr>
            <w:tcW w:w="5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Off-balance-sheet credit exposure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920"/>
              <w:spacing w:after="0"/>
              <w:rPr>
                <w:sz w:val="20"/>
                <w:szCs w:val="20"/>
                <w:color w:val="auto"/>
              </w:rPr>
            </w:pPr>
            <w:r>
              <w:rPr>
                <w:rFonts w:ascii="Arial" w:cs="Arial" w:eastAsia="Arial" w:hAnsi="Arial"/>
                <w:sz w:val="13"/>
                <w:szCs w:val="13"/>
                <w:color w:val="auto"/>
              </w:rPr>
              <w:t>(454)</w:t>
            </w:r>
          </w:p>
        </w:tc>
      </w:tr>
      <w:tr>
        <w:trPr>
          <w:trHeight w:val="168"/>
        </w:trPr>
        <w:tc>
          <w:tcPr>
            <w:tcW w:w="5800" w:type="dxa"/>
            <w:vAlign w:val="bottom"/>
          </w:tcPr>
          <w:p>
            <w:pPr>
              <w:ind w:left="100"/>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1320" w:type="dxa"/>
            <w:vAlign w:val="bottom"/>
          </w:tcPr>
          <w:p>
            <w:pPr>
              <w:ind w:left="920"/>
              <w:spacing w:after="0"/>
              <w:rPr>
                <w:sz w:val="20"/>
                <w:szCs w:val="20"/>
                <w:color w:val="auto"/>
              </w:rPr>
            </w:pPr>
            <w:r>
              <w:rPr>
                <w:rFonts w:ascii="Arial" w:cs="Arial" w:eastAsia="Arial" w:hAnsi="Arial"/>
                <w:sz w:val="13"/>
                <w:szCs w:val="13"/>
                <w:color w:val="auto"/>
              </w:rPr>
              <w:t>(100)</w:t>
            </w:r>
          </w:p>
        </w:tc>
      </w:tr>
      <w:tr>
        <w:trPr>
          <w:trHeight w:val="185"/>
        </w:trPr>
        <w:tc>
          <w:tcPr>
            <w:tcW w:w="5800" w:type="dxa"/>
            <w:vAlign w:val="bottom"/>
            <w:tcBorders>
              <w:top w:val="single" w:sz="8" w:color="CCEEFF"/>
              <w:bottom w:val="single" w:sz="8" w:color="CCEEFF"/>
            </w:tcBorders>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rPr>
              <w:t>Total provision (benefit) for credit losses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3"/>
                <w:szCs w:val="13"/>
                <w:color w:val="auto"/>
                <w:w w:val="90"/>
              </w:rPr>
              <w:t>(373)%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September 30, 2022, the "loans" portion of the provision (benefit) for credit losses was the result of the following, offset by net charge-offs of $83,000 during the quarter:</w:t>
      </w:r>
    </w:p>
    <w:p>
      <w:pPr>
        <w:spacing w:after="0" w:line="41" w:lineRule="exact"/>
        <w:rPr>
          <w:sz w:val="20"/>
          <w:szCs w:val="20"/>
          <w:color w:val="auto"/>
        </w:rPr>
      </w:pPr>
    </w:p>
    <w:p>
      <w:pPr>
        <w:ind w:left="380" w:hanging="248"/>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$1.3 million provision specific to fintech portfolios which have a riskier credit profile than loans originated in-house. The elevated credit risk is offset by the higher yields earned on the portfolios.</w:t>
      </w:r>
    </w:p>
    <w:p>
      <w:pPr>
        <w:spacing w:after="0" w:line="63" w:lineRule="exact"/>
        <w:rPr>
          <w:rFonts w:ascii="Arial" w:cs="Arial" w:eastAsia="Arial" w:hAnsi="Arial"/>
          <w:sz w:val="12"/>
          <w:szCs w:val="12"/>
          <w:color w:val="auto"/>
        </w:rPr>
      </w:pPr>
    </w:p>
    <w:p>
      <w:pPr>
        <w:ind w:left="380" w:hanging="248"/>
        <w:spacing w:after="0"/>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$1.1 million provision driven by a projected worsening of the economic forecast, specifically the national unemployment rate.</w:t>
      </w:r>
    </w:p>
    <w:p>
      <w:pPr>
        <w:spacing w:after="0" w:line="41" w:lineRule="exact"/>
        <w:rPr>
          <w:rFonts w:ascii="Arial" w:cs="Arial" w:eastAsia="Arial" w:hAnsi="Arial"/>
          <w:sz w:val="13"/>
          <w:szCs w:val="13"/>
          <w:color w:val="auto"/>
        </w:rPr>
      </w:pPr>
    </w:p>
    <w:p>
      <w:pPr>
        <w:ind w:left="380" w:hanging="248"/>
        <w:spacing w:after="0"/>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$1.3 million provision driven by loan growth, changes in the loan mix, and qualitative adjustments.</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For the quarter ended September 30, 2021, the "loans" portion of the benefit for credit losses was driven by a slight improvement in the economic forecast, as more clarity was gained regarding the impact of COVID-19 upon the loan portfolio.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3"/>
          <w:szCs w:val="13"/>
          <w:b w:val="1"/>
          <w:bCs w:val="1"/>
          <w:i w:val="1"/>
          <w:iCs w:val="1"/>
          <w:color w:val="auto"/>
        </w:rPr>
        <w:t xml:space="preserve">Noninterest Income. </w:t>
      </w:r>
      <w:r>
        <w:rPr>
          <w:rFonts w:ascii="Arial" w:cs="Arial" w:eastAsia="Arial" w:hAnsi="Arial"/>
          <w:sz w:val="13"/>
          <w:szCs w:val="13"/>
          <w:color w:val="auto"/>
        </w:rPr>
        <w:t>Noninterest income for the three months ended September 30, 2022 decreased $2.9 million, or 28.4%, when compared to the quarter ended September 30, 2021. Changes in selected components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noninterest income are discussed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8"/>
              </w:rPr>
              <w:t>September 30, 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8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Noninterest income</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Service charges and fees on deposit accounts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2,372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 income and fees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(42)</w:t>
            </w: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Gain on sale of loans held for sale</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4,057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(2,471)</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(61)</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BOLI income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Operating lease income</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3</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sale of debt securities available for sale</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8"/>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w:t>
            </w:r>
          </w:p>
        </w:tc>
      </w:tr>
      <w:tr>
        <w:trPr>
          <w:trHeight w:val="18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 noninterest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(2,942)</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80" w:hanging="248"/>
        <w:spacing w:after="0" w:line="274" w:lineRule="auto"/>
        <w:tabs>
          <w:tab w:leader="none" w:pos="371" w:val="left"/>
        </w:tabs>
        <w:numPr>
          <w:ilvl w:val="0"/>
          <w:numId w:val="19"/>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Loan income and fees: </w:t>
      </w:r>
      <w:r>
        <w:rPr>
          <w:rFonts w:ascii="Arial" w:cs="Arial" w:eastAsia="Arial" w:hAnsi="Arial"/>
          <w:sz w:val="13"/>
          <w:szCs w:val="13"/>
          <w:color w:val="auto"/>
        </w:rPr>
        <w:t>The decrease in loan income and fees during the quarter ended September 30, 2022 was the result of lower prepayment and underwriting fees recognized during the period compared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same period last year.</w:t>
      </w:r>
    </w:p>
    <w:p>
      <w:pPr>
        <w:spacing w:after="0" w:line="8" w:lineRule="exact"/>
        <w:rPr>
          <w:rFonts w:ascii="Arial" w:cs="Arial" w:eastAsia="Arial" w:hAnsi="Arial"/>
          <w:sz w:val="13"/>
          <w:szCs w:val="13"/>
          <w:b w:val="1"/>
          <w:bCs w:val="1"/>
          <w:i w:val="1"/>
          <w:iCs w:val="1"/>
          <w:color w:val="auto"/>
        </w:rPr>
      </w:pPr>
    </w:p>
    <w:p>
      <w:pPr>
        <w:jc w:val="both"/>
        <w:ind w:left="380" w:hanging="248"/>
        <w:spacing w:after="0" w:line="251" w:lineRule="auto"/>
        <w:tabs>
          <w:tab w:leader="none" w:pos="371"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Gain on sale of loans held for sale: </w:t>
      </w:r>
      <w:r>
        <w:rPr>
          <w:rFonts w:ascii="Arial" w:cs="Arial" w:eastAsia="Arial" w:hAnsi="Arial"/>
          <w:sz w:val="13"/>
          <w:szCs w:val="13"/>
          <w:color w:val="auto"/>
        </w:rPr>
        <w:t>The decrease in the gain on sale of loans held for sale was primarily driven by a decrease in the volume of residential mortgage loans, SBA commercial loans, and HELOCs sold</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 period as a result of rising interest rates. During the quarter ended September 30, 2022, $20.9 million of residential mortgage loans originated for sale were sold with gains of $493,000 compared to $63.8 million sold with gains of $2.1 million for the quarter ended September 30, 2021. There were $12.1 million of sales of the guaranteed portion of SBA commercial loans with gains of $891,000 in the current quarter compared to $14.4 million sold and gains of $1.7 million for the same period in the prior year. Lastly, the Company sold $22.8 million of HELOCs during the quarter for a gain of $202,000 compared to $47.4 million sold and gains of $267,000 in the same period last year.</w:t>
      </w:r>
    </w:p>
    <w:p>
      <w:pPr>
        <w:spacing w:after="0" w:line="6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i w:val="1"/>
          <w:iCs w:val="1"/>
          <w:color w:val="auto"/>
        </w:rPr>
        <w:t xml:space="preserve">Noninterest Expense. </w:t>
      </w:r>
      <w:r>
        <w:rPr>
          <w:rFonts w:ascii="Arial" w:cs="Arial" w:eastAsia="Arial" w:hAnsi="Arial"/>
          <w:sz w:val="13"/>
          <w:szCs w:val="13"/>
          <w:color w:val="auto"/>
        </w:rPr>
        <w:t>Noninterest expense for the three months ended September 30, 2022 increased $85,000, or 0.3%, when compared to the three months ended September 30, 2021. Changes in selected components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noninterest expense are discussed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8"/>
              </w:rPr>
              <w:t>September 30, 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8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Noninterest expense</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Salaries and employee benefits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14,815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15,280</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Occupancy expense, net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w:t>
            </w: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Computer services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10</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Telephone, postage and supplies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w:t>
            </w: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Marketing and advertising</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(16)</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Deposit insurance premiums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Core deposit intangible amortization</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(63)</w:t>
            </w:r>
          </w:p>
        </w:tc>
      </w:tr>
      <w:tr>
        <w:trPr>
          <w:trHeight w:val="172"/>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Merger-related expenses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w:t>
            </w:r>
          </w:p>
        </w:tc>
      </w:tr>
      <w:tr>
        <w:trPr>
          <w:trHeight w:val="168"/>
        </w:trPr>
        <w:tc>
          <w:tcPr>
            <w:tcW w:w="5800" w:type="dxa"/>
            <w:vAlign w:val="bottom"/>
          </w:tcPr>
          <w:p>
            <w:pPr>
              <w:ind w:left="120"/>
              <w:spacing w:after="0"/>
              <w:rPr>
                <w:sz w:val="20"/>
                <w:szCs w:val="20"/>
                <w:color w:val="auto"/>
              </w:rPr>
            </w:pPr>
            <w:r>
              <w:rPr>
                <w:rFonts w:ascii="Arial" w:cs="Arial" w:eastAsia="Arial" w:hAnsi="Arial"/>
                <w:sz w:val="13"/>
                <w:szCs w:val="13"/>
                <w:color w:val="auto"/>
              </w:rPr>
              <w:t>Officer transition agreement expense</w:t>
            </w: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3"/>
        </w:trPr>
        <w:tc>
          <w:tcPr>
            <w:tcW w:w="5800" w:type="dxa"/>
            <w:vAlign w:val="bottom"/>
          </w:tcPr>
          <w:p>
            <w:pPr>
              <w:ind w:left="180"/>
              <w:spacing w:after="0"/>
              <w:rPr>
                <w:sz w:val="20"/>
                <w:szCs w:val="20"/>
                <w:color w:val="auto"/>
              </w:rPr>
            </w:pPr>
            <w:r>
              <w:rPr>
                <w:rFonts w:ascii="Arial" w:cs="Arial" w:eastAsia="Arial" w:hAnsi="Arial"/>
                <w:sz w:val="13"/>
                <w:szCs w:val="13"/>
                <w:b w:val="1"/>
                <w:bCs w:val="1"/>
                <w:color w:val="auto"/>
              </w:rPr>
              <w:t>Total noninterest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26,101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26,016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80" w:hanging="248"/>
        <w:spacing w:after="0" w:line="257" w:lineRule="auto"/>
        <w:tabs>
          <w:tab w:leader="none" w:pos="371"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Salaries and employee benefits</w:t>
      </w:r>
      <w:r>
        <w:rPr>
          <w:rFonts w:ascii="Arial" w:cs="Arial" w:eastAsia="Arial" w:hAnsi="Arial"/>
          <w:sz w:val="13"/>
          <w:szCs w:val="13"/>
          <w:color w:val="auto"/>
        </w:rPr>
        <w:t>: The decrease in salaries and employee benefits expense is primarily the result of branch closures and lower mortgage banking incentive pay as a result of the reduction in the volume</w:t>
      </w:r>
      <w:r>
        <w:rPr>
          <w:rFonts w:ascii="Arial" w:cs="Arial" w:eastAsia="Arial" w:hAnsi="Arial"/>
          <w:sz w:val="13"/>
          <w:szCs w:val="13"/>
          <w:i w:val="1"/>
          <w:iCs w:val="1"/>
          <w:color w:val="auto"/>
        </w:rPr>
        <w:t xml:space="preserve"> </w:t>
      </w:r>
      <w:r>
        <w:rPr>
          <w:rFonts w:ascii="Arial" w:cs="Arial" w:eastAsia="Arial" w:hAnsi="Arial"/>
          <w:sz w:val="13"/>
          <w:szCs w:val="13"/>
          <w:color w:val="auto"/>
        </w:rPr>
        <w:t>of originations, due to rising interest rates.</w:t>
      </w:r>
    </w:p>
    <w:p>
      <w:pPr>
        <w:spacing w:after="0" w:line="19" w:lineRule="exact"/>
        <w:rPr>
          <w:rFonts w:ascii="Arial" w:cs="Arial" w:eastAsia="Arial" w:hAnsi="Arial"/>
          <w:sz w:val="13"/>
          <w:szCs w:val="13"/>
          <w:i w:val="1"/>
          <w:iCs w:val="1"/>
          <w:color w:val="auto"/>
        </w:rPr>
      </w:pPr>
    </w:p>
    <w:p>
      <w:pPr>
        <w:ind w:left="380" w:hanging="248"/>
        <w:spacing w:after="0" w:line="274" w:lineRule="auto"/>
        <w:tabs>
          <w:tab w:leader="none" w:pos="371" w:val="left"/>
        </w:tabs>
        <w:numPr>
          <w:ilvl w:val="0"/>
          <w:numId w:val="20"/>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Merger-related expenses: </w:t>
      </w:r>
      <w:r>
        <w:rPr>
          <w:rFonts w:ascii="Arial" w:cs="Arial" w:eastAsia="Arial" w:hAnsi="Arial"/>
          <w:sz w:val="13"/>
          <w:szCs w:val="13"/>
          <w:color w:val="auto"/>
        </w:rPr>
        <w:t>On July 24, 2022, the Company entered into an Agreement and Plan of Merger with Quantum Capital Corp. The expense for the three months ended September 30, 2022 are costs incurred</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due diligence and legal work performed associated with the transaction. No such expense was incurred in the quarter ended September 30, 2021.</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The amount of income tax expense is influenced by the amount of pre-tax income, the amount of tax-exempt income, changes in the statutory rate, and the effect of changes in valuation allowances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maintained against deferred tax benefits. Income tax expense for the three months ended September 30, 2022 decreased $333,000 as a result of lower taxable income in the current quarter compared to the corresponding period in the prior year, partially offset by an increase in the effective tax rate from 22.0% to 22.3% between periods.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Financial Condition at September 30, 2022 and June 30, 2022</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Total assets increased by $5.9 million to $3.6 billion and total liabilities decreased by $1.4 million to $3.2 billion, respectively, at September 30, 2022 as compared to June 30, 2022. The decrease in commercial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paper of $109.1 million was used to fund loan growth of $98.5 million and an increase of $34.8 million in available for sale debt securities during the period.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Cash and cash equivalents and commercial paper. </w:t>
      </w:r>
      <w:r>
        <w:rPr>
          <w:rFonts w:ascii="Arial" w:cs="Arial" w:eastAsia="Arial" w:hAnsi="Arial"/>
          <w:sz w:val="13"/>
          <w:szCs w:val="13"/>
          <w:color w:val="auto"/>
        </w:rPr>
        <w:t>Total cash and cash equivalents decreased $11.0 million, or 10.4%, to $94.2 million at September 30, 2022 from $105.1 million at June 30, 2022. Commercial paper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decreased $109.1 million, or 56.1%, to $85.3 million at September 30, 2022 from $194.4 million at June 30, 2022.</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Debt securities available for sale and other investments. </w:t>
      </w:r>
      <w:r>
        <w:rPr>
          <w:rFonts w:ascii="Arial" w:cs="Arial" w:eastAsia="Arial" w:hAnsi="Arial"/>
          <w:sz w:val="13"/>
          <w:szCs w:val="13"/>
          <w:color w:val="auto"/>
        </w:rPr>
        <w:t>Debt securities available for sale increased $34.8 million, or 27.4%, to $161.7 million at September 30, 2022 from $127.0 million at June 30, 2022, with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majority of the increase being invested in residential MBS.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Loans held for sale. </w:t>
      </w:r>
      <w:r>
        <w:rPr>
          <w:rFonts w:ascii="Arial" w:cs="Arial" w:eastAsia="Arial" w:hAnsi="Arial"/>
          <w:sz w:val="13"/>
          <w:szCs w:val="13"/>
          <w:color w:val="auto"/>
        </w:rPr>
        <w:t>Loans held for sale decreased $3.0 million, or 3.9%, to $76.3 million at September 30, 2022 from $79.3 million at June 30, 2022. This was primarily driven by a combined decrease of $6.1 million,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9.5%, in mortgage loans held for sale and HELOCs originated for sale, partially offset by a $3.1 million, or 20.7%, increase in SBA loans held for sale.</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 xml:space="preserve">Loans, net of deferred loan fees and costs. </w:t>
      </w:r>
      <w:r>
        <w:rPr>
          <w:rFonts w:ascii="Arial" w:cs="Arial" w:eastAsia="Arial" w:hAnsi="Arial"/>
          <w:sz w:val="13"/>
          <w:szCs w:val="13"/>
          <w:color w:val="auto"/>
        </w:rPr>
        <w:t>Total loans increased $98.5 million, or 3.6%, to $2.9 billion at September 30, 2022 from $2.8 billion at June 30, 2022, which was funded by the maturation of commercial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paper.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changes within the portfolio:</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As of</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w w:val="89"/>
              </w:rPr>
              <w:t>Percent of Total</w:t>
            </w:r>
          </w:p>
        </w:tc>
        <w:tc>
          <w:tcPr>
            <w:tcW w:w="980" w:type="dxa"/>
            <w:vAlign w:val="bottom"/>
            <w:tcBorders>
              <w:bottom w:val="single" w:sz="8" w:color="auto"/>
            </w:tcBorders>
          </w:tcPr>
          <w:p>
            <w:pPr>
              <w:spacing w:after="0"/>
              <w:rPr>
                <w:sz w:val="14"/>
                <w:szCs w:val="14"/>
                <w:color w:val="auto"/>
              </w:rPr>
            </w:pPr>
          </w:p>
        </w:tc>
      </w:tr>
      <w:tr>
        <w:trPr>
          <w:trHeight w:val="160"/>
        </w:trPr>
        <w:tc>
          <w:tcPr>
            <w:tcW w:w="350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040" w:type="dxa"/>
            <w:vAlign w:val="bottom"/>
          </w:tcPr>
          <w:p>
            <w:pPr>
              <w:jc w:val="right"/>
              <w:ind w:right="356"/>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tcPr>
          <w:p>
            <w:pPr>
              <w:ind w:left="320"/>
              <w:spacing w:after="0"/>
              <w:rPr>
                <w:sz w:val="20"/>
                <w:szCs w:val="20"/>
                <w:color w:val="auto"/>
              </w:rPr>
            </w:pPr>
            <w:r>
              <w:rPr>
                <w:rFonts w:ascii="Arial" w:cs="Arial" w:eastAsia="Arial" w:hAnsi="Arial"/>
                <w:sz w:val="13"/>
                <w:szCs w:val="13"/>
                <w:b w:val="1"/>
                <w:bCs w:val="1"/>
                <w:color w:val="auto"/>
              </w:rPr>
              <w:t>September 30,</w:t>
            </w:r>
          </w:p>
        </w:tc>
        <w:tc>
          <w:tcPr>
            <w:tcW w:w="980" w:type="dxa"/>
            <w:vAlign w:val="bottom"/>
          </w:tcPr>
          <w:p>
            <w:pPr>
              <w:jc w:val="right"/>
              <w:ind w:right="416"/>
              <w:spacing w:after="0"/>
              <w:rPr>
                <w:sz w:val="20"/>
                <w:szCs w:val="20"/>
                <w:color w:val="auto"/>
              </w:rPr>
            </w:pPr>
            <w:r>
              <w:rPr>
                <w:rFonts w:ascii="Arial" w:cs="Arial" w:eastAsia="Arial" w:hAnsi="Arial"/>
                <w:sz w:val="13"/>
                <w:szCs w:val="13"/>
                <w:b w:val="1"/>
                <w:bCs w:val="1"/>
                <w:color w:val="auto"/>
                <w:w w:val="92"/>
              </w:rPr>
              <w:t>June 30,</w:t>
            </w:r>
          </w:p>
        </w:tc>
      </w:tr>
      <w:tr>
        <w:trPr>
          <w:trHeight w:val="163"/>
        </w:trPr>
        <w:tc>
          <w:tcPr>
            <w:tcW w:w="3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r>
      <w:tr>
        <w:trPr>
          <w:trHeight w:val="152"/>
        </w:trPr>
        <w:tc>
          <w:tcPr>
            <w:tcW w:w="3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310,985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291,202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19,783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7 %</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real estate - owner occupied</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335,658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w:t>
            </w: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Commercial real estate - non-owner occupied</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661,644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662,159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24</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Multifamily</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79,082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81,086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r>
      <w:tr>
        <w:trPr>
          <w:trHeight w:val="158"/>
        </w:trPr>
        <w:tc>
          <w:tcPr>
            <w:tcW w:w="3500" w:type="dxa"/>
            <w:vAlign w:val="bottom"/>
          </w:tcPr>
          <w:p>
            <w:pPr>
              <w:ind w:left="180"/>
              <w:spacing w:after="0"/>
              <w:rPr>
                <w:sz w:val="20"/>
                <w:szCs w:val="20"/>
                <w:color w:val="auto"/>
              </w:rPr>
            </w:pPr>
            <w:r>
              <w:rPr>
                <w:rFonts w:ascii="Arial" w:cs="Arial" w:eastAsia="Arial" w:hAnsi="Arial"/>
                <w:sz w:val="13"/>
                <w:szCs w:val="13"/>
                <w:color w:val="auto"/>
              </w:rPr>
              <w:t>Total commercial real estate loans</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1,388,167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1,370,105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18,062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50</w:t>
            </w:r>
          </w:p>
        </w:tc>
      </w:tr>
      <w:tr>
        <w:trPr>
          <w:trHeight w:val="172"/>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Commercial and industrial</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205,606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192,652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7</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finance</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394,541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Municipal leases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130,777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129,766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5</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PPP loans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58"/>
        </w:trPr>
        <w:tc>
          <w:tcPr>
            <w:tcW w:w="3500" w:type="dxa"/>
            <w:vAlign w:val="bottom"/>
          </w:tcPr>
          <w:p>
            <w:pPr>
              <w:ind w:left="180"/>
              <w:spacing w:after="0"/>
              <w:rPr>
                <w:sz w:val="20"/>
                <w:szCs w:val="20"/>
                <w:color w:val="auto"/>
              </w:rPr>
            </w:pPr>
            <w:r>
              <w:rPr>
                <w:rFonts w:ascii="Arial" w:cs="Arial" w:eastAsia="Arial" w:hAnsi="Arial"/>
                <w:sz w:val="13"/>
                <w:szCs w:val="13"/>
                <w:color w:val="auto"/>
              </w:rPr>
              <w:t>Total commercial loans</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747,633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717,620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30,013</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140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26</w:t>
            </w:r>
          </w:p>
        </w:tc>
      </w:tr>
      <w:tr>
        <w:trPr>
          <w:trHeight w:val="172"/>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3500" w:type="dxa"/>
            <w:vAlign w:val="bottom"/>
          </w:tcPr>
          <w:p>
            <w:pPr>
              <w:ind w:left="120"/>
              <w:spacing w:after="0"/>
              <w:rPr>
                <w:sz w:val="20"/>
                <w:szCs w:val="20"/>
                <w:color w:val="auto"/>
              </w:rPr>
            </w:pPr>
            <w:r>
              <w:rPr>
                <w:rFonts w:ascii="Arial" w:cs="Arial" w:eastAsia="Arial" w:hAnsi="Arial"/>
                <w:sz w:val="13"/>
                <w:szCs w:val="13"/>
                <w:color w:val="auto"/>
              </w:rPr>
              <w:t>Construction and land development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91,488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81,847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3</w:t>
            </w:r>
          </w:p>
        </w:tc>
      </w:tr>
      <w:tr>
        <w:trPr>
          <w:trHeight w:val="172"/>
        </w:trPr>
        <w:tc>
          <w:tcPr>
            <w:tcW w:w="3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One-to-four family</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374,849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354,203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r>
      <w:tr>
        <w:trPr>
          <w:trHeight w:val="168"/>
        </w:trPr>
        <w:tc>
          <w:tcPr>
            <w:tcW w:w="3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HELOCs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164,701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160,137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w:t>
            </w:r>
          </w:p>
        </w:tc>
      </w:tr>
      <w:tr>
        <w:trPr>
          <w:trHeight w:val="163"/>
        </w:trPr>
        <w:tc>
          <w:tcPr>
            <w:tcW w:w="3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residential real estate loans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596,187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34,851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w:t>
            </w:r>
          </w:p>
        </w:tc>
      </w:tr>
      <w:tr>
        <w:trPr>
          <w:trHeight w:val="168"/>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 loans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100,945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15,562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w:t>
            </w:r>
          </w:p>
        </w:tc>
      </w:tr>
      <w:tr>
        <w:trPr>
          <w:trHeight w:val="188"/>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Loans, net of deferred loan fees and costs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2,867,783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2,769,295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98,488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Asset quality. </w:t>
      </w:r>
      <w:r>
        <w:rPr>
          <w:rFonts w:ascii="Arial" w:cs="Arial" w:eastAsia="Arial" w:hAnsi="Arial"/>
          <w:sz w:val="13"/>
          <w:szCs w:val="13"/>
          <w:color w:val="auto"/>
        </w:rPr>
        <w:t>Nonperforming assets increased by $706,000, or 11.2%, to $7.0 million, or 0.20% of total assets, at September 30, 2022 compared to $6.3 million, or 0.18% of total assets, at June 30, 2022. Nonperforming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assets included $6.8 million in nonaccruing loans and $200,000 of REO at September 30, 2022, compared to $6.1 million and $200,000 in nonaccruing loans and REO, respectively, at June 30, 2022. Nonperforming loans to total loans was 0.24% at September 30, 2022 and 0.22% at June 30, 2022.</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ratio of classified assets to total assets decreased to 0.54% at September 30, 2022 from 0.61% at June 30, 2022. Classified assets decreased $2.2 million, or 10.2%, to $19.3 million at September 30, 2022 compared to $21.5 million at June 30, 2022, due to loan paydowns.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 xml:space="preserve">Our individually evaluated loans include loans on nonaccrual status and all TDRs, whether performing or on nonaccrual status under their restructured terms. Individually evaluated loans may be evaluated for reserve purposes using either the discounted cash flow or the collateral valuation method. As of September 30, 2022, there were $5.6 million in loans individually evaluated compared to $5.3 million at June 30, 2022. For more information on these individually evaluated loans, see "Note 5 </w:t>
      </w:r>
      <w:r>
        <w:rPr>
          <w:rFonts w:ascii="Arial" w:cs="Arial" w:eastAsia="Arial" w:hAnsi="Arial"/>
          <w:sz w:val="14"/>
          <w:szCs w:val="14"/>
          <w:color w:val="auto"/>
        </w:rPr>
        <w:t>–</w:t>
      </w:r>
      <w:r>
        <w:rPr>
          <w:rFonts w:ascii="Arial" w:cs="Arial" w:eastAsia="Arial" w:hAnsi="Arial"/>
          <w:sz w:val="13"/>
          <w:szCs w:val="13"/>
          <w:color w:val="auto"/>
        </w:rPr>
        <w:t xml:space="preserve"> Loans and Allowance for Credit Losses on Loans" in this Quarterly Report on Form 10-Q.</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3"/>
          <w:szCs w:val="13"/>
          <w:b w:val="1"/>
          <w:bCs w:val="1"/>
          <w:i w:val="1"/>
          <w:iCs w:val="1"/>
          <w:color w:val="auto"/>
        </w:rPr>
        <w:t xml:space="preserve">Allowance for credit losses. </w:t>
      </w:r>
      <w:r>
        <w:rPr>
          <w:rFonts w:ascii="Arial" w:cs="Arial" w:eastAsia="Arial" w:hAnsi="Arial"/>
          <w:sz w:val="13"/>
          <w:szCs w:val="13"/>
          <w:color w:val="auto"/>
        </w:rPr>
        <w:t>The ACL on loans was $38.3 million, or 1.34% of total loans, at September 30, 2022 compared to $34.7 million, or 1.25% of total loans, as of June 30, 2022. Net charge-offs as a percentage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average loans was 0.01% for the three months ended September 30, 2022 compared to net recoveries of (0.10)% for the three months ended June 30, 2022. The drivers of these quarter-over-quarter changes are discussed in the "Three Months Ended September 30, 2022 and June 30, 2022" section above.</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Other assets. </w:t>
      </w:r>
      <w:r>
        <w:rPr>
          <w:rFonts w:ascii="Arial" w:cs="Arial" w:eastAsia="Arial" w:hAnsi="Arial"/>
          <w:sz w:val="13"/>
          <w:szCs w:val="13"/>
          <w:color w:val="auto"/>
        </w:rPr>
        <w:t>Other assets decreased $5.7 million, or 10.6%, to $47.3 million at September 30, 2022 from $53.0 million at June 30, 2022. The decrease was primarily driven by lower current taxes receivable and the sale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properties held for sale during the period.</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Other liabilities. </w:t>
      </w:r>
      <w:r>
        <w:rPr>
          <w:rFonts w:ascii="Arial" w:cs="Arial" w:eastAsia="Arial" w:hAnsi="Arial"/>
          <w:sz w:val="11"/>
          <w:szCs w:val="11"/>
          <w:color w:val="auto"/>
        </w:rPr>
        <w:t>Other liabilities decreased $4.3 million, or 7.1%, during the three months ended September 30, 2022 to $56.3 million, as a result of the payout of annual short-term incentives for the prior fiscal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20"/>
                <w:szCs w:val="20"/>
                <w:color w:val="auto"/>
              </w:rPr>
            </w:pPr>
            <w:r>
              <w:rPr>
                <w:rFonts w:ascii="Arial" w:cs="Arial" w:eastAsia="Arial" w:hAnsi="Arial"/>
                <w:sz w:val="13"/>
                <w:szCs w:val="13"/>
                <w:b w:val="1"/>
                <w:bCs w:val="1"/>
                <w:i w:val="1"/>
                <w:iCs w:val="1"/>
                <w:color w:val="auto"/>
                <w:w w:val="96"/>
              </w:rPr>
              <w:t xml:space="preserve">Deposits. </w:t>
            </w:r>
            <w:r>
              <w:rPr>
                <w:rFonts w:ascii="Arial" w:cs="Arial" w:eastAsia="Arial" w:hAnsi="Arial"/>
                <w:sz w:val="13"/>
                <w:szCs w:val="13"/>
                <w:color w:val="auto"/>
                <w:w w:val="96"/>
              </w:rPr>
              <w:t>The following table summarizes the composition of our deposit portfolio as of the dates indicated: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3"/>
        </w:trPr>
        <w:tc>
          <w:tcPr>
            <w:tcW w:w="6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3"/>
                <w:szCs w:val="13"/>
                <w:b w:val="1"/>
                <w:bCs w:val="1"/>
                <w:color w:val="auto"/>
              </w:rPr>
              <w:t>As of</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60"/>
        </w:trPr>
        <w:tc>
          <w:tcPr>
            <w:tcW w:w="602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6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060" w:type="dxa"/>
            <w:vAlign w:val="bottom"/>
          </w:tcPr>
          <w:p>
            <w:pPr>
              <w:jc w:val="right"/>
              <w:ind w:right="376"/>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spacing w:after="0"/>
              <w:rPr>
                <w:sz w:val="13"/>
                <w:szCs w:val="13"/>
                <w:color w:val="auto"/>
              </w:rPr>
            </w:pPr>
          </w:p>
        </w:tc>
      </w:tr>
      <w:tr>
        <w:trPr>
          <w:trHeight w:val="163"/>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r>
      <w:tr>
        <w:trPr>
          <w:trHeight w:val="152"/>
        </w:trPr>
        <w:tc>
          <w:tcPr>
            <w:tcW w:w="6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Core deposits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6020" w:type="dxa"/>
            <w:vAlign w:val="bottom"/>
          </w:tcPr>
          <w:p>
            <w:pPr>
              <w:ind w:left="180"/>
              <w:spacing w:after="0"/>
              <w:rPr>
                <w:sz w:val="20"/>
                <w:szCs w:val="20"/>
                <w:color w:val="auto"/>
              </w:rPr>
            </w:pPr>
            <w:r>
              <w:rPr>
                <w:rFonts w:ascii="Arial" w:cs="Arial" w:eastAsia="Arial" w:hAnsi="Arial"/>
                <w:sz w:val="13"/>
                <w:szCs w:val="13"/>
                <w:color w:val="auto"/>
              </w:rPr>
              <w:t>Noninterest-bearing accounts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794,242</w:t>
            </w:r>
          </w:p>
        </w:tc>
        <w:tc>
          <w:tcPr>
            <w:tcW w:w="10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745,746</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48,496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3"/>
                <w:szCs w:val="13"/>
                <w:color w:val="auto"/>
                <w:w w:val="89"/>
              </w:rPr>
              <w:t>7 %</w:t>
            </w:r>
          </w:p>
        </w:tc>
      </w:tr>
      <w:tr>
        <w:trPr>
          <w:trHeight w:val="172"/>
        </w:trPr>
        <w:tc>
          <w:tcPr>
            <w:tcW w:w="6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NOW accounts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636,859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(3)</w:t>
            </w:r>
          </w:p>
        </w:tc>
      </w:tr>
      <w:tr>
        <w:trPr>
          <w:trHeight w:val="168"/>
        </w:trPr>
        <w:tc>
          <w:tcPr>
            <w:tcW w:w="6020" w:type="dxa"/>
            <w:vAlign w:val="bottom"/>
          </w:tcPr>
          <w:p>
            <w:pPr>
              <w:ind w:left="180"/>
              <w:spacing w:after="0"/>
              <w:rPr>
                <w:sz w:val="20"/>
                <w:szCs w:val="20"/>
                <w:color w:val="auto"/>
              </w:rPr>
            </w:pPr>
            <w:r>
              <w:rPr>
                <w:rFonts w:ascii="Arial" w:cs="Arial" w:eastAsia="Arial" w:hAnsi="Arial"/>
                <w:sz w:val="13"/>
                <w:szCs w:val="13"/>
                <w:color w:val="auto"/>
              </w:rPr>
              <w:t>Money market accounts</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960,150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969,661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ind w:left="560"/>
              <w:spacing w:after="0"/>
              <w:rPr>
                <w:sz w:val="20"/>
                <w:szCs w:val="20"/>
                <w:color w:val="auto"/>
              </w:rPr>
            </w:pPr>
            <w:r>
              <w:rPr>
                <w:rFonts w:ascii="Arial" w:cs="Arial" w:eastAsia="Arial" w:hAnsi="Arial"/>
                <w:sz w:val="13"/>
                <w:szCs w:val="13"/>
                <w:color w:val="auto"/>
              </w:rPr>
              <w:t>(1)</w:t>
            </w:r>
          </w:p>
        </w:tc>
      </w:tr>
      <w:tr>
        <w:trPr>
          <w:trHeight w:val="172"/>
        </w:trPr>
        <w:tc>
          <w:tcPr>
            <w:tcW w:w="6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Savings accounts</w:t>
            </w: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240,412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238,197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1</w:t>
            </w:r>
          </w:p>
        </w:tc>
      </w:tr>
      <w:tr>
        <w:trPr>
          <w:trHeight w:val="158"/>
        </w:trPr>
        <w:tc>
          <w:tcPr>
            <w:tcW w:w="6020" w:type="dxa"/>
            <w:vAlign w:val="bottom"/>
          </w:tcPr>
          <w:p>
            <w:pPr>
              <w:ind w:left="280"/>
              <w:spacing w:after="0"/>
              <w:rPr>
                <w:sz w:val="20"/>
                <w:szCs w:val="20"/>
                <w:color w:val="auto"/>
              </w:rPr>
            </w:pPr>
            <w:r>
              <w:rPr>
                <w:rFonts w:ascii="Arial" w:cs="Arial" w:eastAsia="Arial" w:hAnsi="Arial"/>
                <w:sz w:val="13"/>
                <w:szCs w:val="13"/>
                <w:color w:val="auto"/>
              </w:rPr>
              <w:t>Core deposits</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2,631,663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2,608,585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23,078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ind w:left="620"/>
              <w:spacing w:after="0"/>
              <w:rPr>
                <w:sz w:val="20"/>
                <w:szCs w:val="20"/>
                <w:color w:val="auto"/>
              </w:rPr>
            </w:pPr>
            <w:r>
              <w:rPr>
                <w:rFonts w:ascii="Arial" w:cs="Arial" w:eastAsia="Arial" w:hAnsi="Arial"/>
                <w:sz w:val="13"/>
                <w:szCs w:val="13"/>
                <w:color w:val="auto"/>
              </w:rPr>
              <w:t>1</w:t>
            </w:r>
          </w:p>
        </w:tc>
      </w:tr>
      <w:tr>
        <w:trPr>
          <w:trHeight w:val="170"/>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Certificates of deposit</w:t>
            </w: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471,005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491,176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(4)</w:t>
            </w:r>
          </w:p>
        </w:tc>
      </w:tr>
      <w:tr>
        <w:trPr>
          <w:trHeight w:val="163"/>
        </w:trPr>
        <w:tc>
          <w:tcPr>
            <w:tcW w:w="6020" w:type="dxa"/>
            <w:vAlign w:val="bottom"/>
          </w:tcPr>
          <w:p>
            <w:pPr>
              <w:ind w:left="2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3,102,668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3,099,761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2,907</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w w:val="92"/>
              </w:rPr>
              <w:t>— %</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w:t>
      </w:r>
    </w:p>
    <w:p>
      <w:pPr>
        <w:spacing w:after="0" w:line="4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Management maintains a liquidity position that it believes will adequately provide funding for loan demand and deposit run-off that may occur in the normal course of business. We rely on a number of different sources in order to meet our potential liquidity demands. The primary sources are increases in deposit accounts and cash flows from loan payments and the securities portfolio.</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addition to these primary sources of funds, management has several secondary sources available to meet potential funding requirements. As of September 30, 2022, the Bank had an available borrowing capacity of $211.2 million with the FHLB of Atlanta, a $68.9 million line of credit with the FRB and a line of credit with three unaffiliated banks totaling $120.0 million. Additionally, we classify our securities portfolio as available for sale, providing an additional source of liquidity. Management believes that our securities portfolio is of high quality and the securities would therefore be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September 30, 2022 brokered deposits totaled $24.0 million, or 0.8%, of total deposits.</w:t>
      </w:r>
    </w:p>
    <w:p>
      <w:pPr>
        <w:spacing w:after="0" w:line="5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September 30, 2022, we (on an unconsolidated basis) had liquid assets of $6.1 million.</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the Bank level, we use our sources of funds primarily to meet our ongoing commitments, pay maturing deposits and fund withdrawals, and fund loan commitments. At September 30, 2022, the total approved loan commitments and unused lines of credit outstanding amounted to $431.8 million and $511.4 million, respectively, as compared to $417.6 million and $485.2 million as of June 30, 2022. Certificates of deposit scheduled to mature in one year or less at September 30, 2022, totaled $389.8 million. It is management's policy to manage deposit rates that are competitive with other local financial institutions. Based on this management strategy, we believe a majority of our maturing deposits will remain with us.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Activities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9 </w:t>
      </w:r>
      <w:r>
        <w:rPr>
          <w:rFonts w:ascii="Arial" w:cs="Arial" w:eastAsia="Arial" w:hAnsi="Arial"/>
          <w:sz w:val="14"/>
          <w:szCs w:val="14"/>
          <w:color w:val="auto"/>
        </w:rPr>
        <w:t>–</w:t>
      </w:r>
      <w:r>
        <w:rPr>
          <w:rFonts w:ascii="Arial" w:cs="Arial" w:eastAsia="Arial" w:hAnsi="Arial"/>
          <w:sz w:val="13"/>
          <w:szCs w:val="13"/>
          <w:color w:val="auto"/>
        </w:rPr>
        <w:t xml:space="preserve"> Commitments and Contingencies" in this Quarterly Report on Form 10-Q.</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Resources</w:t>
      </w:r>
    </w:p>
    <w:p>
      <w:pPr>
        <w:spacing w:after="0" w:line="4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At September 30, 2022, stockholders' equity totaled $396.2 million, compared to $388.8 million at June 30, 2022, an increase of $7.4 million which was mainly the result of net income for the quarter. 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Our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3"/>
          <w:szCs w:val="13"/>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63" w:lineRule="exact"/>
        <w:rPr>
          <w:sz w:val="20"/>
          <w:szCs w:val="20"/>
          <w:color w:val="auto"/>
        </w:rPr>
      </w:pPr>
    </w:p>
    <w:p>
      <w:pPr>
        <w:jc w:val="both"/>
        <w:spacing w:after="0" w:line="368" w:lineRule="auto"/>
        <w:rPr>
          <w:sz w:val="20"/>
          <w:szCs w:val="20"/>
          <w:color w:val="auto"/>
        </w:rPr>
      </w:pPr>
      <w:r>
        <w:rPr>
          <w:rFonts w:ascii="Arial" w:cs="Arial" w:eastAsia="Arial" w:hAnsi="Arial"/>
          <w:sz w:val="11"/>
          <w:szCs w:val="11"/>
          <w:color w:val="auto"/>
        </w:rPr>
        <w:t>At September 30, 2022, HomeTrust Bancshares, Inc. and the Bank each exceeded all regulatory capital requirements. Consistent with our goals to operate a sound and profitable organization, our policy is for the Bank to maintain a “well-capitalized” status under the regulatory capital categories of the Federal Reserve. The Bank was categorized as "well-capitalized" at September 30, 2022 under applicable regulatory requirements.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HomeTrust Bancshares, Inc. and the Bank's actual and required minimum capital amounts and ratios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Regulatory Requirements</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40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0"/>
                <w:szCs w:val="10"/>
                <w:color w:val="auto"/>
              </w:rPr>
            </w:pPr>
          </w:p>
        </w:tc>
        <w:tc>
          <w:tcPr>
            <w:tcW w:w="1220" w:type="dxa"/>
            <w:vAlign w:val="bottom"/>
            <w:gridSpan w:val="3"/>
            <w:vMerge w:val="restart"/>
          </w:tcPr>
          <w:p>
            <w:pPr>
              <w:ind w:left="760"/>
              <w:spacing w:after="0"/>
              <w:rPr>
                <w:sz w:val="20"/>
                <w:szCs w:val="20"/>
                <w:color w:val="auto"/>
              </w:rPr>
            </w:pPr>
            <w:r>
              <w:rPr>
                <w:rFonts w:ascii="Arial" w:cs="Arial" w:eastAsia="Arial" w:hAnsi="Arial"/>
                <w:sz w:val="13"/>
                <w:szCs w:val="13"/>
                <w:b w:val="1"/>
                <w:bCs w:val="1"/>
                <w:color w:val="auto"/>
              </w:rPr>
              <w:t>Actual</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3"/>
          </w:tcPr>
          <w:p>
            <w:pPr>
              <w:jc w:val="center"/>
              <w:ind w:left="136"/>
              <w:spacing w:after="0" w:line="120" w:lineRule="exact"/>
              <w:rPr>
                <w:sz w:val="20"/>
                <w:szCs w:val="20"/>
                <w:color w:val="auto"/>
              </w:rPr>
            </w:pPr>
            <w:r>
              <w:rPr>
                <w:rFonts w:ascii="Arial" w:cs="Arial" w:eastAsia="Arial" w:hAnsi="Arial"/>
                <w:sz w:val="13"/>
                <w:szCs w:val="13"/>
                <w:b w:val="1"/>
                <w:bCs w:val="1"/>
                <w:color w:val="auto"/>
                <w:w w:val="94"/>
              </w:rPr>
              <w:t>Minimum for Capital</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gridSpan w:val="3"/>
          </w:tcPr>
          <w:p>
            <w:pPr>
              <w:jc w:val="right"/>
              <w:ind w:right="616"/>
              <w:spacing w:after="0" w:line="120" w:lineRule="exact"/>
              <w:rPr>
                <w:sz w:val="20"/>
                <w:szCs w:val="20"/>
                <w:color w:val="auto"/>
              </w:rPr>
            </w:pPr>
            <w:r>
              <w:rPr>
                <w:rFonts w:ascii="Arial" w:cs="Arial" w:eastAsia="Arial" w:hAnsi="Arial"/>
                <w:sz w:val="13"/>
                <w:szCs w:val="13"/>
                <w:b w:val="1"/>
                <w:bCs w:val="1"/>
                <w:color w:val="auto"/>
              </w:rPr>
              <w:t>Minimum to Be</w:t>
            </w:r>
          </w:p>
        </w:tc>
        <w:tc>
          <w:tcPr>
            <w:tcW w:w="0" w:type="dxa"/>
            <w:vAlign w:val="bottom"/>
          </w:tcPr>
          <w:p>
            <w:pPr>
              <w:spacing w:after="0"/>
              <w:rPr>
                <w:sz w:val="1"/>
                <w:szCs w:val="1"/>
                <w:color w:val="auto"/>
              </w:rPr>
            </w:pPr>
          </w:p>
        </w:tc>
      </w:tr>
      <w:tr>
        <w:trPr>
          <w:trHeight w:val="168"/>
        </w:trPr>
        <w:tc>
          <w:tcPr>
            <w:tcW w:w="44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3"/>
                <w:szCs w:val="13"/>
                <w:b w:val="1"/>
                <w:bCs w:val="1"/>
                <w:color w:val="auto"/>
                <w:w w:val="86"/>
              </w:rPr>
              <w:t>Adequacy Purposes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b w:val="1"/>
                <w:bCs w:val="1"/>
                <w:color w:val="auto"/>
              </w:rPr>
              <w:t>Well Capitalized</w:t>
            </w:r>
          </w:p>
        </w:tc>
        <w:tc>
          <w:tcPr>
            <w:tcW w:w="0" w:type="dxa"/>
            <w:vAlign w:val="bottom"/>
          </w:tcPr>
          <w:p>
            <w:pPr>
              <w:spacing w:after="0"/>
              <w:rPr>
                <w:sz w:val="1"/>
                <w:szCs w:val="1"/>
                <w:color w:val="auto"/>
              </w:rPr>
            </w:pPr>
          </w:p>
        </w:tc>
      </w:tr>
      <w:tr>
        <w:trPr>
          <w:trHeight w:val="160"/>
        </w:trPr>
        <w:tc>
          <w:tcPr>
            <w:tcW w:w="4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ind w:left="120"/>
              <w:spacing w:after="0"/>
              <w:rPr>
                <w:sz w:val="20"/>
                <w:szCs w:val="20"/>
                <w:color w:val="auto"/>
              </w:rPr>
            </w:pPr>
            <w:r>
              <w:rPr>
                <w:rFonts w:ascii="Arial" w:cs="Arial" w:eastAsia="Arial" w:hAnsi="Arial"/>
                <w:sz w:val="13"/>
                <w:szCs w:val="13"/>
                <w:b w:val="1"/>
                <w:bCs w:val="1"/>
                <w:color w:val="auto"/>
              </w:rPr>
              <w:t>Ratio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ind w:left="400"/>
              <w:spacing w:after="0"/>
              <w:rPr>
                <w:sz w:val="20"/>
                <w:szCs w:val="20"/>
                <w:color w:val="auto"/>
              </w:rPr>
            </w:pPr>
            <w:r>
              <w:rPr>
                <w:rFonts w:ascii="Arial" w:cs="Arial" w:eastAsia="Arial" w:hAnsi="Arial"/>
                <w:sz w:val="13"/>
                <w:szCs w:val="13"/>
                <w:b w:val="1"/>
                <w:bCs w:val="1"/>
                <w:color w:val="auto"/>
                <w:w w:val="92"/>
              </w:rPr>
              <w:t>Ratio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120" w:type="dxa"/>
            <w:vAlign w:val="bottom"/>
          </w:tcPr>
          <w:p>
            <w:pPr>
              <w:jc w:val="right"/>
              <w:ind w:right="356"/>
              <w:spacing w:after="0"/>
              <w:rPr>
                <w:sz w:val="20"/>
                <w:szCs w:val="20"/>
                <w:color w:val="auto"/>
              </w:rPr>
            </w:pPr>
            <w:r>
              <w:rPr>
                <w:rFonts w:ascii="Arial" w:cs="Arial" w:eastAsia="Arial" w:hAnsi="Arial"/>
                <w:sz w:val="13"/>
                <w:szCs w:val="13"/>
                <w:b w:val="1"/>
                <w:bCs w:val="1"/>
                <w:color w:val="auto"/>
              </w:rPr>
              <w:t>Ratio</w:t>
            </w:r>
          </w:p>
        </w:tc>
        <w:tc>
          <w:tcPr>
            <w:tcW w:w="0" w:type="dxa"/>
            <w:vAlign w:val="bottom"/>
          </w:tcPr>
          <w:p>
            <w:pPr>
              <w:spacing w:after="0"/>
              <w:rPr>
                <w:sz w:val="1"/>
                <w:szCs w:val="1"/>
                <w:color w:val="auto"/>
              </w:rPr>
            </w:pPr>
          </w:p>
        </w:tc>
      </w:tr>
      <w:tr>
        <w:trPr>
          <w:trHeight w:val="150"/>
        </w:trPr>
        <w:tc>
          <w:tcPr>
            <w:tcW w:w="4400" w:type="dxa"/>
            <w:vAlign w:val="bottom"/>
            <w:tcBorders>
              <w:top w:val="single" w:sz="8" w:color="CCEEFF"/>
              <w:bottom w:val="single" w:sz="8" w:color="auto"/>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HomeTrust Bancshares, Inc.</w:t>
            </w: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379,461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11.01 %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155,026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223,927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00" w:type="dxa"/>
            <w:vAlign w:val="bottom"/>
          </w:tcPr>
          <w:p>
            <w:pPr>
              <w:ind w:left="10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379,461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142,626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178,283</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379,461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11.01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206,701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275,602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8"/>
        </w:trPr>
        <w:tc>
          <w:tcPr>
            <w:tcW w:w="4400" w:type="dxa"/>
            <w:vAlign w:val="bottom"/>
          </w:tcPr>
          <w:p>
            <w:pPr>
              <w:ind w:left="10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410,419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275,602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344,502</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76"/>
        </w:trPr>
        <w:tc>
          <w:tcPr>
            <w:tcW w:w="4400" w:type="dxa"/>
            <w:vAlign w:val="bottom"/>
            <w:tcBorders>
              <w:bottom w:val="single" w:sz="8" w:color="auto"/>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June 30, 2022</w:t>
            </w: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10.76 %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155,844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225,108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00" w:type="dxa"/>
            <w:vAlign w:val="bottom"/>
          </w:tcPr>
          <w:p>
            <w:pPr>
              <w:ind w:left="10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372,797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142,028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177,535</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207,792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277,057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8"/>
        </w:trPr>
        <w:tc>
          <w:tcPr>
            <w:tcW w:w="4400" w:type="dxa"/>
            <w:vAlign w:val="bottom"/>
          </w:tcPr>
          <w:p>
            <w:pPr>
              <w:ind w:left="10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395,962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277,057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346,321</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76"/>
        </w:trPr>
        <w:tc>
          <w:tcPr>
            <w:tcW w:w="44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HomeTrust Bank</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00" w:type="dxa"/>
            <w:vAlign w:val="bottom"/>
          </w:tcPr>
          <w:p>
            <w:pPr>
              <w:ind w:left="10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365,963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w w:val="87"/>
              </w:rPr>
              <w:t>10.62 %</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155,026</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3"/>
                <w:szCs w:val="13"/>
                <w:color w:val="auto"/>
                <w:w w:val="88"/>
              </w:rPr>
              <w:t>4.50 %</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223,927</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365,963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10.26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142,619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178,273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68"/>
        </w:trPr>
        <w:tc>
          <w:tcPr>
            <w:tcW w:w="4400" w:type="dxa"/>
            <w:vAlign w:val="bottom"/>
          </w:tcPr>
          <w:p>
            <w:pPr>
              <w:ind w:left="10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365,963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206,701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275,602</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396,921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11.52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275,602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344,502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74"/>
        </w:trPr>
        <w:tc>
          <w:tcPr>
            <w:tcW w:w="440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June 30, 2022</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00" w:type="dxa"/>
            <w:vAlign w:val="bottom"/>
          </w:tcPr>
          <w:p>
            <w:pPr>
              <w:ind w:left="10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358,600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w w:val="87"/>
              </w:rPr>
              <w:t>10.35 %</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155,844</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3"/>
                <w:szCs w:val="13"/>
                <w:color w:val="auto"/>
                <w:w w:val="88"/>
              </w:rPr>
              <w:t>4.50 %</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225,108</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358,600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10.11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141,814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177,267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68"/>
        </w:trPr>
        <w:tc>
          <w:tcPr>
            <w:tcW w:w="4400" w:type="dxa"/>
            <w:vAlign w:val="bottom"/>
          </w:tcPr>
          <w:p>
            <w:pPr>
              <w:ind w:left="10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358,600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207,792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277,057</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11.02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277,057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346,321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September 30, 2022, the Company's and Bank's risk-based capital exceeded the required capital contribution buffer.</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Dividends paid by HomeTrust Bank are limited, without regulatory approval, to current year earnings less dividends paid during the preceding two years.</w:t>
      </w:r>
    </w:p>
    <w:p>
      <w:pPr>
        <w:spacing w:after="0" w:line="122"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 About Market Risk</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There has not been any material change in the market risk disclosures contained in our 2022 Form 10-K.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An evaluation of our disclosure controls and procedures (as defined in Rule 13a-15(e) of the Securities Exchange Act of 1934 (the "Act")) as of September 30, 2022,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September 30, 2022,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OTHER INFORMATION</w:t>
      </w:r>
    </w:p>
    <w:p>
      <w:pPr>
        <w:spacing w:after="0" w:line="84"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"Litigation" section of "Note 9 </w:t>
      </w:r>
      <w:r>
        <w:rPr>
          <w:rFonts w:ascii="Arial" w:cs="Arial" w:eastAsia="Arial" w:hAnsi="Arial"/>
          <w:sz w:val="14"/>
          <w:szCs w:val="14"/>
          <w:color w:val="auto"/>
        </w:rPr>
        <w:t>–</w:t>
      </w:r>
      <w:r>
        <w:rPr>
          <w:rFonts w:ascii="Arial" w:cs="Arial" w:eastAsia="Arial" w:hAnsi="Arial"/>
          <w:sz w:val="13"/>
          <w:szCs w:val="13"/>
          <w:color w:val="auto"/>
        </w:rPr>
        <w:t xml:space="preserve"> Commitments and Contingencies" to the Consolidated Financial Statements included in Part I, Item 1 is incorporated herein by reference.</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material changes in the Risk Factors previously disclosed in Item 1A of the 2022 Form 10-K.</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45" w:lineRule="exact"/>
        <w:rPr>
          <w:sz w:val="20"/>
          <w:szCs w:val="20"/>
          <w:color w:val="auto"/>
        </w:rPr>
      </w:pPr>
    </w:p>
    <w:p>
      <w:pPr>
        <w:ind w:left="180" w:hanging="175"/>
        <w:spacing w:after="0"/>
        <w:tabs>
          <w:tab w:leader="none" w:pos="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83" w:lineRule="exact"/>
        <w:rPr>
          <w:rFonts w:ascii="Arial" w:cs="Arial" w:eastAsia="Arial" w:hAnsi="Arial"/>
          <w:sz w:val="13"/>
          <w:szCs w:val="13"/>
          <w:color w:val="auto"/>
        </w:rPr>
      </w:pPr>
    </w:p>
    <w:p>
      <w:pPr>
        <w:ind w:left="180" w:hanging="175"/>
        <w:spacing w:after="0"/>
        <w:tabs>
          <w:tab w:leader="none" w:pos="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94" w:lineRule="exact"/>
        <w:rPr>
          <w:rFonts w:ascii="Arial" w:cs="Arial" w:eastAsia="Arial" w:hAnsi="Arial"/>
          <w:sz w:val="13"/>
          <w:szCs w:val="13"/>
          <w:color w:val="auto"/>
        </w:rPr>
      </w:pPr>
    </w:p>
    <w:p>
      <w:pPr>
        <w:ind w:left="180" w:hanging="175"/>
        <w:spacing w:after="0"/>
        <w:tabs>
          <w:tab w:leader="none" w:pos="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3"/>
              </w:rPr>
              <w:t>Maximum</w:t>
            </w: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Total Number Of</w:t>
            </w:r>
          </w:p>
        </w:tc>
        <w:tc>
          <w:tcPr>
            <w:tcW w:w="13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0"/>
              </w:rPr>
              <w:t>Shares that May</w:t>
            </w: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Total Number</w:t>
            </w:r>
          </w:p>
        </w:tc>
        <w:tc>
          <w:tcPr>
            <w:tcW w:w="8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Average</w:t>
            </w:r>
          </w:p>
        </w:tc>
        <w:tc>
          <w:tcPr>
            <w:tcW w:w="142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85"/>
              </w:rPr>
              <w:t>Shares Purchased as</w:t>
            </w:r>
          </w:p>
        </w:tc>
        <w:tc>
          <w:tcPr>
            <w:tcW w:w="13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6"/>
              </w:rPr>
              <w:t>Yet Be Purchased</w:t>
            </w: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0"/>
              </w:rPr>
              <w:t>Part of Publicly</w:t>
            </w:r>
          </w:p>
        </w:tc>
        <w:tc>
          <w:tcPr>
            <w:tcW w:w="13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0"/>
              </w:rPr>
              <w:t>Under Publicly</w:t>
            </w:r>
          </w:p>
        </w:tc>
        <w:tc>
          <w:tcPr>
            <w:tcW w:w="0" w:type="dxa"/>
            <w:vAlign w:val="bottom"/>
          </w:tcPr>
          <w:p>
            <w:pPr>
              <w:spacing w:after="0"/>
              <w:rPr>
                <w:sz w:val="1"/>
                <w:szCs w:val="1"/>
                <w:color w:val="auto"/>
              </w:rPr>
            </w:pPr>
          </w:p>
        </w:tc>
      </w:tr>
      <w:tr>
        <w:trPr>
          <w:trHeight w:val="168"/>
        </w:trPr>
        <w:tc>
          <w:tcPr>
            <w:tcW w:w="46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1"/>
              </w:rPr>
              <w:t>Of Shares Purchased</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Price Paid per Share</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Announced Plans</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Announced Plans</w:t>
            </w:r>
          </w:p>
        </w:tc>
        <w:tc>
          <w:tcPr>
            <w:tcW w:w="0" w:type="dxa"/>
            <w:vAlign w:val="bottom"/>
          </w:tcPr>
          <w:p>
            <w:pPr>
              <w:spacing w:after="0"/>
              <w:rPr>
                <w:sz w:val="1"/>
                <w:szCs w:val="1"/>
                <w:color w:val="auto"/>
              </w:rPr>
            </w:pPr>
          </w:p>
        </w:tc>
      </w:tr>
      <w:tr>
        <w:trPr>
          <w:trHeight w:val="16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July 1 - July 31, 2022</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68"/>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August 1 - August 31, 2022</w:t>
            </w:r>
          </w:p>
        </w:tc>
        <w:tc>
          <w:tcPr>
            <w:tcW w:w="1420" w:type="dxa"/>
            <w:vAlign w:val="bottom"/>
            <w:gridSpan w:val="2"/>
          </w:tcPr>
          <w:p>
            <w:pPr>
              <w:ind w:left="1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ind w:left="11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September 1 - September 30, 2022</w:t>
            </w:r>
          </w:p>
        </w:tc>
        <w:tc>
          <w:tcPr>
            <w:tcW w:w="132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63"/>
        </w:trPr>
        <w:tc>
          <w:tcPr>
            <w:tcW w:w="46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5100" w:type="dxa"/>
            <w:vAlign w:val="bottom"/>
          </w:tcPr>
          <w:p>
            <w:pPr>
              <w:spacing w:after="0"/>
              <w:rPr>
                <w:sz w:val="14"/>
                <w:szCs w:val="14"/>
                <w:color w:val="auto"/>
              </w:rPr>
            </w:pPr>
          </w:p>
        </w:tc>
        <w:tc>
          <w:tcPr>
            <w:tcW w:w="1420" w:type="dxa"/>
            <w:vAlign w:val="bottom"/>
            <w:gridSpan w:val="2"/>
          </w:tcPr>
          <w:p>
            <w:pPr>
              <w:ind w:left="1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ind w:left="11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3"/>
                <w:szCs w:val="13"/>
                <w:color w:val="auto"/>
              </w:rPr>
              <w:t>No stock was repurchased during the three months ended September 30, 2022.</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5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5100" w:type="dxa"/>
            <w:vAlign w:val="bottom"/>
          </w:tcPr>
          <w:p>
            <w:pPr>
              <w:ind w:left="80"/>
              <w:spacing w:after="0"/>
              <w:rPr>
                <w:sz w:val="20"/>
                <w:szCs w:val="20"/>
                <w:color w:val="auto"/>
              </w:rPr>
            </w:pPr>
            <w:r>
              <w:rPr>
                <w:rFonts w:ascii="Arial" w:cs="Arial" w:eastAsia="Arial" w:hAnsi="Arial"/>
                <w:sz w:val="13"/>
                <w:szCs w:val="13"/>
                <w:b w:val="1"/>
                <w:bCs w:val="1"/>
                <w:color w:val="auto"/>
              </w:rPr>
              <w:t>Defaults Upon Senior Securities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560" w:type="dxa"/>
            <w:vAlign w:val="bottom"/>
            <w:gridSpan w:val="2"/>
          </w:tcPr>
          <w:p>
            <w:pPr>
              <w:spacing w:after="0"/>
              <w:rPr>
                <w:sz w:val="20"/>
                <w:szCs w:val="20"/>
                <w:color w:val="auto"/>
              </w:rPr>
            </w:pPr>
            <w:r>
              <w:rPr>
                <w:rFonts w:ascii="Arial" w:cs="Arial" w:eastAsia="Arial" w:hAnsi="Arial"/>
                <w:sz w:val="13"/>
                <w:szCs w:val="13"/>
                <w:color w:val="auto"/>
              </w:rPr>
              <w:t>Nothing to report.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6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5100" w:type="dxa"/>
            <w:vAlign w:val="bottom"/>
          </w:tcPr>
          <w:p>
            <w:pPr>
              <w:ind w:left="80"/>
              <w:spacing w:after="0"/>
              <w:rPr>
                <w:sz w:val="20"/>
                <w:szCs w:val="20"/>
                <w:color w:val="auto"/>
              </w:rPr>
            </w:pPr>
            <w:r>
              <w:rPr>
                <w:rFonts w:ascii="Arial" w:cs="Arial" w:eastAsia="Arial" w:hAnsi="Arial"/>
                <w:sz w:val="13"/>
                <w:szCs w:val="13"/>
                <w:b w:val="1"/>
                <w:bCs w:val="1"/>
                <w:color w:val="auto"/>
              </w:rPr>
              <w:t>Mine Safety Disclosures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560" w:type="dxa"/>
            <w:vAlign w:val="bottom"/>
            <w:gridSpan w:val="2"/>
          </w:tcPr>
          <w:p>
            <w:pPr>
              <w:spacing w:after="0"/>
              <w:rPr>
                <w:sz w:val="20"/>
                <w:szCs w:val="20"/>
                <w:color w:val="auto"/>
              </w:rPr>
            </w:pPr>
            <w:r>
              <w:rPr>
                <w:rFonts w:ascii="Arial" w:cs="Arial" w:eastAsia="Arial" w:hAnsi="Arial"/>
                <w:sz w:val="13"/>
                <w:szCs w:val="13"/>
                <w:color w:val="auto"/>
              </w:rPr>
              <w:t>Not applicable.</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Nothing to report.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5"/>
        </w:trPr>
        <w:tc>
          <w:tcPr>
            <w:tcW w:w="1740" w:type="dxa"/>
            <w:vAlign w:val="bottom"/>
          </w:tcPr>
          <w:p>
            <w:pPr>
              <w:spacing w:after="0"/>
              <w:rPr>
                <w:sz w:val="20"/>
                <w:szCs w:val="20"/>
                <w:color w:val="auto"/>
              </w:rPr>
            </w:pPr>
            <w:r>
              <w:rPr>
                <w:rFonts w:ascii="Arial" w:cs="Arial" w:eastAsia="Arial" w:hAnsi="Arial"/>
                <w:sz w:val="13"/>
                <w:szCs w:val="13"/>
                <w:b w:val="1"/>
                <w:bCs w:val="1"/>
                <w:color w:val="auto"/>
              </w:rPr>
              <w:t>Item 6.  Exhibits</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Regulation S-K Exhibit</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b w:val="1"/>
                <w:bCs w:val="1"/>
                <w:color w:val="auto"/>
                <w:w w:val="89"/>
              </w:rPr>
              <w:t>Reference to Prior Filing or</w:t>
            </w:r>
          </w:p>
        </w:tc>
        <w:tc>
          <w:tcPr>
            <w:tcW w:w="0" w:type="dxa"/>
            <w:vAlign w:val="bottom"/>
          </w:tcPr>
          <w:p>
            <w:pPr>
              <w:spacing w:after="0"/>
              <w:rPr>
                <w:sz w:val="1"/>
                <w:szCs w:val="1"/>
                <w:color w:val="auto"/>
              </w:rPr>
            </w:pPr>
          </w:p>
        </w:tc>
      </w:tr>
      <w:tr>
        <w:trPr>
          <w:trHeight w:val="127"/>
        </w:trPr>
        <w:tc>
          <w:tcPr>
            <w:tcW w:w="17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20" w:type="dxa"/>
            <w:vAlign w:val="bottom"/>
            <w:gridSpan w:val="17"/>
            <w:vMerge w:val="restart"/>
          </w:tcPr>
          <w:p>
            <w:pPr>
              <w:ind w:left="60"/>
              <w:spacing w:after="0"/>
              <w:rPr>
                <w:sz w:val="20"/>
                <w:szCs w:val="20"/>
                <w:color w:val="auto"/>
              </w:rPr>
            </w:pPr>
            <w:r>
              <w:rPr>
                <w:rFonts w:ascii="Arial" w:cs="Arial" w:eastAsia="Arial" w:hAnsi="Arial"/>
                <w:sz w:val="13"/>
                <w:szCs w:val="13"/>
                <w:b w:val="1"/>
                <w:bCs w:val="1"/>
                <w:color w:val="auto"/>
              </w:rPr>
              <w:t>Document</w:t>
            </w:r>
          </w:p>
        </w:tc>
        <w:tc>
          <w:tcPr>
            <w:tcW w:w="1900" w:type="dxa"/>
            <w:vAlign w:val="bottom"/>
          </w:tcPr>
          <w:p>
            <w:pPr>
              <w:jc w:val="center"/>
              <w:ind w:left="16"/>
              <w:spacing w:after="0" w:line="128" w:lineRule="exact"/>
              <w:rPr>
                <w:sz w:val="20"/>
                <w:szCs w:val="20"/>
                <w:color w:val="auto"/>
              </w:rPr>
            </w:pPr>
            <w:r>
              <w:rPr>
                <w:rFonts w:ascii="Arial" w:cs="Arial" w:eastAsia="Arial" w:hAnsi="Arial"/>
                <w:sz w:val="13"/>
                <w:szCs w:val="13"/>
                <w:b w:val="1"/>
                <w:bCs w:val="1"/>
                <w:color w:val="auto"/>
                <w:w w:val="91"/>
              </w:rPr>
              <w:t>Exhibit Number Attached</w:t>
            </w: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7"/>
            <w:vMerge w:val="continue"/>
          </w:tcPr>
          <w:p>
            <w:pPr>
              <w:spacing w:after="0"/>
              <w:rPr>
                <w:sz w:val="14"/>
                <w:szCs w:val="14"/>
                <w:color w:val="auto"/>
              </w:rPr>
            </w:pPr>
          </w:p>
        </w:tc>
        <w:tc>
          <w:tcPr>
            <w:tcW w:w="19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2"/>
              </w:rPr>
              <w:t>Hereto</w:t>
            </w:r>
          </w:p>
        </w:tc>
        <w:tc>
          <w:tcPr>
            <w:tcW w:w="0" w:type="dxa"/>
            <w:vAlign w:val="bottom"/>
          </w:tcPr>
          <w:p>
            <w:pPr>
              <w:spacing w:after="0"/>
              <w:rPr>
                <w:sz w:val="1"/>
                <w:szCs w:val="1"/>
                <w:color w:val="auto"/>
              </w:rPr>
            </w:pPr>
          </w:p>
        </w:tc>
      </w:tr>
      <w:tr>
        <w:trPr>
          <w:trHeight w:val="311"/>
        </w:trPr>
        <w:tc>
          <w:tcPr>
            <w:tcW w:w="174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2000" w:type="dxa"/>
            <w:vAlign w:val="bottom"/>
            <w:tcBorders>
              <w:bottom w:val="single" w:sz="8" w:color="0000FF"/>
            </w:tcBorders>
            <w:gridSpan w:val="3"/>
          </w:tcPr>
          <w:p>
            <w:pPr>
              <w:spacing w:after="0"/>
              <w:rPr>
                <w:rFonts w:ascii="Arial" w:cs="Arial" w:eastAsia="Arial" w:hAnsi="Arial"/>
                <w:sz w:val="13"/>
                <w:szCs w:val="13"/>
                <w:color w:val="0000FF"/>
                <w:w w:val="87"/>
              </w:rPr>
            </w:pPr>
            <w:hyperlink r:id="rId56">
              <w:r>
                <w:rPr>
                  <w:rFonts w:ascii="Arial" w:cs="Arial" w:eastAsia="Arial" w:hAnsi="Arial"/>
                  <w:sz w:val="13"/>
                  <w:szCs w:val="13"/>
                  <w:color w:val="0000FF"/>
                  <w:w w:val="87"/>
                </w:rPr>
                <w:t>Charter of HomeTrust Bancshares, Inc.</w:t>
              </w:r>
            </w:hyperlink>
          </w:p>
        </w:tc>
        <w:tc>
          <w:tcPr>
            <w:tcW w:w="5640" w:type="dxa"/>
            <w:vAlign w:val="bottom"/>
            <w:gridSpan w:val="35"/>
          </w:tcPr>
          <w:p>
            <w:pPr>
              <w:spacing w:after="0"/>
              <w:rPr>
                <w:sz w:val="24"/>
                <w:szCs w:val="24"/>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7640" w:type="dxa"/>
            <w:vAlign w:val="bottom"/>
            <w:gridSpan w:val="38"/>
          </w:tcPr>
          <w:p>
            <w:pPr>
              <w:spacing w:after="0"/>
              <w:rPr>
                <w:rFonts w:ascii="Arial" w:cs="Arial" w:eastAsia="Arial" w:hAnsi="Arial"/>
                <w:sz w:val="13"/>
                <w:szCs w:val="13"/>
                <w:color w:val="0000FF"/>
              </w:rPr>
            </w:pPr>
            <w:hyperlink r:id="rId57">
              <w:r>
                <w:rPr>
                  <w:rFonts w:ascii="Arial" w:cs="Arial" w:eastAsia="Arial" w:hAnsi="Arial"/>
                  <w:sz w:val="13"/>
                  <w:szCs w:val="13"/>
                  <w:color w:val="0000FF"/>
                </w:rPr>
                <w:t>Amended and Restated Bylaws of HomeTrust Bancshares, Inc.</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rPr>
              <w:t>(f)</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7640" w:type="dxa"/>
            <w:vAlign w:val="bottom"/>
            <w:gridSpan w:val="38"/>
          </w:tcPr>
          <w:p>
            <w:pPr>
              <w:spacing w:after="0"/>
              <w:rPr>
                <w:rFonts w:ascii="Arial" w:cs="Arial" w:eastAsia="Arial" w:hAnsi="Arial"/>
                <w:sz w:val="13"/>
                <w:szCs w:val="13"/>
                <w:color w:val="0000FF"/>
              </w:rPr>
            </w:pPr>
            <w:hyperlink r:id="rId58">
              <w:r>
                <w:rPr>
                  <w:rFonts w:ascii="Arial" w:cs="Arial" w:eastAsia="Arial" w:hAnsi="Arial"/>
                  <w:sz w:val="13"/>
                  <w:szCs w:val="13"/>
                  <w:color w:val="0000FF"/>
                </w:rPr>
                <w:t>HomeTrust Bancshares, Inc. Senior Leadership Incentive Plan (formerly known as Operating Committee Incentive Program)</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(a)</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7640" w:type="dxa"/>
            <w:vAlign w:val="bottom"/>
            <w:gridSpan w:val="38"/>
          </w:tcPr>
          <w:p>
            <w:pPr>
              <w:spacing w:after="0"/>
              <w:rPr>
                <w:rFonts w:ascii="Arial" w:cs="Arial" w:eastAsia="Arial" w:hAnsi="Arial"/>
                <w:sz w:val="13"/>
                <w:szCs w:val="13"/>
                <w:color w:val="0000FF"/>
              </w:rPr>
            </w:pPr>
            <w:hyperlink r:id="rId58">
              <w:r>
                <w:rPr>
                  <w:rFonts w:ascii="Arial" w:cs="Arial" w:eastAsia="Arial" w:hAnsi="Arial"/>
                  <w:sz w:val="13"/>
                  <w:szCs w:val="13"/>
                  <w:color w:val="0000FF"/>
                </w:rPr>
                <w:t>Amended and Restated Employment and Transition Agreement between HomeTrust Bancshares, Inc. and Dana L. Stonestreet</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(a)</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10.3</w:t>
            </w:r>
          </w:p>
        </w:tc>
        <w:tc>
          <w:tcPr>
            <w:tcW w:w="6420" w:type="dxa"/>
            <w:vAlign w:val="bottom"/>
            <w:tcBorders>
              <w:top w:val="single" w:sz="8" w:color="0000FF"/>
            </w:tcBorders>
            <w:gridSpan w:val="33"/>
          </w:tcPr>
          <w:p>
            <w:pPr>
              <w:spacing w:after="0"/>
              <w:rPr>
                <w:rFonts w:ascii="Arial" w:cs="Arial" w:eastAsia="Arial" w:hAnsi="Arial"/>
                <w:sz w:val="13"/>
                <w:szCs w:val="13"/>
                <w:color w:val="0000FF"/>
                <w:w w:val="98"/>
              </w:rPr>
            </w:pPr>
            <w:hyperlink r:id="rId59">
              <w:r>
                <w:rPr>
                  <w:rFonts w:ascii="Arial" w:cs="Arial" w:eastAsia="Arial" w:hAnsi="Arial"/>
                  <w:sz w:val="13"/>
                  <w:szCs w:val="13"/>
                  <w:color w:val="0000FF"/>
                  <w:w w:val="98"/>
                </w:rPr>
                <w:t>Amended and Restated Employment Agreement between HomeTrust Bancshares, Inc. and C. Hunter Westbrook</w:t>
              </w:r>
            </w:hyperlink>
          </w:p>
        </w:tc>
        <w:tc>
          <w:tcPr>
            <w:tcW w:w="1220" w:type="dxa"/>
            <w:vAlign w:val="bottom"/>
            <w:gridSpan w:val="5"/>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(g)</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4"/>
              </w:rPr>
              <w:t>10.3A</w:t>
            </w:r>
          </w:p>
        </w:tc>
        <w:tc>
          <w:tcPr>
            <w:tcW w:w="6860" w:type="dxa"/>
            <w:vAlign w:val="bottom"/>
            <w:tcBorders>
              <w:bottom w:val="single" w:sz="8" w:color="0000FF"/>
            </w:tcBorders>
            <w:gridSpan w:val="36"/>
          </w:tcPr>
          <w:p>
            <w:pPr>
              <w:spacing w:after="0"/>
              <w:rPr>
                <w:rFonts w:ascii="Arial" w:cs="Arial" w:eastAsia="Arial" w:hAnsi="Arial"/>
                <w:sz w:val="13"/>
                <w:szCs w:val="13"/>
                <w:color w:val="0000FF"/>
                <w:w w:val="88"/>
              </w:rPr>
            </w:pPr>
            <w:hyperlink r:id="rId60">
              <w:r>
                <w:rPr>
                  <w:rFonts w:ascii="Arial" w:cs="Arial" w:eastAsia="Arial" w:hAnsi="Arial"/>
                  <w:sz w:val="13"/>
                  <w:szCs w:val="13"/>
                  <w:color w:val="0000FF"/>
                  <w:w w:val="88"/>
                </w:rPr>
                <w:t>Amendment No. 1 to Amended and Restated Employment Agreement between HomeTrust Bancshares, Inc. and C. Hunter Westbrook</w:t>
              </w:r>
            </w:hyperlink>
          </w:p>
        </w:tc>
        <w:tc>
          <w:tcPr>
            <w:tcW w:w="780" w:type="dxa"/>
            <w:vAlign w:val="bottom"/>
            <w:gridSpan w:val="2"/>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(b)</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10.3B</w:t>
            </w:r>
          </w:p>
        </w:tc>
        <w:tc>
          <w:tcPr>
            <w:tcW w:w="6860" w:type="dxa"/>
            <w:vAlign w:val="bottom"/>
            <w:tcBorders>
              <w:bottom w:val="single" w:sz="8" w:color="0000FF"/>
            </w:tcBorders>
            <w:gridSpan w:val="36"/>
          </w:tcPr>
          <w:p>
            <w:pPr>
              <w:spacing w:after="0"/>
              <w:rPr>
                <w:rFonts w:ascii="Arial" w:cs="Arial" w:eastAsia="Arial" w:hAnsi="Arial"/>
                <w:sz w:val="13"/>
                <w:szCs w:val="13"/>
                <w:color w:val="0000FF"/>
                <w:w w:val="88"/>
              </w:rPr>
            </w:pPr>
            <w:hyperlink r:id="rId61">
              <w:r>
                <w:rPr>
                  <w:rFonts w:ascii="Arial" w:cs="Arial" w:eastAsia="Arial" w:hAnsi="Arial"/>
                  <w:sz w:val="13"/>
                  <w:szCs w:val="13"/>
                  <w:color w:val="0000FF"/>
                  <w:w w:val="88"/>
                </w:rPr>
                <w:t>Amendment No. 2 to Amended and Restated Employment Agreement between HomeTrust Bancshares, Inc. and C. Hunter Westbrook</w:t>
              </w:r>
            </w:hyperlink>
          </w:p>
        </w:tc>
        <w:tc>
          <w:tcPr>
            <w:tcW w:w="780" w:type="dxa"/>
            <w:vAlign w:val="bottom"/>
            <w:gridSpan w:val="2"/>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(h)</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10.3C</w:t>
            </w:r>
          </w:p>
        </w:tc>
        <w:tc>
          <w:tcPr>
            <w:tcW w:w="6860" w:type="dxa"/>
            <w:vAlign w:val="bottom"/>
            <w:tcBorders>
              <w:bottom w:val="single" w:sz="8" w:color="0000FF"/>
            </w:tcBorders>
            <w:gridSpan w:val="36"/>
          </w:tcPr>
          <w:p>
            <w:pPr>
              <w:spacing w:after="0"/>
              <w:rPr>
                <w:rFonts w:ascii="Arial" w:cs="Arial" w:eastAsia="Arial" w:hAnsi="Arial"/>
                <w:sz w:val="13"/>
                <w:szCs w:val="13"/>
                <w:color w:val="0000FF"/>
                <w:w w:val="88"/>
              </w:rPr>
            </w:pPr>
            <w:hyperlink r:id="rId62">
              <w:r>
                <w:rPr>
                  <w:rFonts w:ascii="Arial" w:cs="Arial" w:eastAsia="Arial" w:hAnsi="Arial"/>
                  <w:sz w:val="13"/>
                  <w:szCs w:val="13"/>
                  <w:color w:val="0000FF"/>
                  <w:w w:val="88"/>
                </w:rPr>
                <w:t>Amendment No. 3 to Amended and Restated Employment Agreement between HomeTrust Bancshares, Inc. and C. Hunter Westbrook</w:t>
              </w:r>
            </w:hyperlink>
          </w:p>
        </w:tc>
        <w:tc>
          <w:tcPr>
            <w:tcW w:w="780" w:type="dxa"/>
            <w:vAlign w:val="bottom"/>
            <w:gridSpan w:val="2"/>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(o)</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2"/>
              </w:rPr>
              <w:t>10.3D</w:t>
            </w:r>
          </w:p>
        </w:tc>
        <w:tc>
          <w:tcPr>
            <w:tcW w:w="6840" w:type="dxa"/>
            <w:vAlign w:val="bottom"/>
            <w:tcBorders>
              <w:bottom w:val="single" w:sz="8" w:color="0000FF"/>
            </w:tcBorders>
            <w:gridSpan w:val="35"/>
          </w:tcPr>
          <w:p>
            <w:pPr>
              <w:spacing w:after="0"/>
              <w:rPr>
                <w:rFonts w:ascii="Arial" w:cs="Arial" w:eastAsia="Arial" w:hAnsi="Arial"/>
                <w:sz w:val="13"/>
                <w:szCs w:val="13"/>
                <w:color w:val="0000FF"/>
                <w:w w:val="88"/>
              </w:rPr>
            </w:pPr>
            <w:hyperlink r:id="rId63">
              <w:r>
                <w:rPr>
                  <w:rFonts w:ascii="Arial" w:cs="Arial" w:eastAsia="Arial" w:hAnsi="Arial"/>
                  <w:sz w:val="13"/>
                  <w:szCs w:val="13"/>
                  <w:color w:val="0000FF"/>
                  <w:w w:val="88"/>
                </w:rPr>
                <w:t>Amendment No. 4 to Amended and Restated Employment Agreement between HomeTrust Bancshares, Inc. and C. Hunter Westbrook</w:t>
              </w:r>
            </w:hyperlink>
          </w:p>
        </w:tc>
        <w:tc>
          <w:tcPr>
            <w:tcW w:w="800" w:type="dxa"/>
            <w:vAlign w:val="bottom"/>
            <w:gridSpan w:val="3"/>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(e)</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5720" w:type="dxa"/>
            <w:vAlign w:val="bottom"/>
            <w:tcBorders>
              <w:bottom w:val="single" w:sz="8" w:color="0000FF"/>
            </w:tcBorders>
            <w:gridSpan w:val="31"/>
          </w:tcPr>
          <w:p>
            <w:pPr>
              <w:spacing w:after="0"/>
              <w:rPr>
                <w:rFonts w:ascii="Arial" w:cs="Arial" w:eastAsia="Arial" w:hAnsi="Arial"/>
                <w:sz w:val="13"/>
                <w:szCs w:val="13"/>
                <w:color w:val="0000FF"/>
                <w:w w:val="88"/>
              </w:rPr>
            </w:pPr>
            <w:hyperlink r:id="rId59">
              <w:r>
                <w:rPr>
                  <w:rFonts w:ascii="Arial" w:cs="Arial" w:eastAsia="Arial" w:hAnsi="Arial"/>
                  <w:sz w:val="13"/>
                  <w:szCs w:val="13"/>
                  <w:color w:val="0000FF"/>
                  <w:w w:val="88"/>
                </w:rPr>
                <w:t>Amended and Restated Employment Agreement between HomeTrust Bancshares, Inc. and Tony J. VunCannon</w:t>
              </w:r>
            </w:hyperlink>
          </w:p>
        </w:tc>
        <w:tc>
          <w:tcPr>
            <w:tcW w:w="1920" w:type="dxa"/>
            <w:vAlign w:val="bottom"/>
            <w:gridSpan w:val="7"/>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(g)</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4"/>
              </w:rPr>
              <w:t>10.4A</w:t>
            </w:r>
          </w:p>
        </w:tc>
        <w:tc>
          <w:tcPr>
            <w:tcW w:w="6660" w:type="dxa"/>
            <w:vAlign w:val="bottom"/>
            <w:tcBorders>
              <w:bottom w:val="single" w:sz="8" w:color="0000FF"/>
            </w:tcBorders>
            <w:gridSpan w:val="34"/>
          </w:tcPr>
          <w:p>
            <w:pPr>
              <w:spacing w:after="0"/>
              <w:rPr>
                <w:rFonts w:ascii="Arial" w:cs="Arial" w:eastAsia="Arial" w:hAnsi="Arial"/>
                <w:sz w:val="13"/>
                <w:szCs w:val="13"/>
                <w:color w:val="0000FF"/>
                <w:w w:val="88"/>
              </w:rPr>
            </w:pPr>
            <w:hyperlink r:id="rId58">
              <w:r>
                <w:rPr>
                  <w:rFonts w:ascii="Arial" w:cs="Arial" w:eastAsia="Arial" w:hAnsi="Arial"/>
                  <w:sz w:val="13"/>
                  <w:szCs w:val="13"/>
                  <w:color w:val="0000FF"/>
                  <w:w w:val="88"/>
                </w:rPr>
                <w:t>Amendment No. 1 to Amended and Restated Employment Agreement between HomeTrust Bancshares, Inc. and Tony VunCannon</w:t>
              </w:r>
            </w:hyperlink>
          </w:p>
        </w:tc>
        <w:tc>
          <w:tcPr>
            <w:tcW w:w="980" w:type="dxa"/>
            <w:vAlign w:val="bottom"/>
            <w:gridSpan w:val="4"/>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(a)</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10.5</w:t>
            </w:r>
          </w:p>
        </w:tc>
        <w:tc>
          <w:tcPr>
            <w:tcW w:w="4680" w:type="dxa"/>
            <w:vAlign w:val="bottom"/>
            <w:tcBorders>
              <w:bottom w:val="single" w:sz="8" w:color="0000FF"/>
            </w:tcBorders>
            <w:gridSpan w:val="29"/>
          </w:tcPr>
          <w:p>
            <w:pPr>
              <w:spacing w:after="0"/>
              <w:rPr>
                <w:rFonts w:ascii="Arial" w:cs="Arial" w:eastAsia="Arial" w:hAnsi="Arial"/>
                <w:sz w:val="13"/>
                <w:szCs w:val="13"/>
                <w:color w:val="0000FF"/>
                <w:w w:val="89"/>
              </w:rPr>
            </w:pPr>
            <w:hyperlink r:id="rId56">
              <w:r>
                <w:rPr>
                  <w:rFonts w:ascii="Arial" w:cs="Arial" w:eastAsia="Arial" w:hAnsi="Arial"/>
                  <w:sz w:val="13"/>
                  <w:szCs w:val="13"/>
                  <w:color w:val="0000FF"/>
                  <w:w w:val="89"/>
                </w:rPr>
                <w:t>HomeTrust Bank Executive Supplemental Retirement Income Master Agreement (“SERP”)</w:t>
              </w:r>
            </w:hyperlink>
          </w:p>
        </w:tc>
        <w:tc>
          <w:tcPr>
            <w:tcW w:w="2960" w:type="dxa"/>
            <w:vAlign w:val="bottom"/>
            <w:gridSpan w:val="9"/>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10.6</w:t>
            </w:r>
          </w:p>
        </w:tc>
        <w:tc>
          <w:tcPr>
            <w:tcW w:w="7640" w:type="dxa"/>
            <w:vAlign w:val="bottom"/>
            <w:gridSpan w:val="38"/>
          </w:tcPr>
          <w:p>
            <w:pPr>
              <w:spacing w:after="0"/>
              <w:rPr>
                <w:rFonts w:ascii="Arial" w:cs="Arial" w:eastAsia="Arial" w:hAnsi="Arial"/>
                <w:sz w:val="13"/>
                <w:szCs w:val="13"/>
                <w:color w:val="0000FF"/>
              </w:rPr>
            </w:pPr>
            <w:hyperlink r:id="rId64">
              <w:r>
                <w:rPr>
                  <w:rFonts w:ascii="Arial" w:cs="Arial" w:eastAsia="Arial" w:hAnsi="Arial"/>
                  <w:sz w:val="13"/>
                  <w:szCs w:val="13"/>
                  <w:color w:val="0000FF"/>
                </w:rPr>
                <w:t>Amendment No. 1 to SERP</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92"/>
              </w:rPr>
              <w:t>(m)</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10.7</w:t>
            </w:r>
          </w:p>
        </w:tc>
        <w:tc>
          <w:tcPr>
            <w:tcW w:w="7640" w:type="dxa"/>
            <w:vAlign w:val="bottom"/>
            <w:gridSpan w:val="38"/>
          </w:tcPr>
          <w:p>
            <w:pPr>
              <w:spacing w:after="0"/>
              <w:rPr>
                <w:rFonts w:ascii="Arial" w:cs="Arial" w:eastAsia="Arial" w:hAnsi="Arial"/>
                <w:sz w:val="13"/>
                <w:szCs w:val="13"/>
                <w:color w:val="0000FF"/>
              </w:rPr>
            </w:pPr>
            <w:hyperlink r:id="rId65">
              <w:r>
                <w:rPr>
                  <w:rFonts w:ascii="Arial" w:cs="Arial" w:eastAsia="Arial" w:hAnsi="Arial"/>
                  <w:sz w:val="13"/>
                  <w:szCs w:val="13"/>
                  <w:color w:val="0000FF"/>
                </w:rPr>
                <w:t>Amendment No. 2 to SERP</w:t>
              </w:r>
            </w:hyperlink>
          </w:p>
        </w:tc>
        <w:tc>
          <w:tcPr>
            <w:tcW w:w="1900" w:type="dxa"/>
            <w:vAlign w:val="bottom"/>
          </w:tcPr>
          <w:p>
            <w:pPr>
              <w:jc w:val="center"/>
              <w:ind w:left="36"/>
              <w:spacing w:after="0"/>
              <w:rPr>
                <w:sz w:val="20"/>
                <w:szCs w:val="20"/>
                <w:color w:val="auto"/>
              </w:rPr>
            </w:pPr>
            <w:r>
              <w:rPr>
                <w:rFonts w:ascii="Arial" w:cs="Arial" w:eastAsia="Arial" w:hAnsi="Arial"/>
                <w:sz w:val="13"/>
                <w:szCs w:val="13"/>
                <w:color w:val="auto"/>
              </w:rPr>
              <w:t>(l)</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4"/>
              </w:rPr>
              <w:t>10.7A</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SERP Joinder Agreement for F. Edward Broadwell, Jr.</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10.7B</w:t>
            </w:r>
          </w:p>
        </w:tc>
        <w:tc>
          <w:tcPr>
            <w:tcW w:w="2780" w:type="dxa"/>
            <w:vAlign w:val="bottom"/>
            <w:tcBorders>
              <w:top w:val="single" w:sz="8" w:color="0000FF"/>
            </w:tcBorders>
            <w:gridSpan w:val="11"/>
          </w:tcPr>
          <w:p>
            <w:pPr>
              <w:spacing w:after="0"/>
              <w:rPr>
                <w:rFonts w:ascii="Arial" w:cs="Arial" w:eastAsia="Arial" w:hAnsi="Arial"/>
                <w:sz w:val="13"/>
                <w:szCs w:val="13"/>
                <w:color w:val="0000FF"/>
                <w:w w:val="96"/>
              </w:rPr>
            </w:pPr>
            <w:hyperlink r:id="rId56">
              <w:r>
                <w:rPr>
                  <w:rFonts w:ascii="Arial" w:cs="Arial" w:eastAsia="Arial" w:hAnsi="Arial"/>
                  <w:sz w:val="13"/>
                  <w:szCs w:val="13"/>
                  <w:color w:val="0000FF"/>
                  <w:w w:val="96"/>
                </w:rPr>
                <w:t>SERP Joinder Agreement for Dana L. Stonestreet</w:t>
              </w:r>
            </w:hyperlink>
          </w:p>
        </w:tc>
        <w:tc>
          <w:tcPr>
            <w:tcW w:w="4860" w:type="dxa"/>
            <w:vAlign w:val="bottom"/>
            <w:gridSpan w:val="27"/>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10.7C</w:t>
            </w:r>
          </w:p>
        </w:tc>
        <w:tc>
          <w:tcPr>
            <w:tcW w:w="2540" w:type="dxa"/>
            <w:vAlign w:val="bottom"/>
            <w:tcBorders>
              <w:bottom w:val="single" w:sz="8" w:color="0000FF"/>
            </w:tcBorders>
            <w:gridSpan w:val="8"/>
          </w:tcPr>
          <w:p>
            <w:pPr>
              <w:spacing w:after="0"/>
              <w:rPr>
                <w:rFonts w:ascii="Arial" w:cs="Arial" w:eastAsia="Arial" w:hAnsi="Arial"/>
                <w:sz w:val="13"/>
                <w:szCs w:val="13"/>
                <w:color w:val="0000FF"/>
                <w:w w:val="88"/>
              </w:rPr>
            </w:pPr>
            <w:hyperlink r:id="rId56">
              <w:r>
                <w:rPr>
                  <w:rFonts w:ascii="Arial" w:cs="Arial" w:eastAsia="Arial" w:hAnsi="Arial"/>
                  <w:sz w:val="13"/>
                  <w:szCs w:val="13"/>
                  <w:color w:val="0000FF"/>
                  <w:w w:val="88"/>
                </w:rPr>
                <w:t>SERP Joinder Agreement for Tony J. VunCannon</w:t>
              </w:r>
            </w:hyperlink>
          </w:p>
        </w:tc>
        <w:tc>
          <w:tcPr>
            <w:tcW w:w="5100" w:type="dxa"/>
            <w:vAlign w:val="bottom"/>
            <w:gridSpan w:val="30"/>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2"/>
              </w:rPr>
              <w:t>10.7D</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SERP Joinder Agreement for Howard L. Sellinger</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10.7E</w:t>
            </w:r>
          </w:p>
        </w:tc>
        <w:tc>
          <w:tcPr>
            <w:tcW w:w="206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88"/>
              </w:rPr>
            </w:pPr>
            <w:hyperlink r:id="rId56">
              <w:r>
                <w:rPr>
                  <w:rFonts w:ascii="Arial" w:cs="Arial" w:eastAsia="Arial" w:hAnsi="Arial"/>
                  <w:sz w:val="13"/>
                  <w:szCs w:val="13"/>
                  <w:color w:val="0000FF"/>
                  <w:w w:val="88"/>
                </w:rPr>
                <w:t>SERP Joinder Agreement for Stan Allen</w:t>
              </w:r>
            </w:hyperlink>
          </w:p>
        </w:tc>
        <w:tc>
          <w:tcPr>
            <w:tcW w:w="500" w:type="dxa"/>
            <w:vAlign w:val="bottom"/>
            <w:tcBorders>
              <w:top w:val="single" w:sz="8" w:color="0000FF"/>
            </w:tcBorders>
            <w:gridSpan w:val="5"/>
          </w:tcPr>
          <w:p>
            <w:pPr>
              <w:spacing w:after="0"/>
              <w:rPr>
                <w:sz w:val="13"/>
                <w:szCs w:val="13"/>
                <w:color w:val="auto"/>
              </w:rPr>
            </w:pPr>
          </w:p>
        </w:tc>
        <w:tc>
          <w:tcPr>
            <w:tcW w:w="5080" w:type="dxa"/>
            <w:vAlign w:val="bottom"/>
            <w:gridSpan w:val="29"/>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0"/>
              </w:rPr>
              <w:t>10.7F</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SERP Joinder Agreement for Sidney A. Biesecker</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0"/>
              </w:rPr>
              <w:t>10.7G</w:t>
            </w:r>
          </w:p>
        </w:tc>
        <w:tc>
          <w:tcPr>
            <w:tcW w:w="2560" w:type="dxa"/>
            <w:vAlign w:val="bottom"/>
            <w:tcBorders>
              <w:top w:val="single" w:sz="8" w:color="0000FF"/>
            </w:tcBorders>
            <w:gridSpan w:val="9"/>
          </w:tcPr>
          <w:p>
            <w:pPr>
              <w:spacing w:after="0"/>
              <w:rPr>
                <w:rFonts w:ascii="Arial" w:cs="Arial" w:eastAsia="Arial" w:hAnsi="Arial"/>
                <w:sz w:val="13"/>
                <w:szCs w:val="13"/>
                <w:color w:val="0000FF"/>
                <w:w w:val="93"/>
              </w:rPr>
            </w:pPr>
            <w:hyperlink r:id="rId56">
              <w:r>
                <w:rPr>
                  <w:rFonts w:ascii="Arial" w:cs="Arial" w:eastAsia="Arial" w:hAnsi="Arial"/>
                  <w:sz w:val="13"/>
                  <w:szCs w:val="13"/>
                  <w:color w:val="0000FF"/>
                  <w:w w:val="93"/>
                </w:rPr>
                <w:t>SERP Joinder Agreement for Peggy C. Melville</w:t>
              </w:r>
            </w:hyperlink>
          </w:p>
        </w:tc>
        <w:tc>
          <w:tcPr>
            <w:tcW w:w="5080" w:type="dxa"/>
            <w:vAlign w:val="bottom"/>
            <w:gridSpan w:val="29"/>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2"/>
              </w:rPr>
              <w:t>10.7H</w:t>
            </w:r>
          </w:p>
        </w:tc>
        <w:tc>
          <w:tcPr>
            <w:tcW w:w="2440" w:type="dxa"/>
            <w:vAlign w:val="bottom"/>
            <w:tcBorders>
              <w:top w:val="single" w:sz="8" w:color="0000FF"/>
            </w:tcBorders>
            <w:gridSpan w:val="6"/>
          </w:tcPr>
          <w:p>
            <w:pPr>
              <w:spacing w:after="0"/>
              <w:rPr>
                <w:rFonts w:ascii="Arial" w:cs="Arial" w:eastAsia="Arial" w:hAnsi="Arial"/>
                <w:sz w:val="13"/>
                <w:szCs w:val="13"/>
                <w:color w:val="0000FF"/>
                <w:w w:val="93"/>
              </w:rPr>
            </w:pPr>
            <w:hyperlink r:id="rId56">
              <w:r>
                <w:rPr>
                  <w:rFonts w:ascii="Arial" w:cs="Arial" w:eastAsia="Arial" w:hAnsi="Arial"/>
                  <w:sz w:val="13"/>
                  <w:szCs w:val="13"/>
                  <w:color w:val="0000FF"/>
                  <w:w w:val="93"/>
                </w:rPr>
                <w:t>SERP Joinder Agreement for William T. Flynt</w:t>
              </w:r>
            </w:hyperlink>
          </w:p>
        </w:tc>
        <w:tc>
          <w:tcPr>
            <w:tcW w:w="5200" w:type="dxa"/>
            <w:vAlign w:val="bottom"/>
            <w:gridSpan w:val="32"/>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9"/>
              </w:rPr>
              <w:t>10.7I</w:t>
            </w:r>
          </w:p>
        </w:tc>
        <w:tc>
          <w:tcPr>
            <w:tcW w:w="7640" w:type="dxa"/>
            <w:vAlign w:val="bottom"/>
            <w:gridSpan w:val="38"/>
          </w:tcPr>
          <w:p>
            <w:pPr>
              <w:spacing w:after="0"/>
              <w:rPr>
                <w:rFonts w:ascii="Arial" w:cs="Arial" w:eastAsia="Arial" w:hAnsi="Arial"/>
                <w:sz w:val="13"/>
                <w:szCs w:val="13"/>
                <w:color w:val="0000FF"/>
                <w:w w:val="90"/>
              </w:rPr>
            </w:pPr>
            <w:hyperlink r:id="rId66">
              <w:r>
                <w:rPr>
                  <w:rFonts w:ascii="Arial" w:cs="Arial" w:eastAsia="Arial" w:hAnsi="Arial"/>
                  <w:sz w:val="13"/>
                  <w:szCs w:val="13"/>
                  <w:color w:val="0000FF"/>
                  <w:w w:val="90"/>
                </w:rPr>
                <w:t>Amended and Restated Supplemental Income Agreement between HomeTrust Bank, as successor to Industrial Federal Savings Bank, and Sidney</w:t>
              </w:r>
            </w:hyperlink>
          </w:p>
        </w:tc>
        <w:tc>
          <w:tcPr>
            <w:tcW w:w="1900" w:type="dxa"/>
            <w:vAlign w:val="bottom"/>
          </w:tcPr>
          <w:p>
            <w:pPr>
              <w:jc w:val="center"/>
              <w:ind w:left="36"/>
              <w:spacing w:after="0"/>
              <w:rPr>
                <w:sz w:val="20"/>
                <w:szCs w:val="20"/>
                <w:color w:val="auto"/>
              </w:rPr>
            </w:pPr>
            <w:r>
              <w:rPr>
                <w:rFonts w:ascii="Arial" w:cs="Arial" w:eastAsia="Arial" w:hAnsi="Arial"/>
                <w:sz w:val="13"/>
                <w:szCs w:val="13"/>
                <w:color w:val="auto"/>
              </w:rPr>
              <w:t>(i)</w:t>
            </w: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50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w w:val="91"/>
              </w:rPr>
            </w:pPr>
            <w:hyperlink r:id="rId66">
              <w:r>
                <w:rPr>
                  <w:rFonts w:ascii="Arial" w:cs="Arial" w:eastAsia="Arial" w:hAnsi="Arial"/>
                  <w:sz w:val="12"/>
                  <w:szCs w:val="12"/>
                  <w:color w:val="0000FF"/>
                  <w:w w:val="91"/>
                </w:rPr>
                <w:t>Biesecker</w:t>
              </w:r>
            </w:hyperlink>
          </w:p>
        </w:tc>
        <w:tc>
          <w:tcPr>
            <w:tcW w:w="6900" w:type="dxa"/>
            <w:vAlign w:val="bottom"/>
            <w:tcBorders>
              <w:top w:val="single" w:sz="8" w:color="0000FF"/>
            </w:tcBorders>
            <w:gridSpan w:val="36"/>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10.8</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HomeTrust Bank Director Emeritus Plan (“Director Emeritus Plan”)</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4"/>
              </w:rPr>
              <w:t>10.8A</w:t>
            </w:r>
          </w:p>
        </w:tc>
        <w:tc>
          <w:tcPr>
            <w:tcW w:w="3240" w:type="dxa"/>
            <w:vAlign w:val="bottom"/>
            <w:tcBorders>
              <w:top w:val="single" w:sz="8" w:color="0000FF"/>
              <w:bottom w:val="single" w:sz="8" w:color="0000FF"/>
            </w:tcBorders>
            <w:gridSpan w:val="15"/>
          </w:tcPr>
          <w:p>
            <w:pPr>
              <w:spacing w:after="0"/>
              <w:rPr>
                <w:rFonts w:ascii="Arial" w:cs="Arial" w:eastAsia="Arial" w:hAnsi="Arial"/>
                <w:sz w:val="13"/>
                <w:szCs w:val="13"/>
                <w:color w:val="0000FF"/>
                <w:w w:val="90"/>
              </w:rPr>
            </w:pPr>
            <w:hyperlink r:id="rId56">
              <w:r>
                <w:rPr>
                  <w:rFonts w:ascii="Arial" w:cs="Arial" w:eastAsia="Arial" w:hAnsi="Arial"/>
                  <w:sz w:val="13"/>
                  <w:szCs w:val="13"/>
                  <w:color w:val="0000FF"/>
                  <w:w w:val="90"/>
                </w:rPr>
                <w:t>Director Emeritus Plan Joinder Agreement for William T. Flynt</w:t>
              </w:r>
            </w:hyperlink>
          </w:p>
        </w:tc>
        <w:tc>
          <w:tcPr>
            <w:tcW w:w="240" w:type="dxa"/>
            <w:vAlign w:val="bottom"/>
            <w:tcBorders>
              <w:top w:val="single" w:sz="8" w:color="0000FF"/>
            </w:tcBorders>
            <w:gridSpan w:val="5"/>
          </w:tcPr>
          <w:p>
            <w:pPr>
              <w:spacing w:after="0"/>
              <w:rPr>
                <w:sz w:val="13"/>
                <w:szCs w:val="13"/>
                <w:color w:val="auto"/>
              </w:rPr>
            </w:pPr>
          </w:p>
        </w:tc>
        <w:tc>
          <w:tcPr>
            <w:tcW w:w="4160" w:type="dxa"/>
            <w:vAlign w:val="bottom"/>
            <w:gridSpan w:val="18"/>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10.8B</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Director Emeritus Plan Joinder Agreement for J. Steven Goforth</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10.8C</w:t>
            </w:r>
          </w:p>
        </w:tc>
        <w:tc>
          <w:tcPr>
            <w:tcW w:w="3280" w:type="dxa"/>
            <w:vAlign w:val="bottom"/>
            <w:tcBorders>
              <w:top w:val="single" w:sz="8" w:color="0000FF"/>
            </w:tcBorders>
            <w:gridSpan w:val="16"/>
          </w:tcPr>
          <w:p>
            <w:pPr>
              <w:spacing w:after="0"/>
              <w:rPr>
                <w:rFonts w:ascii="Arial" w:cs="Arial" w:eastAsia="Arial" w:hAnsi="Arial"/>
                <w:sz w:val="13"/>
                <w:szCs w:val="13"/>
                <w:color w:val="0000FF"/>
                <w:w w:val="91"/>
              </w:rPr>
            </w:pPr>
            <w:hyperlink r:id="rId56">
              <w:r>
                <w:rPr>
                  <w:rFonts w:ascii="Arial" w:cs="Arial" w:eastAsia="Arial" w:hAnsi="Arial"/>
                  <w:sz w:val="13"/>
                  <w:szCs w:val="13"/>
                  <w:color w:val="0000FF"/>
                  <w:w w:val="91"/>
                </w:rPr>
                <w:t>Director Emeritus Plan Joinder Agreement for Craig C. Koontz</w:t>
              </w:r>
            </w:hyperlink>
          </w:p>
        </w:tc>
        <w:tc>
          <w:tcPr>
            <w:tcW w:w="4360" w:type="dxa"/>
            <w:vAlign w:val="bottom"/>
            <w:gridSpan w:val="22"/>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680" w:type="dxa"/>
            <w:vAlign w:val="bottom"/>
            <w:gridSpan w:val="10"/>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2"/>
              </w:rPr>
              <w:t>10.8D</w:t>
            </w:r>
          </w:p>
        </w:tc>
        <w:tc>
          <w:tcPr>
            <w:tcW w:w="3340" w:type="dxa"/>
            <w:vAlign w:val="bottom"/>
            <w:tcBorders>
              <w:bottom w:val="single" w:sz="8" w:color="0000FF"/>
            </w:tcBorders>
            <w:gridSpan w:val="18"/>
          </w:tcPr>
          <w:p>
            <w:pPr>
              <w:spacing w:after="0"/>
              <w:rPr>
                <w:rFonts w:ascii="Arial" w:cs="Arial" w:eastAsia="Arial" w:hAnsi="Arial"/>
                <w:sz w:val="13"/>
                <w:szCs w:val="13"/>
                <w:color w:val="0000FF"/>
                <w:w w:val="90"/>
              </w:rPr>
            </w:pPr>
            <w:hyperlink r:id="rId56">
              <w:r>
                <w:rPr>
                  <w:rFonts w:ascii="Arial" w:cs="Arial" w:eastAsia="Arial" w:hAnsi="Arial"/>
                  <w:sz w:val="13"/>
                  <w:szCs w:val="13"/>
                  <w:color w:val="0000FF"/>
                  <w:w w:val="90"/>
                </w:rPr>
                <w:t>Director Emeritus Plan Joinder Agreement for Larry S. McDevitt</w:t>
              </w:r>
            </w:hyperlink>
          </w:p>
        </w:tc>
        <w:tc>
          <w:tcPr>
            <w:tcW w:w="4300" w:type="dxa"/>
            <w:vAlign w:val="bottom"/>
            <w:gridSpan w:val="20"/>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10.8E</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Director Emeritus Plan Joinder Agreement for F.K. McFarland, III</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0"/>
              </w:rPr>
              <w:t>10.8F</w:t>
            </w:r>
          </w:p>
        </w:tc>
        <w:tc>
          <w:tcPr>
            <w:tcW w:w="3320" w:type="dxa"/>
            <w:vAlign w:val="bottom"/>
            <w:tcBorders>
              <w:top w:val="single" w:sz="8" w:color="0000FF"/>
              <w:bottom w:val="single" w:sz="8" w:color="0000FF"/>
            </w:tcBorders>
            <w:gridSpan w:val="17"/>
          </w:tcPr>
          <w:p>
            <w:pPr>
              <w:spacing w:after="0"/>
              <w:rPr>
                <w:rFonts w:ascii="Arial" w:cs="Arial" w:eastAsia="Arial" w:hAnsi="Arial"/>
                <w:sz w:val="13"/>
                <w:szCs w:val="13"/>
                <w:color w:val="0000FF"/>
                <w:w w:val="90"/>
              </w:rPr>
            </w:pPr>
            <w:hyperlink r:id="rId56">
              <w:r>
                <w:rPr>
                  <w:rFonts w:ascii="Arial" w:cs="Arial" w:eastAsia="Arial" w:hAnsi="Arial"/>
                  <w:sz w:val="13"/>
                  <w:szCs w:val="13"/>
                  <w:color w:val="0000FF"/>
                  <w:w w:val="90"/>
                </w:rPr>
                <w:t>Director Emeritus Plan Joinder Agreement for Peggy C. Melville</w:t>
              </w:r>
            </w:hyperlink>
          </w:p>
        </w:tc>
        <w:tc>
          <w:tcPr>
            <w:tcW w:w="60" w:type="dxa"/>
            <w:vAlign w:val="bottom"/>
            <w:tcBorders>
              <w:top w:val="single" w:sz="8" w:color="0000FF"/>
            </w:tcBorders>
            <w:gridSpan w:val="2"/>
          </w:tcPr>
          <w:p>
            <w:pPr>
              <w:spacing w:after="0"/>
              <w:rPr>
                <w:sz w:val="13"/>
                <w:szCs w:val="13"/>
                <w:color w:val="auto"/>
              </w:rPr>
            </w:pPr>
          </w:p>
        </w:tc>
        <w:tc>
          <w:tcPr>
            <w:tcW w:w="4260" w:type="dxa"/>
            <w:vAlign w:val="bottom"/>
            <w:gridSpan w:val="19"/>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0"/>
              </w:rPr>
              <w:t>10.8G</w:t>
            </w:r>
          </w:p>
        </w:tc>
        <w:tc>
          <w:tcPr>
            <w:tcW w:w="3600" w:type="dxa"/>
            <w:vAlign w:val="bottom"/>
            <w:tcBorders>
              <w:bottom w:val="single" w:sz="8" w:color="0000FF"/>
            </w:tcBorders>
            <w:gridSpan w:val="22"/>
          </w:tcPr>
          <w:p>
            <w:pPr>
              <w:spacing w:after="0"/>
              <w:rPr>
                <w:rFonts w:ascii="Arial" w:cs="Arial" w:eastAsia="Arial" w:hAnsi="Arial"/>
                <w:sz w:val="13"/>
                <w:szCs w:val="13"/>
                <w:color w:val="0000FF"/>
                <w:w w:val="88"/>
              </w:rPr>
            </w:pPr>
            <w:hyperlink r:id="rId56">
              <w:r>
                <w:rPr>
                  <w:rFonts w:ascii="Arial" w:cs="Arial" w:eastAsia="Arial" w:hAnsi="Arial"/>
                  <w:sz w:val="13"/>
                  <w:szCs w:val="13"/>
                  <w:color w:val="0000FF"/>
                  <w:w w:val="88"/>
                </w:rPr>
                <w:t>Director Emeritus Plan Joinder Agreement for Robert E. Shepherd, Sr.</w:t>
              </w:r>
            </w:hyperlink>
          </w:p>
        </w:tc>
        <w:tc>
          <w:tcPr>
            <w:tcW w:w="4040" w:type="dxa"/>
            <w:vAlign w:val="bottom"/>
            <w:gridSpan w:val="16"/>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10.9</w:t>
            </w:r>
          </w:p>
        </w:tc>
        <w:tc>
          <w:tcPr>
            <w:tcW w:w="3520" w:type="dxa"/>
            <w:vAlign w:val="bottom"/>
            <w:tcBorders>
              <w:bottom w:val="single" w:sz="8" w:color="0000FF"/>
            </w:tcBorders>
            <w:gridSpan w:val="21"/>
          </w:tcPr>
          <w:p>
            <w:pPr>
              <w:spacing w:after="0"/>
              <w:rPr>
                <w:rFonts w:ascii="Arial" w:cs="Arial" w:eastAsia="Arial" w:hAnsi="Arial"/>
                <w:sz w:val="13"/>
                <w:szCs w:val="13"/>
                <w:color w:val="0000FF"/>
                <w:w w:val="89"/>
              </w:rPr>
            </w:pPr>
            <w:hyperlink r:id="rId56">
              <w:r>
                <w:rPr>
                  <w:rFonts w:ascii="Arial" w:cs="Arial" w:eastAsia="Arial" w:hAnsi="Arial"/>
                  <w:sz w:val="13"/>
                  <w:szCs w:val="13"/>
                  <w:color w:val="0000FF"/>
                  <w:w w:val="89"/>
                </w:rPr>
                <w:t>HomeTrust Bank Defined Contribution Executive Medical Care Plan</w:t>
              </w:r>
            </w:hyperlink>
          </w:p>
        </w:tc>
        <w:tc>
          <w:tcPr>
            <w:tcW w:w="4120" w:type="dxa"/>
            <w:vAlign w:val="bottom"/>
            <w:gridSpan w:val="17"/>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4"/>
              </w:rPr>
              <w:t>10.9A</w:t>
            </w:r>
          </w:p>
        </w:tc>
        <w:tc>
          <w:tcPr>
            <w:tcW w:w="4640" w:type="dxa"/>
            <w:vAlign w:val="bottom"/>
            <w:tcBorders>
              <w:bottom w:val="single" w:sz="8" w:color="0000FF"/>
            </w:tcBorders>
            <w:gridSpan w:val="28"/>
          </w:tcPr>
          <w:p>
            <w:pPr>
              <w:spacing w:after="0"/>
              <w:rPr>
                <w:rFonts w:ascii="Arial" w:cs="Arial" w:eastAsia="Arial" w:hAnsi="Arial"/>
                <w:sz w:val="13"/>
                <w:szCs w:val="13"/>
                <w:color w:val="0000FF"/>
                <w:w w:val="90"/>
              </w:rPr>
            </w:pPr>
            <w:hyperlink r:id="rId64">
              <w:r>
                <w:rPr>
                  <w:rFonts w:ascii="Arial" w:cs="Arial" w:eastAsia="Arial" w:hAnsi="Arial"/>
                  <w:sz w:val="13"/>
                  <w:szCs w:val="13"/>
                  <w:color w:val="0000FF"/>
                  <w:w w:val="90"/>
                </w:rPr>
                <w:t>Amendment No. 1 to HomeTrust Bank Defined Contribution Executive Medical Care Plan</w:t>
              </w:r>
            </w:hyperlink>
          </w:p>
        </w:tc>
        <w:tc>
          <w:tcPr>
            <w:tcW w:w="3000" w:type="dxa"/>
            <w:vAlign w:val="bottom"/>
            <w:gridSpan w:val="10"/>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92"/>
              </w:rPr>
              <w:t>(m)</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8"/>
              </w:rPr>
              <w:t>10.9B</w:t>
            </w:r>
          </w:p>
        </w:tc>
        <w:tc>
          <w:tcPr>
            <w:tcW w:w="7640" w:type="dxa"/>
            <w:vAlign w:val="bottom"/>
            <w:gridSpan w:val="38"/>
          </w:tcPr>
          <w:p>
            <w:pPr>
              <w:spacing w:after="0"/>
              <w:rPr>
                <w:rFonts w:ascii="Arial" w:cs="Arial" w:eastAsia="Arial" w:hAnsi="Arial"/>
                <w:sz w:val="13"/>
                <w:szCs w:val="13"/>
                <w:color w:val="0000FF"/>
              </w:rPr>
            </w:pPr>
            <w:hyperlink r:id="rId64">
              <w:r>
                <w:rPr>
                  <w:rFonts w:ascii="Arial" w:cs="Arial" w:eastAsia="Arial" w:hAnsi="Arial"/>
                  <w:sz w:val="13"/>
                  <w:szCs w:val="13"/>
                  <w:color w:val="0000FF"/>
                </w:rPr>
                <w:t>Form of Joinder Agreement Under the HomeTrust Bank Defined Contribution Executive Medical Care Plan</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92"/>
              </w:rPr>
              <w:t>(m)</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6"/>
              </w:rPr>
              <w:t>10.9C</w:t>
            </w:r>
          </w:p>
        </w:tc>
        <w:tc>
          <w:tcPr>
            <w:tcW w:w="5500" w:type="dxa"/>
            <w:vAlign w:val="bottom"/>
            <w:tcBorders>
              <w:top w:val="single" w:sz="8" w:color="0000FF"/>
            </w:tcBorders>
            <w:gridSpan w:val="30"/>
          </w:tcPr>
          <w:p>
            <w:pPr>
              <w:spacing w:after="0"/>
              <w:rPr>
                <w:sz w:val="20"/>
                <w:szCs w:val="20"/>
                <w:color w:val="auto"/>
              </w:rPr>
            </w:pPr>
            <w:r>
              <w:rPr>
                <w:rFonts w:ascii="Arial" w:cs="Arial" w:eastAsia="Arial" w:hAnsi="Arial"/>
                <w:sz w:val="13"/>
                <w:szCs w:val="13"/>
                <w:color w:val="0000FF"/>
              </w:rPr>
              <w:t>Amendment No. 2 to HomeTrust Bank Defined Contribution Executive Medical Care Plan</w:t>
            </w:r>
          </w:p>
        </w:tc>
        <w:tc>
          <w:tcPr>
            <w:tcW w:w="2140" w:type="dxa"/>
            <w:vAlign w:val="bottom"/>
            <w:gridSpan w:val="8"/>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6"/>
              </w:rPr>
              <w:t>10.9C</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5"/>
              </w:rPr>
              <w:t>10.10</w:t>
            </w:r>
          </w:p>
        </w:tc>
        <w:tc>
          <w:tcPr>
            <w:tcW w:w="2680" w:type="dxa"/>
            <w:vAlign w:val="bottom"/>
            <w:tcBorders>
              <w:top w:val="single" w:sz="8" w:color="0000FF"/>
              <w:bottom w:val="single" w:sz="8" w:color="0000FF"/>
            </w:tcBorders>
            <w:gridSpan w:val="10"/>
          </w:tcPr>
          <w:p>
            <w:pPr>
              <w:spacing w:after="0"/>
              <w:rPr>
                <w:rFonts w:ascii="Arial" w:cs="Arial" w:eastAsia="Arial" w:hAnsi="Arial"/>
                <w:sz w:val="13"/>
                <w:szCs w:val="13"/>
                <w:color w:val="0000FF"/>
                <w:w w:val="88"/>
              </w:rPr>
            </w:pPr>
            <w:hyperlink r:id="rId56">
              <w:r>
                <w:rPr>
                  <w:rFonts w:ascii="Arial" w:cs="Arial" w:eastAsia="Arial" w:hAnsi="Arial"/>
                  <w:sz w:val="13"/>
                  <w:szCs w:val="13"/>
                  <w:color w:val="0000FF"/>
                  <w:w w:val="88"/>
                </w:rPr>
                <w:t>HomeTrust Bank 2005 Deferred Compensation Plan</w:t>
              </w:r>
            </w:hyperlink>
          </w:p>
        </w:tc>
        <w:tc>
          <w:tcPr>
            <w:tcW w:w="1940" w:type="dxa"/>
            <w:vAlign w:val="bottom"/>
            <w:tcBorders>
              <w:top w:val="single" w:sz="8" w:color="0000FF"/>
            </w:tcBorders>
            <w:gridSpan w:val="17"/>
          </w:tcPr>
          <w:p>
            <w:pPr>
              <w:spacing w:after="0"/>
              <w:rPr>
                <w:sz w:val="13"/>
                <w:szCs w:val="13"/>
                <w:color w:val="auto"/>
              </w:rPr>
            </w:pPr>
          </w:p>
        </w:tc>
        <w:tc>
          <w:tcPr>
            <w:tcW w:w="3020" w:type="dxa"/>
            <w:vAlign w:val="bottom"/>
            <w:gridSpan w:val="11"/>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2"/>
              </w:rPr>
              <w:t>10.10A</w:t>
            </w:r>
          </w:p>
        </w:tc>
        <w:tc>
          <w:tcPr>
            <w:tcW w:w="3780" w:type="dxa"/>
            <w:vAlign w:val="bottom"/>
            <w:tcBorders>
              <w:bottom w:val="single" w:sz="8" w:color="0000FF"/>
            </w:tcBorders>
            <w:gridSpan w:val="23"/>
          </w:tcPr>
          <w:p>
            <w:pPr>
              <w:spacing w:after="0"/>
              <w:rPr>
                <w:rFonts w:ascii="Arial" w:cs="Arial" w:eastAsia="Arial" w:hAnsi="Arial"/>
                <w:sz w:val="13"/>
                <w:szCs w:val="13"/>
                <w:color w:val="0000FF"/>
                <w:w w:val="88"/>
              </w:rPr>
            </w:pPr>
            <w:hyperlink r:id="rId64">
              <w:r>
                <w:rPr>
                  <w:rFonts w:ascii="Arial" w:cs="Arial" w:eastAsia="Arial" w:hAnsi="Arial"/>
                  <w:sz w:val="13"/>
                  <w:szCs w:val="13"/>
                  <w:color w:val="0000FF"/>
                  <w:w w:val="88"/>
                </w:rPr>
                <w:t>Amendment No. 1 to HomeTrust Bank 2005 Deferred Compensation Plan</w:t>
              </w:r>
            </w:hyperlink>
          </w:p>
        </w:tc>
        <w:tc>
          <w:tcPr>
            <w:tcW w:w="3860" w:type="dxa"/>
            <w:vAlign w:val="bottom"/>
            <w:gridSpan w:val="15"/>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92"/>
              </w:rPr>
              <w:t>(m)</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5"/>
              </w:rPr>
              <w:t>10.11</w:t>
            </w:r>
          </w:p>
        </w:tc>
        <w:tc>
          <w:tcPr>
            <w:tcW w:w="7640" w:type="dxa"/>
            <w:vAlign w:val="bottom"/>
            <w:gridSpan w:val="38"/>
          </w:tcPr>
          <w:p>
            <w:pPr>
              <w:spacing w:after="0"/>
              <w:rPr>
                <w:rFonts w:ascii="Arial" w:cs="Arial" w:eastAsia="Arial" w:hAnsi="Arial"/>
                <w:sz w:val="13"/>
                <w:szCs w:val="13"/>
                <w:color w:val="0000FF"/>
              </w:rPr>
            </w:pPr>
            <w:hyperlink r:id="rId56">
              <w:r>
                <w:rPr>
                  <w:rFonts w:ascii="Arial" w:cs="Arial" w:eastAsia="Arial" w:hAnsi="Arial"/>
                  <w:sz w:val="13"/>
                  <w:szCs w:val="13"/>
                  <w:color w:val="0000FF"/>
                </w:rPr>
                <w:t>HomeTrust Bank Pre-2005 Deferred Compensation Plan</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80" w:type="dxa"/>
            <w:vAlign w:val="bottom"/>
            <w:gridSpan w:val="12"/>
            <w:shd w:val="clear" w:color="auto" w:fill="0000FF"/>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92"/>
              </w:rPr>
              <w:t>10.11A</w:t>
            </w:r>
          </w:p>
        </w:tc>
        <w:tc>
          <w:tcPr>
            <w:tcW w:w="7640" w:type="dxa"/>
            <w:vAlign w:val="bottom"/>
            <w:gridSpan w:val="38"/>
          </w:tcPr>
          <w:p>
            <w:pPr>
              <w:spacing w:after="0"/>
              <w:rPr>
                <w:rFonts w:ascii="Arial" w:cs="Arial" w:eastAsia="Arial" w:hAnsi="Arial"/>
                <w:sz w:val="13"/>
                <w:szCs w:val="13"/>
                <w:color w:val="0000FF"/>
              </w:rPr>
            </w:pPr>
            <w:hyperlink r:id="rId64">
              <w:r>
                <w:rPr>
                  <w:rFonts w:ascii="Arial" w:cs="Arial" w:eastAsia="Arial" w:hAnsi="Arial"/>
                  <w:sz w:val="13"/>
                  <w:szCs w:val="13"/>
                  <w:color w:val="0000FF"/>
                </w:rPr>
                <w:t>Amendment No. 1 to HomeTrust Bank Pre-2005 Deferred Compensation Plan</w:t>
              </w:r>
            </w:hyperlink>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92"/>
              </w:rPr>
              <w:t>(m)</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980" w:type="dxa"/>
            <w:vAlign w:val="bottom"/>
            <w:gridSpan w:val="2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5"/>
              </w:rPr>
              <w:t>10.12</w:t>
            </w:r>
          </w:p>
        </w:tc>
        <w:tc>
          <w:tcPr>
            <w:tcW w:w="4460" w:type="dxa"/>
            <w:vAlign w:val="bottom"/>
            <w:tcBorders>
              <w:bottom w:val="single" w:sz="8" w:color="0000FF"/>
            </w:tcBorders>
            <w:gridSpan w:val="26"/>
          </w:tcPr>
          <w:p>
            <w:pPr>
              <w:spacing w:after="0"/>
              <w:rPr>
                <w:rFonts w:ascii="Arial" w:cs="Arial" w:eastAsia="Arial" w:hAnsi="Arial"/>
                <w:sz w:val="13"/>
                <w:szCs w:val="13"/>
                <w:color w:val="0000FF"/>
                <w:w w:val="89"/>
              </w:rPr>
            </w:pPr>
            <w:hyperlink r:id="rId67">
              <w:r>
                <w:rPr>
                  <w:rFonts w:ascii="Arial" w:cs="Arial" w:eastAsia="Arial" w:hAnsi="Arial"/>
                  <w:sz w:val="13"/>
                  <w:szCs w:val="13"/>
                  <w:color w:val="0000FF"/>
                  <w:w w:val="89"/>
                </w:rPr>
                <w:t>HomeTrust Bancshares, Inc. 2013 Omnibus Incentive Plan (“Omnibus Incentive Plan”)</w:t>
              </w:r>
            </w:hyperlink>
          </w:p>
        </w:tc>
        <w:tc>
          <w:tcPr>
            <w:tcW w:w="3180" w:type="dxa"/>
            <w:vAlign w:val="bottom"/>
            <w:gridSpan w:val="12"/>
          </w:tcPr>
          <w:p>
            <w:pPr>
              <w:spacing w:after="0"/>
              <w:rPr>
                <w:sz w:val="13"/>
                <w:szCs w:val="13"/>
                <w:color w:val="auto"/>
              </w:rPr>
            </w:pPr>
          </w:p>
        </w:tc>
        <w:tc>
          <w:tcPr>
            <w:tcW w:w="1900" w:type="dxa"/>
            <w:vAlign w:val="bottom"/>
          </w:tcPr>
          <w:p>
            <w:pPr>
              <w:jc w:val="center"/>
              <w:ind w:left="36"/>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Arial" w:cs="Arial" w:eastAsia="Arial" w:hAnsi="Arial"/>
                <w:sz w:val="13"/>
                <w:szCs w:val="13"/>
                <w:color w:val="auto"/>
                <w:w w:val="85"/>
              </w:rPr>
              <w:t>10.13</w:t>
            </w:r>
          </w:p>
        </w:tc>
        <w:tc>
          <w:tcPr>
            <w:tcW w:w="4180" w:type="dxa"/>
            <w:vAlign w:val="bottom"/>
            <w:tcBorders>
              <w:bottom w:val="single" w:sz="8" w:color="0000FF"/>
            </w:tcBorders>
            <w:gridSpan w:val="25"/>
          </w:tcPr>
          <w:p>
            <w:pPr>
              <w:spacing w:after="0"/>
              <w:rPr>
                <w:rFonts w:ascii="Arial" w:cs="Arial" w:eastAsia="Arial" w:hAnsi="Arial"/>
                <w:sz w:val="13"/>
                <w:szCs w:val="13"/>
                <w:color w:val="0000FF"/>
                <w:w w:val="89"/>
              </w:rPr>
            </w:pPr>
            <w:hyperlink r:id="rId68">
              <w:r>
                <w:rPr>
                  <w:rFonts w:ascii="Arial" w:cs="Arial" w:eastAsia="Arial" w:hAnsi="Arial"/>
                  <w:sz w:val="13"/>
                  <w:szCs w:val="13"/>
                  <w:color w:val="0000FF"/>
                  <w:w w:val="89"/>
                </w:rPr>
                <w:t>Form of Incentive Stock Option Award Agreement under Omnibus Incentive Plan</w:t>
              </w:r>
            </w:hyperlink>
          </w:p>
        </w:tc>
        <w:tc>
          <w:tcPr>
            <w:tcW w:w="3460" w:type="dxa"/>
            <w:vAlign w:val="bottom"/>
            <w:gridSpan w:val="13"/>
          </w:tcPr>
          <w:p>
            <w:pPr>
              <w:spacing w:after="0"/>
              <w:rPr>
                <w:sz w:val="13"/>
                <w:szCs w:val="13"/>
                <w:color w:val="auto"/>
              </w:rPr>
            </w:pPr>
          </w:p>
        </w:tc>
        <w:tc>
          <w:tcPr>
            <w:tcW w:w="1900" w:type="dxa"/>
            <w:vAlign w:val="bottom"/>
          </w:tcPr>
          <w:p>
            <w:pPr>
              <w:jc w:val="center"/>
              <w:ind w:left="16"/>
              <w:spacing w:after="0"/>
              <w:rPr>
                <w:sz w:val="20"/>
                <w:szCs w:val="20"/>
                <w:color w:val="auto"/>
              </w:rPr>
            </w:pPr>
            <w:r>
              <w:rPr>
                <w:rFonts w:ascii="Arial" w:cs="Arial" w:eastAsia="Arial" w:hAnsi="Arial"/>
                <w:sz w:val="13"/>
                <w:szCs w:val="13"/>
                <w:color w:val="auto"/>
                <w:w w:val="92"/>
              </w:rPr>
              <w:t>(k)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5" w:name="page46"/>
    <w:bookmarkEnd w:id="45"/>
    <w:tbl>
      <w:tblPr>
        <w:tblLayout w:type="fixed"/>
        <w:tblInd w:w="675" w:type="dxa"/>
        <w:tblCellMar>
          <w:top w:w="0" w:type="dxa"/>
          <w:left w:w="0" w:type="dxa"/>
          <w:bottom w:w="0" w:type="dxa"/>
          <w:right w:w="0" w:type="dxa"/>
        </w:tblCellMar>
      </w:tblPr>
      <w:tr>
        <w:trPr>
          <w:trHeight w:val="149"/>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10.14</w:t>
            </w:r>
          </w:p>
        </w:tc>
        <w:tc>
          <w:tcPr>
            <w:tcW w:w="8060" w:type="dxa"/>
            <w:vAlign w:val="bottom"/>
            <w:gridSpan w:val="19"/>
          </w:tcPr>
          <w:p>
            <w:pPr>
              <w:spacing w:after="0"/>
              <w:rPr>
                <w:rFonts w:ascii="Arial" w:cs="Arial" w:eastAsia="Arial" w:hAnsi="Arial"/>
                <w:sz w:val="13"/>
                <w:szCs w:val="13"/>
                <w:color w:val="0000FF"/>
              </w:rPr>
            </w:pPr>
            <w:hyperlink r:id="rId68">
              <w:r>
                <w:rPr>
                  <w:rFonts w:ascii="Arial" w:cs="Arial" w:eastAsia="Arial" w:hAnsi="Arial"/>
                  <w:sz w:val="13"/>
                  <w:szCs w:val="13"/>
                  <w:color w:val="0000FF"/>
                </w:rPr>
                <w:t>Form of Non-Qualified Stock Option Award Agreement under Omnibus Incentive Plan</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(k)</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10.15</w:t>
            </w:r>
          </w:p>
        </w:tc>
        <w:tc>
          <w:tcPr>
            <w:tcW w:w="430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89"/>
              </w:rPr>
            </w:pPr>
            <w:hyperlink r:id="rId68">
              <w:r>
                <w:rPr>
                  <w:rFonts w:ascii="Arial" w:cs="Arial" w:eastAsia="Arial" w:hAnsi="Arial"/>
                  <w:sz w:val="13"/>
                  <w:szCs w:val="13"/>
                  <w:color w:val="0000FF"/>
                  <w:w w:val="89"/>
                </w:rPr>
                <w:t>Form of Stock Appreciation Right Award Agreement under Omnibus Incentive Plan</w:t>
              </w:r>
            </w:hyperlink>
          </w:p>
        </w:tc>
        <w:tc>
          <w:tcPr>
            <w:tcW w:w="140" w:type="dxa"/>
            <w:vAlign w:val="bottom"/>
            <w:tcBorders>
              <w:top w:val="single" w:sz="8" w:color="0000FF"/>
            </w:tcBorders>
          </w:tcPr>
          <w:p>
            <w:pPr>
              <w:spacing w:after="0"/>
              <w:rPr>
                <w:sz w:val="13"/>
                <w:szCs w:val="13"/>
                <w:color w:val="auto"/>
              </w:rPr>
            </w:pPr>
          </w:p>
        </w:tc>
        <w:tc>
          <w:tcPr>
            <w:tcW w:w="3620" w:type="dxa"/>
            <w:vAlign w:val="bottom"/>
            <w:gridSpan w:val="14"/>
          </w:tcPr>
          <w:p>
            <w:pPr>
              <w:spacing w:after="0"/>
              <w:rPr>
                <w:sz w:val="13"/>
                <w:szCs w:val="13"/>
                <w:color w:val="auto"/>
              </w:rPr>
            </w:pPr>
          </w:p>
        </w:tc>
        <w:tc>
          <w:tcPr>
            <w:tcW w:w="720" w:type="dxa"/>
            <w:vAlign w:val="bottom"/>
          </w:tcPr>
          <w:p>
            <w:pPr>
              <w:ind w:left="500"/>
              <w:spacing w:after="0"/>
              <w:rPr>
                <w:sz w:val="20"/>
                <w:szCs w:val="20"/>
                <w:color w:val="auto"/>
              </w:rPr>
            </w:pPr>
            <w:r>
              <w:rPr>
                <w:rFonts w:ascii="Arial" w:cs="Arial" w:eastAsia="Arial" w:hAnsi="Arial"/>
                <w:sz w:val="13"/>
                <w:szCs w:val="13"/>
                <w:color w:val="auto"/>
              </w:rPr>
              <w:t>(k)</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10.16</w:t>
            </w:r>
          </w:p>
        </w:tc>
        <w:tc>
          <w:tcPr>
            <w:tcW w:w="8060" w:type="dxa"/>
            <w:vAlign w:val="bottom"/>
            <w:gridSpan w:val="19"/>
          </w:tcPr>
          <w:p>
            <w:pPr>
              <w:spacing w:after="0"/>
              <w:rPr>
                <w:rFonts w:ascii="Arial" w:cs="Arial" w:eastAsia="Arial" w:hAnsi="Arial"/>
                <w:sz w:val="13"/>
                <w:szCs w:val="13"/>
                <w:color w:val="0000FF"/>
              </w:rPr>
            </w:pPr>
            <w:hyperlink r:id="rId68">
              <w:r>
                <w:rPr>
                  <w:rFonts w:ascii="Arial" w:cs="Arial" w:eastAsia="Arial" w:hAnsi="Arial"/>
                  <w:sz w:val="13"/>
                  <w:szCs w:val="13"/>
                  <w:color w:val="0000FF"/>
                </w:rPr>
                <w:t>Form of Restricted Stock Award Agreement under Omnibus Incentive Plan</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(k)</w:t>
            </w: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10.17</w:t>
            </w:r>
          </w:p>
        </w:tc>
        <w:tc>
          <w:tcPr>
            <w:tcW w:w="8060" w:type="dxa"/>
            <w:vAlign w:val="bottom"/>
            <w:gridSpan w:val="19"/>
          </w:tcPr>
          <w:p>
            <w:pPr>
              <w:spacing w:after="0"/>
              <w:rPr>
                <w:rFonts w:ascii="Arial" w:cs="Arial" w:eastAsia="Arial" w:hAnsi="Arial"/>
                <w:sz w:val="13"/>
                <w:szCs w:val="13"/>
                <w:color w:val="0000FF"/>
              </w:rPr>
            </w:pPr>
            <w:hyperlink r:id="rId68">
              <w:r>
                <w:rPr>
                  <w:rFonts w:ascii="Arial" w:cs="Arial" w:eastAsia="Arial" w:hAnsi="Arial"/>
                  <w:sz w:val="13"/>
                  <w:szCs w:val="13"/>
                  <w:color w:val="0000FF"/>
                </w:rPr>
                <w:t>Form of Restricted Stock Unit Award Agreement under Omnibus Incentive Plan</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(k)</w:t>
            </w:r>
          </w:p>
        </w:tc>
      </w:tr>
      <w:tr>
        <w:trPr>
          <w:trHeight w:val="177"/>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10.18</w:t>
            </w:r>
          </w:p>
        </w:tc>
        <w:tc>
          <w:tcPr>
            <w:tcW w:w="408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auto"/>
              </w:rPr>
              <w:t>Reserved</w:t>
            </w:r>
          </w:p>
        </w:tc>
        <w:tc>
          <w:tcPr>
            <w:tcW w:w="3980" w:type="dxa"/>
            <w:vAlign w:val="bottom"/>
            <w:gridSpan w:val="16"/>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1060" w:type="dxa"/>
            <w:vAlign w:val="bottom"/>
          </w:tcPr>
          <w:p>
            <w:pPr>
              <w:jc w:val="center"/>
              <w:ind w:right="636"/>
              <w:spacing w:after="0" w:line="143" w:lineRule="exact"/>
              <w:rPr>
                <w:sz w:val="20"/>
                <w:szCs w:val="20"/>
                <w:color w:val="auto"/>
              </w:rPr>
            </w:pPr>
            <w:r>
              <w:rPr>
                <w:rFonts w:ascii="Arial" w:cs="Arial" w:eastAsia="Arial" w:hAnsi="Arial"/>
                <w:sz w:val="13"/>
                <w:szCs w:val="13"/>
                <w:color w:val="auto"/>
                <w:w w:val="85"/>
              </w:rPr>
              <w:t>10.19</w:t>
            </w:r>
          </w:p>
        </w:tc>
        <w:tc>
          <w:tcPr>
            <w:tcW w:w="8060" w:type="dxa"/>
            <w:vAlign w:val="bottom"/>
            <w:gridSpan w:val="19"/>
          </w:tcPr>
          <w:p>
            <w:pPr>
              <w:spacing w:after="0" w:line="143" w:lineRule="exact"/>
              <w:rPr>
                <w:rFonts w:ascii="Arial" w:cs="Arial" w:eastAsia="Arial" w:hAnsi="Arial"/>
                <w:sz w:val="13"/>
                <w:szCs w:val="13"/>
                <w:color w:val="0000FF"/>
              </w:rPr>
            </w:pPr>
            <w:hyperlink r:id="rId70">
              <w:r>
                <w:rPr>
                  <w:rFonts w:ascii="Arial" w:cs="Arial" w:eastAsia="Arial" w:hAnsi="Arial"/>
                  <w:sz w:val="13"/>
                  <w:szCs w:val="13"/>
                  <w:color w:val="0000FF"/>
                </w:rPr>
                <w:t>Retirement Payment Agreement, dated as of September 1, 1987, between HomeTrust Bank and Larry S. McDevitt, as amended</w:t>
              </w:r>
            </w:hyperlink>
          </w:p>
        </w:tc>
        <w:tc>
          <w:tcPr>
            <w:tcW w:w="720" w:type="dxa"/>
            <w:vAlign w:val="bottom"/>
          </w:tcPr>
          <w:p>
            <w:pPr>
              <w:ind w:left="500"/>
              <w:spacing w:after="0" w:line="143" w:lineRule="exact"/>
              <w:rPr>
                <w:sz w:val="20"/>
                <w:szCs w:val="20"/>
                <w:color w:val="auto"/>
              </w:rPr>
            </w:pPr>
            <w:r>
              <w:rPr>
                <w:rFonts w:ascii="Arial" w:cs="Arial" w:eastAsia="Arial" w:hAnsi="Arial"/>
                <w:sz w:val="13"/>
                <w:szCs w:val="13"/>
                <w:color w:val="auto"/>
              </w:rPr>
              <w:t>(n)</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10.20</w:t>
            </w:r>
          </w:p>
        </w:tc>
        <w:tc>
          <w:tcPr>
            <w:tcW w:w="6480" w:type="dxa"/>
            <w:vAlign w:val="bottom"/>
            <w:tcBorders>
              <w:top w:val="single" w:sz="8" w:color="0000FF"/>
            </w:tcBorders>
            <w:gridSpan w:val="14"/>
          </w:tcPr>
          <w:p>
            <w:pPr>
              <w:spacing w:after="0"/>
              <w:rPr>
                <w:rFonts w:ascii="Arial" w:cs="Arial" w:eastAsia="Arial" w:hAnsi="Arial"/>
                <w:sz w:val="13"/>
                <w:szCs w:val="13"/>
                <w:color w:val="0000FF"/>
              </w:rPr>
            </w:pPr>
            <w:hyperlink r:id="rId71">
              <w:r>
                <w:rPr>
                  <w:rFonts w:ascii="Arial" w:cs="Arial" w:eastAsia="Arial" w:hAnsi="Arial"/>
                  <w:sz w:val="13"/>
                  <w:szCs w:val="13"/>
                  <w:color w:val="0000FF"/>
                </w:rPr>
                <w:t>Change in Control Severance Agreement between HomeTrust Bancshares, Inc. and Marty Caywood</w:t>
              </w:r>
            </w:hyperlink>
          </w:p>
        </w:tc>
        <w:tc>
          <w:tcPr>
            <w:tcW w:w="1580" w:type="dxa"/>
            <w:vAlign w:val="bottom"/>
            <w:gridSpan w:val="5"/>
          </w:tcPr>
          <w:p>
            <w:pPr>
              <w:spacing w:after="0"/>
              <w:rPr>
                <w:sz w:val="13"/>
                <w:szCs w:val="13"/>
                <w:color w:val="auto"/>
              </w:rPr>
            </w:pPr>
          </w:p>
        </w:tc>
        <w:tc>
          <w:tcPr>
            <w:tcW w:w="720" w:type="dxa"/>
            <w:vAlign w:val="bottom"/>
          </w:tcPr>
          <w:p>
            <w:pPr>
              <w:ind w:left="500"/>
              <w:spacing w:after="0"/>
              <w:rPr>
                <w:sz w:val="20"/>
                <w:szCs w:val="20"/>
                <w:color w:val="auto"/>
              </w:rPr>
            </w:pPr>
            <w:r>
              <w:rPr>
                <w:rFonts w:ascii="Arial" w:cs="Arial" w:eastAsia="Arial" w:hAnsi="Arial"/>
                <w:sz w:val="13"/>
                <w:szCs w:val="13"/>
                <w:color w:val="auto"/>
              </w:rPr>
              <w:t>(c)</w:t>
            </w: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92"/>
              </w:rPr>
              <w:t>10.20A</w:t>
            </w:r>
          </w:p>
        </w:tc>
        <w:tc>
          <w:tcPr>
            <w:tcW w:w="8060" w:type="dxa"/>
            <w:vAlign w:val="bottom"/>
            <w:gridSpan w:val="19"/>
          </w:tcPr>
          <w:p>
            <w:pPr>
              <w:spacing w:after="0"/>
              <w:rPr>
                <w:rFonts w:ascii="Arial" w:cs="Arial" w:eastAsia="Arial" w:hAnsi="Arial"/>
                <w:sz w:val="13"/>
                <w:szCs w:val="13"/>
                <w:color w:val="0000FF"/>
              </w:rPr>
            </w:pPr>
            <w:hyperlink r:id="rId58">
              <w:r>
                <w:rPr>
                  <w:rFonts w:ascii="Arial" w:cs="Arial" w:eastAsia="Arial" w:hAnsi="Arial"/>
                  <w:sz w:val="13"/>
                  <w:szCs w:val="13"/>
                  <w:color w:val="0000FF"/>
                </w:rPr>
                <w:t>Amendment No. 1 to Change in Control Severance Agreement between HomeTrust Bancshares, Inc. and Marty Caywood</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(a)</w:t>
            </w: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10.21</w:t>
            </w:r>
          </w:p>
        </w:tc>
        <w:tc>
          <w:tcPr>
            <w:tcW w:w="8060" w:type="dxa"/>
            <w:vAlign w:val="bottom"/>
            <w:gridSpan w:val="19"/>
          </w:tcPr>
          <w:p>
            <w:pPr>
              <w:spacing w:after="0"/>
              <w:rPr>
                <w:rFonts w:ascii="Arial" w:cs="Arial" w:eastAsia="Arial" w:hAnsi="Arial"/>
                <w:sz w:val="13"/>
                <w:szCs w:val="13"/>
                <w:color w:val="0000FF"/>
              </w:rPr>
            </w:pPr>
            <w:hyperlink r:id="rId59">
              <w:r>
                <w:rPr>
                  <w:rFonts w:ascii="Arial" w:cs="Arial" w:eastAsia="Arial" w:hAnsi="Arial"/>
                  <w:sz w:val="13"/>
                  <w:szCs w:val="13"/>
                  <w:color w:val="0000FF"/>
                </w:rPr>
                <w:t>Amended and Restated Change in Control Severance Agreement between HomeTrust Bancshares, Inc. and Keith J. Houghton</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(g)</w:t>
            </w: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92"/>
              </w:rPr>
              <w:t>10.21A</w:t>
            </w:r>
          </w:p>
        </w:tc>
        <w:tc>
          <w:tcPr>
            <w:tcW w:w="8060" w:type="dxa"/>
            <w:vAlign w:val="bottom"/>
            <w:gridSpan w:val="19"/>
          </w:tcPr>
          <w:p>
            <w:pPr>
              <w:spacing w:after="0"/>
              <w:rPr>
                <w:rFonts w:ascii="Arial" w:cs="Arial" w:eastAsia="Arial" w:hAnsi="Arial"/>
                <w:sz w:val="13"/>
                <w:szCs w:val="13"/>
                <w:color w:val="0000FF"/>
                <w:w w:val="94"/>
              </w:rPr>
            </w:pPr>
            <w:hyperlink r:id="rId58">
              <w:r>
                <w:rPr>
                  <w:rFonts w:ascii="Arial" w:cs="Arial" w:eastAsia="Arial" w:hAnsi="Arial"/>
                  <w:sz w:val="13"/>
                  <w:szCs w:val="13"/>
                  <w:color w:val="0000FF"/>
                  <w:w w:val="94"/>
                </w:rPr>
                <w:t>Amendment No. 1 to Amended and Restated Change in Control Severance Agreement between HomeTrust Bancshares, Inc. and Keith J. Houghton</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(a)</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10.22</w:t>
            </w:r>
          </w:p>
        </w:tc>
        <w:tc>
          <w:tcPr>
            <w:tcW w:w="7520" w:type="dxa"/>
            <w:vAlign w:val="bottom"/>
            <w:tcBorders>
              <w:top w:val="single" w:sz="8" w:color="0000FF"/>
            </w:tcBorders>
            <w:gridSpan w:val="16"/>
          </w:tcPr>
          <w:p>
            <w:pPr>
              <w:spacing w:after="0"/>
              <w:rPr>
                <w:rFonts w:ascii="Arial" w:cs="Arial" w:eastAsia="Arial" w:hAnsi="Arial"/>
                <w:sz w:val="13"/>
                <w:szCs w:val="13"/>
                <w:color w:val="0000FF"/>
              </w:rPr>
            </w:pPr>
            <w:hyperlink r:id="rId72">
              <w:r>
                <w:rPr>
                  <w:rFonts w:ascii="Arial" w:cs="Arial" w:eastAsia="Arial" w:hAnsi="Arial"/>
                  <w:sz w:val="13"/>
                  <w:szCs w:val="13"/>
                  <w:color w:val="0000FF"/>
                </w:rPr>
                <w:t>Amended and Restated Change in Control Severance Agreement between HomeTrust Bancshares, Inc. and R. Parrish Little</w:t>
              </w:r>
            </w:hyperlink>
          </w:p>
        </w:tc>
        <w:tc>
          <w:tcPr>
            <w:tcW w:w="540" w:type="dxa"/>
            <w:vAlign w:val="bottom"/>
            <w:gridSpan w:val="3"/>
          </w:tcPr>
          <w:p>
            <w:pPr>
              <w:spacing w:after="0"/>
              <w:rPr>
                <w:sz w:val="13"/>
                <w:szCs w:val="13"/>
                <w:color w:val="auto"/>
              </w:rPr>
            </w:pPr>
          </w:p>
        </w:tc>
        <w:tc>
          <w:tcPr>
            <w:tcW w:w="720" w:type="dxa"/>
            <w:vAlign w:val="bottom"/>
          </w:tcPr>
          <w:p>
            <w:pPr>
              <w:ind w:left="500"/>
              <w:spacing w:after="0"/>
              <w:rPr>
                <w:sz w:val="20"/>
                <w:szCs w:val="20"/>
                <w:color w:val="auto"/>
              </w:rPr>
            </w:pPr>
            <w:r>
              <w:rPr>
                <w:rFonts w:ascii="Arial" w:cs="Arial" w:eastAsia="Arial" w:hAnsi="Arial"/>
                <w:sz w:val="13"/>
                <w:szCs w:val="13"/>
                <w:color w:val="auto"/>
              </w:rPr>
              <w:t>(p)</w:t>
            </w: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92"/>
              </w:rPr>
              <w:t>10.22A</w:t>
            </w:r>
          </w:p>
        </w:tc>
        <w:tc>
          <w:tcPr>
            <w:tcW w:w="8060" w:type="dxa"/>
            <w:vAlign w:val="bottom"/>
            <w:gridSpan w:val="19"/>
          </w:tcPr>
          <w:p>
            <w:pPr>
              <w:spacing w:after="0"/>
              <w:rPr>
                <w:rFonts w:ascii="Arial" w:cs="Arial" w:eastAsia="Arial" w:hAnsi="Arial"/>
                <w:sz w:val="13"/>
                <w:szCs w:val="13"/>
                <w:color w:val="0000FF"/>
                <w:w w:val="95"/>
              </w:rPr>
            </w:pPr>
            <w:hyperlink r:id="rId58">
              <w:r>
                <w:rPr>
                  <w:rFonts w:ascii="Arial" w:cs="Arial" w:eastAsia="Arial" w:hAnsi="Arial"/>
                  <w:sz w:val="13"/>
                  <w:szCs w:val="13"/>
                  <w:color w:val="0000FF"/>
                  <w:w w:val="95"/>
                </w:rPr>
                <w:t>Amendment No. 1 to Amended and Restated Change in Control Severance Agreement between HomeTrust Bancshares, Inc. and R. Parrish Little</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(a)</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10.23</w:t>
            </w:r>
          </w:p>
        </w:tc>
        <w:tc>
          <w:tcPr>
            <w:tcW w:w="7400" w:type="dxa"/>
            <w:vAlign w:val="bottom"/>
            <w:tcBorders>
              <w:top w:val="single" w:sz="8" w:color="0000FF"/>
            </w:tcBorders>
            <w:gridSpan w:val="15"/>
          </w:tcPr>
          <w:p>
            <w:pPr>
              <w:spacing w:after="0"/>
              <w:rPr>
                <w:sz w:val="20"/>
                <w:szCs w:val="20"/>
                <w:color w:val="auto"/>
              </w:rPr>
            </w:pPr>
            <w:r>
              <w:rPr>
                <w:rFonts w:ascii="Arial" w:cs="Arial" w:eastAsia="Arial" w:hAnsi="Arial"/>
                <w:sz w:val="13"/>
                <w:szCs w:val="13"/>
                <w:color w:val="0000FF"/>
              </w:rPr>
              <w:t>Amended and Restated Change in Control Severance Agreement between HomeTrust Bancshares, Inc. and Mark DeMarcus</w:t>
            </w:r>
          </w:p>
        </w:tc>
        <w:tc>
          <w:tcPr>
            <w:tcW w:w="660" w:type="dxa"/>
            <w:vAlign w:val="bottom"/>
            <w:gridSpan w:val="4"/>
          </w:tcPr>
          <w:p>
            <w:pPr>
              <w:spacing w:after="0"/>
              <w:rPr>
                <w:sz w:val="13"/>
                <w:szCs w:val="13"/>
                <w:color w:val="auto"/>
              </w:rPr>
            </w:pPr>
          </w:p>
        </w:tc>
        <w:tc>
          <w:tcPr>
            <w:tcW w:w="720" w:type="dxa"/>
            <w:vAlign w:val="bottom"/>
          </w:tcPr>
          <w:p>
            <w:pPr>
              <w:jc w:val="center"/>
              <w:ind w:left="356"/>
              <w:spacing w:after="0"/>
              <w:rPr>
                <w:sz w:val="20"/>
                <w:szCs w:val="20"/>
                <w:color w:val="auto"/>
              </w:rPr>
            </w:pPr>
            <w:r>
              <w:rPr>
                <w:rFonts w:ascii="Arial" w:cs="Arial" w:eastAsia="Arial" w:hAnsi="Arial"/>
                <w:sz w:val="13"/>
                <w:szCs w:val="13"/>
                <w:color w:val="auto"/>
                <w:w w:val="92"/>
              </w:rPr>
              <w:t>10.23</w:t>
            </w: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92"/>
              </w:rPr>
              <w:t>10.23A</w:t>
            </w:r>
          </w:p>
        </w:tc>
        <w:tc>
          <w:tcPr>
            <w:tcW w:w="6220" w:type="dxa"/>
            <w:vAlign w:val="bottom"/>
            <w:tcBorders>
              <w:top w:val="single" w:sz="8" w:color="0000FF"/>
              <w:bottom w:val="single" w:sz="8" w:color="0000FF"/>
            </w:tcBorders>
            <w:gridSpan w:val="10"/>
          </w:tcPr>
          <w:p>
            <w:pPr>
              <w:spacing w:after="0"/>
              <w:rPr>
                <w:rFonts w:ascii="Arial" w:cs="Arial" w:eastAsia="Arial" w:hAnsi="Arial"/>
                <w:sz w:val="13"/>
                <w:szCs w:val="13"/>
                <w:color w:val="0000FF"/>
                <w:w w:val="88"/>
              </w:rPr>
            </w:pPr>
            <w:hyperlink r:id="rId58">
              <w:r>
                <w:rPr>
                  <w:rFonts w:ascii="Arial" w:cs="Arial" w:eastAsia="Arial" w:hAnsi="Arial"/>
                  <w:sz w:val="13"/>
                  <w:szCs w:val="13"/>
                  <w:color w:val="0000FF"/>
                  <w:w w:val="88"/>
                </w:rPr>
                <w:t>Amendment No. 1 to Change in Control Severance Agreement between HomeTrust Bancshares, Inc. and Mark DeMarcus</w:t>
              </w:r>
            </w:hyperlink>
          </w:p>
        </w:tc>
        <w:tc>
          <w:tcPr>
            <w:tcW w:w="100" w:type="dxa"/>
            <w:vAlign w:val="bottom"/>
            <w:tcBorders>
              <w:top w:val="single" w:sz="8" w:color="0000FF"/>
            </w:tcBorders>
            <w:gridSpan w:val="2"/>
          </w:tcPr>
          <w:p>
            <w:pPr>
              <w:spacing w:after="0"/>
              <w:rPr>
                <w:sz w:val="13"/>
                <w:szCs w:val="13"/>
                <w:color w:val="auto"/>
              </w:rPr>
            </w:pPr>
          </w:p>
        </w:tc>
        <w:tc>
          <w:tcPr>
            <w:tcW w:w="1740" w:type="dxa"/>
            <w:vAlign w:val="bottom"/>
            <w:gridSpan w:val="7"/>
          </w:tcPr>
          <w:p>
            <w:pPr>
              <w:spacing w:after="0"/>
              <w:rPr>
                <w:sz w:val="13"/>
                <w:szCs w:val="13"/>
                <w:color w:val="auto"/>
              </w:rPr>
            </w:pPr>
          </w:p>
        </w:tc>
        <w:tc>
          <w:tcPr>
            <w:tcW w:w="720" w:type="dxa"/>
            <w:vAlign w:val="bottom"/>
          </w:tcPr>
          <w:p>
            <w:pPr>
              <w:ind w:left="500"/>
              <w:spacing w:after="0"/>
              <w:rPr>
                <w:sz w:val="20"/>
                <w:szCs w:val="20"/>
                <w:color w:val="auto"/>
              </w:rPr>
            </w:pPr>
            <w:r>
              <w:rPr>
                <w:rFonts w:ascii="Arial" w:cs="Arial" w:eastAsia="Arial" w:hAnsi="Arial"/>
                <w:sz w:val="13"/>
                <w:szCs w:val="13"/>
                <w:color w:val="auto"/>
              </w:rPr>
              <w:t>(a)</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10.24</w:t>
            </w:r>
          </w:p>
        </w:tc>
        <w:tc>
          <w:tcPr>
            <w:tcW w:w="502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8"/>
              </w:rPr>
              <w:t>Change in Control Severance Agreement between HomeTrust Bancshares, Inc. and Kristin Powell</w:t>
            </w:r>
          </w:p>
        </w:tc>
        <w:tc>
          <w:tcPr>
            <w:tcW w:w="3040" w:type="dxa"/>
            <w:vAlign w:val="bottom"/>
            <w:gridSpan w:val="13"/>
          </w:tcPr>
          <w:p>
            <w:pPr>
              <w:spacing w:after="0"/>
              <w:rPr>
                <w:sz w:val="13"/>
                <w:szCs w:val="13"/>
                <w:color w:val="auto"/>
              </w:rPr>
            </w:pPr>
          </w:p>
        </w:tc>
        <w:tc>
          <w:tcPr>
            <w:tcW w:w="720" w:type="dxa"/>
            <w:vAlign w:val="bottom"/>
          </w:tcPr>
          <w:p>
            <w:pPr>
              <w:jc w:val="center"/>
              <w:ind w:left="356"/>
              <w:spacing w:after="0"/>
              <w:rPr>
                <w:sz w:val="20"/>
                <w:szCs w:val="20"/>
                <w:color w:val="auto"/>
              </w:rPr>
            </w:pPr>
            <w:r>
              <w:rPr>
                <w:rFonts w:ascii="Arial" w:cs="Arial" w:eastAsia="Arial" w:hAnsi="Arial"/>
                <w:sz w:val="13"/>
                <w:szCs w:val="13"/>
                <w:color w:val="auto"/>
                <w:w w:val="92"/>
              </w:rPr>
              <w:t>10.24</w:t>
            </w: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92"/>
              </w:rPr>
              <w:t>10.24A</w:t>
            </w:r>
          </w:p>
        </w:tc>
        <w:tc>
          <w:tcPr>
            <w:tcW w:w="6120" w:type="dxa"/>
            <w:vAlign w:val="bottom"/>
            <w:tcBorders>
              <w:bottom w:val="single" w:sz="8" w:color="0000FF"/>
            </w:tcBorders>
            <w:gridSpan w:val="8"/>
          </w:tcPr>
          <w:p>
            <w:pPr>
              <w:spacing w:after="0"/>
              <w:rPr>
                <w:rFonts w:ascii="Arial" w:cs="Arial" w:eastAsia="Arial" w:hAnsi="Arial"/>
                <w:sz w:val="13"/>
                <w:szCs w:val="13"/>
                <w:color w:val="0000FF"/>
                <w:w w:val="88"/>
              </w:rPr>
            </w:pPr>
            <w:hyperlink r:id="rId58">
              <w:r>
                <w:rPr>
                  <w:rFonts w:ascii="Arial" w:cs="Arial" w:eastAsia="Arial" w:hAnsi="Arial"/>
                  <w:sz w:val="13"/>
                  <w:szCs w:val="13"/>
                  <w:color w:val="0000FF"/>
                  <w:w w:val="88"/>
                </w:rPr>
                <w:t>Amendment No. 1 to Change in Control Severance Agreement between HomeTrust Bancshares, Inc. and Kristin Powell</w:t>
              </w:r>
            </w:hyperlink>
          </w:p>
        </w:tc>
        <w:tc>
          <w:tcPr>
            <w:tcW w:w="1940" w:type="dxa"/>
            <w:vAlign w:val="bottom"/>
            <w:gridSpan w:val="11"/>
          </w:tcPr>
          <w:p>
            <w:pPr>
              <w:spacing w:after="0"/>
              <w:rPr>
                <w:sz w:val="13"/>
                <w:szCs w:val="13"/>
                <w:color w:val="auto"/>
              </w:rPr>
            </w:pPr>
          </w:p>
        </w:tc>
        <w:tc>
          <w:tcPr>
            <w:tcW w:w="720" w:type="dxa"/>
            <w:vAlign w:val="bottom"/>
          </w:tcPr>
          <w:p>
            <w:pPr>
              <w:ind w:left="500"/>
              <w:spacing w:after="0"/>
              <w:rPr>
                <w:sz w:val="20"/>
                <w:szCs w:val="20"/>
                <w:color w:val="auto"/>
              </w:rPr>
            </w:pPr>
            <w:r>
              <w:rPr>
                <w:rFonts w:ascii="Arial" w:cs="Arial" w:eastAsia="Arial" w:hAnsi="Arial"/>
                <w:sz w:val="13"/>
                <w:szCs w:val="13"/>
                <w:color w:val="auto"/>
              </w:rPr>
              <w:t>(a)</w:t>
            </w:r>
          </w:p>
        </w:tc>
      </w:tr>
      <w:tr>
        <w:trPr>
          <w:trHeight w:val="150"/>
        </w:trPr>
        <w:tc>
          <w:tcPr>
            <w:tcW w:w="1060" w:type="dxa"/>
            <w:vAlign w:val="bottom"/>
          </w:tcPr>
          <w:p>
            <w:pPr>
              <w:jc w:val="center"/>
              <w:ind w:right="636"/>
              <w:spacing w:after="0"/>
              <w:rPr>
                <w:sz w:val="20"/>
                <w:szCs w:val="20"/>
                <w:color w:val="auto"/>
              </w:rPr>
            </w:pPr>
            <w:r>
              <w:rPr>
                <w:rFonts w:ascii="Arial" w:cs="Arial" w:eastAsia="Arial" w:hAnsi="Arial"/>
                <w:sz w:val="13"/>
                <w:szCs w:val="13"/>
                <w:color w:val="auto"/>
                <w:w w:val="85"/>
              </w:rPr>
              <w:t>10.25</w:t>
            </w:r>
          </w:p>
        </w:tc>
        <w:tc>
          <w:tcPr>
            <w:tcW w:w="8060" w:type="dxa"/>
            <w:vAlign w:val="bottom"/>
            <w:gridSpan w:val="19"/>
          </w:tcPr>
          <w:p>
            <w:pPr>
              <w:spacing w:after="0"/>
              <w:rPr>
                <w:rFonts w:ascii="Arial" w:cs="Arial" w:eastAsia="Arial" w:hAnsi="Arial"/>
                <w:sz w:val="13"/>
                <w:szCs w:val="13"/>
                <w:color w:val="0000FF"/>
              </w:rPr>
            </w:pPr>
            <w:hyperlink r:id="rId58">
              <w:r>
                <w:rPr>
                  <w:rFonts w:ascii="Arial" w:cs="Arial" w:eastAsia="Arial" w:hAnsi="Arial"/>
                  <w:sz w:val="13"/>
                  <w:szCs w:val="13"/>
                  <w:color w:val="0000FF"/>
                </w:rPr>
                <w:t>Change in Control Severance Agreement between HomeTrust Bancshares, Inc. and Megan Pelletier</w:t>
              </w:r>
            </w:hyperlink>
          </w:p>
        </w:tc>
        <w:tc>
          <w:tcPr>
            <w:tcW w:w="720" w:type="dxa"/>
            <w:vAlign w:val="bottom"/>
          </w:tcPr>
          <w:p>
            <w:pPr>
              <w:ind w:left="500"/>
              <w:spacing w:after="0"/>
              <w:rPr>
                <w:sz w:val="20"/>
                <w:szCs w:val="20"/>
                <w:color w:val="auto"/>
              </w:rPr>
            </w:pPr>
            <w:r>
              <w:rPr>
                <w:rFonts w:ascii="Arial" w:cs="Arial" w:eastAsia="Arial" w:hAnsi="Arial"/>
                <w:sz w:val="13"/>
                <w:szCs w:val="13"/>
                <w:color w:val="auto"/>
              </w:rPr>
              <w:t>(a)</w:t>
            </w:r>
          </w:p>
        </w:tc>
      </w:tr>
      <w:tr>
        <w:trPr>
          <w:trHeight w:val="20"/>
        </w:trPr>
        <w:tc>
          <w:tcPr>
            <w:tcW w:w="10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86"/>
              </w:rPr>
              <w:t>31.1</w:t>
            </w:r>
          </w:p>
        </w:tc>
        <w:tc>
          <w:tcPr>
            <w:tcW w:w="8060" w:type="dxa"/>
            <w:vAlign w:val="bottom"/>
            <w:gridSpan w:val="19"/>
          </w:tcPr>
          <w:p>
            <w:pPr>
              <w:spacing w:after="0"/>
              <w:rPr>
                <w:sz w:val="20"/>
                <w:szCs w:val="20"/>
                <w:color w:val="auto"/>
              </w:rPr>
            </w:pPr>
            <w:r>
              <w:rPr>
                <w:rFonts w:ascii="Arial" w:cs="Arial" w:eastAsia="Arial" w:hAnsi="Arial"/>
                <w:sz w:val="13"/>
                <w:szCs w:val="13"/>
                <w:color w:val="0000FF"/>
                <w:w w:val="93"/>
              </w:rPr>
              <w:t>Certification of Chief Executive Officer pursuant to Securities Exchange Act Rules 13a-14(a) and 15d-14(a) as adopted pursuant to Section 302 of the</w:t>
            </w:r>
          </w:p>
        </w:tc>
        <w:tc>
          <w:tcPr>
            <w:tcW w:w="720" w:type="dxa"/>
            <w:vAlign w:val="bottom"/>
          </w:tcPr>
          <w:p>
            <w:pPr>
              <w:jc w:val="center"/>
              <w:ind w:left="356"/>
              <w:spacing w:after="0"/>
              <w:rPr>
                <w:sz w:val="20"/>
                <w:szCs w:val="20"/>
                <w:color w:val="auto"/>
              </w:rPr>
            </w:pPr>
            <w:r>
              <w:rPr>
                <w:rFonts w:ascii="Arial" w:cs="Arial" w:eastAsia="Arial" w:hAnsi="Arial"/>
                <w:sz w:val="13"/>
                <w:szCs w:val="13"/>
                <w:color w:val="auto"/>
                <w:w w:val="86"/>
              </w:rPr>
              <w:t>31.1</w:t>
            </w:r>
          </w:p>
        </w:tc>
      </w:tr>
      <w:tr>
        <w:trPr>
          <w:trHeight w:val="107"/>
        </w:trPr>
        <w:tc>
          <w:tcPr>
            <w:tcW w:w="1060" w:type="dxa"/>
            <w:vAlign w:val="bottom"/>
          </w:tcPr>
          <w:p>
            <w:pPr>
              <w:spacing w:after="0"/>
              <w:rPr>
                <w:sz w:val="9"/>
                <w:szCs w:val="9"/>
                <w:color w:val="auto"/>
              </w:rPr>
            </w:pPr>
          </w:p>
        </w:tc>
        <w:tc>
          <w:tcPr>
            <w:tcW w:w="14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5"/>
              </w:rPr>
              <w:t>Sarbanes-Oxley Act of 2002</w:t>
            </w:r>
          </w:p>
        </w:tc>
        <w:tc>
          <w:tcPr>
            <w:tcW w:w="6180" w:type="dxa"/>
            <w:vAlign w:val="bottom"/>
            <w:tcBorders>
              <w:top w:val="single" w:sz="8" w:color="0000FF"/>
            </w:tcBorders>
            <w:gridSpan w:val="17"/>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86"/>
              </w:rPr>
              <w:t>31.2</w:t>
            </w:r>
          </w:p>
        </w:tc>
        <w:tc>
          <w:tcPr>
            <w:tcW w:w="8060" w:type="dxa"/>
            <w:vAlign w:val="bottom"/>
            <w:gridSpan w:val="19"/>
          </w:tcPr>
          <w:p>
            <w:pPr>
              <w:spacing w:after="0"/>
              <w:rPr>
                <w:sz w:val="20"/>
                <w:szCs w:val="20"/>
                <w:color w:val="auto"/>
              </w:rPr>
            </w:pPr>
            <w:r>
              <w:rPr>
                <w:rFonts w:ascii="Arial" w:cs="Arial" w:eastAsia="Arial" w:hAnsi="Arial"/>
                <w:sz w:val="13"/>
                <w:szCs w:val="13"/>
                <w:color w:val="0000FF"/>
                <w:w w:val="94"/>
              </w:rPr>
              <w:t>Certification of Chief Financial Officer pursuant to Securities Exchange Act Rules 13a-14(a) and 15d-14(a) as adopted pursuant to Section 302 of the</w:t>
            </w:r>
          </w:p>
        </w:tc>
        <w:tc>
          <w:tcPr>
            <w:tcW w:w="720" w:type="dxa"/>
            <w:vAlign w:val="bottom"/>
          </w:tcPr>
          <w:p>
            <w:pPr>
              <w:jc w:val="center"/>
              <w:ind w:left="356"/>
              <w:spacing w:after="0"/>
              <w:rPr>
                <w:sz w:val="20"/>
                <w:szCs w:val="20"/>
                <w:color w:val="auto"/>
              </w:rPr>
            </w:pPr>
            <w:r>
              <w:rPr>
                <w:rFonts w:ascii="Arial" w:cs="Arial" w:eastAsia="Arial" w:hAnsi="Arial"/>
                <w:sz w:val="13"/>
                <w:szCs w:val="13"/>
                <w:color w:val="auto"/>
                <w:w w:val="86"/>
              </w:rPr>
              <w:t>31.2</w:t>
            </w:r>
          </w:p>
        </w:tc>
      </w:tr>
      <w:tr>
        <w:trPr>
          <w:trHeight w:val="107"/>
        </w:trPr>
        <w:tc>
          <w:tcPr>
            <w:tcW w:w="1060" w:type="dxa"/>
            <w:vAlign w:val="bottom"/>
          </w:tcPr>
          <w:p>
            <w:pPr>
              <w:spacing w:after="0"/>
              <w:rPr>
                <w:sz w:val="9"/>
                <w:szCs w:val="9"/>
                <w:color w:val="auto"/>
              </w:rPr>
            </w:pPr>
          </w:p>
        </w:tc>
        <w:tc>
          <w:tcPr>
            <w:tcW w:w="14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5"/>
              </w:rPr>
              <w:t>Sarbanes-Oxley Act of 2002</w:t>
            </w:r>
          </w:p>
        </w:tc>
        <w:tc>
          <w:tcPr>
            <w:tcW w:w="6160" w:type="dxa"/>
            <w:vAlign w:val="bottom"/>
            <w:tcBorders>
              <w:top w:val="single" w:sz="8" w:color="0000FF"/>
            </w:tcBorders>
            <w:gridSpan w:val="16"/>
          </w:tcPr>
          <w:p>
            <w:pPr>
              <w:spacing w:after="0"/>
              <w:rPr>
                <w:sz w:val="9"/>
                <w:szCs w:val="9"/>
                <w:color w:val="auto"/>
              </w:rPr>
            </w:pPr>
          </w:p>
        </w:tc>
        <w:tc>
          <w:tcPr>
            <w:tcW w:w="4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r>
      <w:tr>
        <w:trPr>
          <w:trHeight w:val="150"/>
        </w:trPr>
        <w:tc>
          <w:tcPr>
            <w:tcW w:w="1060" w:type="dxa"/>
            <w:vAlign w:val="bottom"/>
          </w:tcPr>
          <w:p>
            <w:pPr>
              <w:jc w:val="center"/>
              <w:ind w:right="616"/>
              <w:spacing w:after="0"/>
              <w:rPr>
                <w:sz w:val="20"/>
                <w:szCs w:val="20"/>
                <w:color w:val="auto"/>
              </w:rPr>
            </w:pPr>
            <w:r>
              <w:rPr>
                <w:rFonts w:ascii="Arial" w:cs="Arial" w:eastAsia="Arial" w:hAnsi="Arial"/>
                <w:sz w:val="13"/>
                <w:szCs w:val="13"/>
                <w:color w:val="auto"/>
                <w:w w:val="86"/>
              </w:rPr>
              <w:t>32.0</w:t>
            </w:r>
          </w:p>
        </w:tc>
        <w:tc>
          <w:tcPr>
            <w:tcW w:w="8060" w:type="dxa"/>
            <w:vAlign w:val="bottom"/>
            <w:gridSpan w:val="19"/>
          </w:tcPr>
          <w:p>
            <w:pPr>
              <w:spacing w:after="0"/>
              <w:rPr>
                <w:sz w:val="20"/>
                <w:szCs w:val="20"/>
                <w:color w:val="auto"/>
              </w:rPr>
            </w:pPr>
            <w:r>
              <w:rPr>
                <w:rFonts w:ascii="Arial" w:cs="Arial" w:eastAsia="Arial" w:hAnsi="Arial"/>
                <w:sz w:val="13"/>
                <w:szCs w:val="13"/>
                <w:color w:val="0000FF"/>
              </w:rPr>
              <w:t>Certificate of Chief Executive Officer and Chief Financial Officer pursuant to Section 906 of the Sarbanes-Oxley Act of 2002</w:t>
            </w:r>
          </w:p>
        </w:tc>
        <w:tc>
          <w:tcPr>
            <w:tcW w:w="720" w:type="dxa"/>
            <w:vAlign w:val="bottom"/>
          </w:tcPr>
          <w:p>
            <w:pPr>
              <w:jc w:val="center"/>
              <w:ind w:left="356"/>
              <w:spacing w:after="0"/>
              <w:rPr>
                <w:sz w:val="20"/>
                <w:szCs w:val="20"/>
                <w:color w:val="auto"/>
              </w:rPr>
            </w:pPr>
            <w:r>
              <w:rPr>
                <w:rFonts w:ascii="Arial" w:cs="Arial" w:eastAsia="Arial" w:hAnsi="Arial"/>
                <w:sz w:val="13"/>
                <w:szCs w:val="13"/>
                <w:color w:val="auto"/>
                <w:w w:val="86"/>
              </w:rPr>
              <w:t>32.0</w:t>
            </w:r>
          </w:p>
        </w:tc>
      </w:tr>
      <w:tr>
        <w:trPr>
          <w:trHeight w:val="20"/>
        </w:trPr>
        <w:tc>
          <w:tcPr>
            <w:tcW w:w="1060" w:type="dxa"/>
            <w:vAlign w:val="bottom"/>
          </w:tcPr>
          <w:p>
            <w:pPr>
              <w:spacing w:after="0" w:line="20" w:lineRule="exact"/>
              <w:rPr>
                <w:sz w:val="1"/>
                <w:szCs w:val="1"/>
                <w:color w:val="auto"/>
              </w:rPr>
            </w:pPr>
          </w:p>
        </w:tc>
        <w:tc>
          <w:tcPr>
            <w:tcW w:w="6400" w:type="dxa"/>
            <w:vAlign w:val="bottom"/>
            <w:gridSpan w:val="13"/>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1060" w:type="dxa"/>
            <w:vAlign w:val="bottom"/>
          </w:tcPr>
          <w:p>
            <w:pPr>
              <w:jc w:val="center"/>
              <w:ind w:right="636"/>
              <w:spacing w:after="0" w:line="143" w:lineRule="exact"/>
              <w:rPr>
                <w:sz w:val="20"/>
                <w:szCs w:val="20"/>
                <w:color w:val="auto"/>
              </w:rPr>
            </w:pPr>
            <w:r>
              <w:rPr>
                <w:rFonts w:ascii="Arial" w:cs="Arial" w:eastAsia="Arial" w:hAnsi="Arial"/>
                <w:sz w:val="13"/>
                <w:szCs w:val="13"/>
                <w:color w:val="auto"/>
                <w:w w:val="92"/>
              </w:rPr>
              <w:t>101</w:t>
            </w:r>
          </w:p>
        </w:tc>
        <w:tc>
          <w:tcPr>
            <w:tcW w:w="8060" w:type="dxa"/>
            <w:vAlign w:val="bottom"/>
            <w:gridSpan w:val="19"/>
          </w:tcPr>
          <w:p>
            <w:pPr>
              <w:spacing w:after="0" w:line="143" w:lineRule="exact"/>
              <w:rPr>
                <w:sz w:val="20"/>
                <w:szCs w:val="20"/>
                <w:color w:val="auto"/>
              </w:rPr>
            </w:pPr>
            <w:r>
              <w:rPr>
                <w:rFonts w:ascii="Arial" w:cs="Arial" w:eastAsia="Arial" w:hAnsi="Arial"/>
                <w:sz w:val="13"/>
                <w:szCs w:val="13"/>
                <w:color w:val="auto"/>
                <w:w w:val="99"/>
              </w:rPr>
              <w:t>The following materials from HomeTrust Bancshares’ Annual Report on Form 10-K for the year ended June 30, 2022, formatted in Extensible</w:t>
            </w:r>
          </w:p>
        </w:tc>
        <w:tc>
          <w:tcPr>
            <w:tcW w:w="720" w:type="dxa"/>
            <w:vAlign w:val="bottom"/>
          </w:tcPr>
          <w:p>
            <w:pPr>
              <w:jc w:val="center"/>
              <w:ind w:left="356"/>
              <w:spacing w:after="0" w:line="143" w:lineRule="exact"/>
              <w:rPr>
                <w:sz w:val="20"/>
                <w:szCs w:val="20"/>
                <w:color w:val="auto"/>
              </w:rPr>
            </w:pPr>
            <w:r>
              <w:rPr>
                <w:rFonts w:ascii="Arial" w:cs="Arial" w:eastAsia="Arial" w:hAnsi="Arial"/>
                <w:sz w:val="13"/>
                <w:szCs w:val="13"/>
                <w:color w:val="auto"/>
                <w:w w:val="82"/>
              </w:rPr>
              <w:t>101</w:t>
            </w:r>
          </w:p>
        </w:tc>
      </w:tr>
      <w:tr>
        <w:trPr>
          <w:trHeight w:val="137"/>
        </w:trPr>
        <w:tc>
          <w:tcPr>
            <w:tcW w:w="1060" w:type="dxa"/>
            <w:vAlign w:val="bottom"/>
          </w:tcPr>
          <w:p>
            <w:pPr>
              <w:spacing w:after="0"/>
              <w:rPr>
                <w:sz w:val="11"/>
                <w:szCs w:val="11"/>
                <w:color w:val="auto"/>
              </w:rPr>
            </w:pPr>
          </w:p>
        </w:tc>
        <w:tc>
          <w:tcPr>
            <w:tcW w:w="8060" w:type="dxa"/>
            <w:vAlign w:val="bottom"/>
            <w:gridSpan w:val="19"/>
          </w:tcPr>
          <w:p>
            <w:pPr>
              <w:spacing w:after="0" w:line="138" w:lineRule="exact"/>
              <w:rPr>
                <w:sz w:val="20"/>
                <w:szCs w:val="20"/>
                <w:color w:val="auto"/>
              </w:rPr>
            </w:pPr>
            <w:r>
              <w:rPr>
                <w:rFonts w:ascii="Arial" w:cs="Arial" w:eastAsia="Arial" w:hAnsi="Arial"/>
                <w:sz w:val="13"/>
                <w:szCs w:val="13"/>
                <w:color w:val="auto"/>
                <w:w w:val="96"/>
              </w:rPr>
              <w:t>Business Reporting Language (XBRL): (a) Consolidated Balance Sheets; (b) Consolidated Statements of Income; (c) Consolidated Statements of</w:t>
            </w:r>
          </w:p>
        </w:tc>
        <w:tc>
          <w:tcPr>
            <w:tcW w:w="720" w:type="dxa"/>
            <w:vAlign w:val="bottom"/>
          </w:tcPr>
          <w:p>
            <w:pPr>
              <w:spacing w:after="0"/>
              <w:rPr>
                <w:sz w:val="11"/>
                <w:szCs w:val="11"/>
                <w:color w:val="auto"/>
              </w:rPr>
            </w:pPr>
          </w:p>
        </w:tc>
      </w:tr>
    </w:tbl>
    <w:p>
      <w:pPr>
        <w:ind w:left="1735" w:right="1080"/>
        <w:spacing w:after="0" w:line="223" w:lineRule="auto"/>
        <w:rPr>
          <w:sz w:val="20"/>
          <w:szCs w:val="20"/>
          <w:color w:val="auto"/>
        </w:rPr>
      </w:pPr>
      <w:r>
        <w:rPr>
          <w:rFonts w:ascii="Arial" w:cs="Arial" w:eastAsia="Arial" w:hAnsi="Arial"/>
          <w:sz w:val="13"/>
          <w:szCs w:val="13"/>
          <w:color w:val="auto"/>
        </w:rPr>
        <w:t>Comprehensive Income; (d) Consolidated Statements of Changes in Stockholders' Equity; (e) Consolidated Statements of Cash Flows; and (f) Notes to Consolidated Financial Statements.</w:t>
      </w:r>
    </w:p>
    <w:p>
      <w:pPr>
        <w:spacing w:after="0" w:line="107" w:lineRule="exact"/>
        <w:rPr>
          <w:sz w:val="20"/>
          <w:szCs w:val="20"/>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2022 (File No. 001-35593).</w:t>
      </w:r>
    </w:p>
    <w:p>
      <w:pPr>
        <w:spacing w:after="0" w:line="4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September 25, 2018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2019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S-1 (File No. 333-178817) filed on December 29, 2011.</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May 24, 2022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2021 (File No. 001-35593).</w:t>
      </w:r>
    </w:p>
    <w:p>
      <w:pPr>
        <w:spacing w:after="0" w:line="4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September 11, 2018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October 28, 2020 (File No. 001-35593).</w:t>
      </w:r>
    </w:p>
    <w:p>
      <w:pPr>
        <w:spacing w:after="0" w:line="53" w:lineRule="exact"/>
        <w:rPr>
          <w:rFonts w:ascii="Arial" w:cs="Arial" w:eastAsia="Arial" w:hAnsi="Arial"/>
          <w:sz w:val="11"/>
          <w:szCs w:val="11"/>
          <w:color w:val="auto"/>
        </w:rPr>
      </w:pPr>
    </w:p>
    <w:p>
      <w:pPr>
        <w:ind w:left="235" w:hanging="235"/>
        <w:spacing w:after="0"/>
        <w:tabs>
          <w:tab w:leader="none" w:pos="23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Amendment No. 1 to HomeTrust Bancshares’s Registration Statement on Form S-1 (File No. 333-178817) filed on March 9, 2012.</w:t>
      </w:r>
    </w:p>
    <w:p>
      <w:pPr>
        <w:spacing w:after="0" w:line="53" w:lineRule="exact"/>
        <w:rPr>
          <w:rFonts w:ascii="Arial" w:cs="Arial" w:eastAsia="Arial" w:hAnsi="Arial"/>
          <w:sz w:val="11"/>
          <w:szCs w:val="11"/>
          <w:color w:val="auto"/>
        </w:rPr>
      </w:pPr>
    </w:p>
    <w:p>
      <w:pPr>
        <w:ind w:left="235" w:hanging="235"/>
        <w:spacing w:after="0"/>
        <w:tabs>
          <w:tab w:leader="none" w:pos="235" w:val="left"/>
        </w:tabs>
        <w:numPr>
          <w:ilvl w:val="0"/>
          <w:numId w:val="22"/>
        </w:numPr>
        <w:rPr>
          <w:rFonts w:ascii="Arial" w:cs="Arial" w:eastAsia="Arial" w:hAnsi="Arial"/>
          <w:sz w:val="11"/>
          <w:szCs w:val="11"/>
          <w:color w:val="auto"/>
        </w:rPr>
      </w:pPr>
      <w:r>
        <w:rPr>
          <w:rFonts w:ascii="Arial" w:cs="Arial" w:eastAsia="Arial" w:hAnsi="Arial"/>
          <w:sz w:val="11"/>
          <w:szCs w:val="11"/>
          <w:color w:val="auto"/>
        </w:rPr>
        <w:t>Attached as Appendix A to HomeTrust Bancshares’s definitive proxy statement filed on December 5, 2012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S-8 (File No. 333-186666) filed on February 13, 2013.</w:t>
      </w:r>
    </w:p>
    <w:p>
      <w:pPr>
        <w:spacing w:after="0" w:line="43" w:lineRule="exact"/>
        <w:rPr>
          <w:rFonts w:ascii="Arial" w:cs="Arial" w:eastAsia="Arial" w:hAnsi="Arial"/>
          <w:sz w:val="11"/>
          <w:szCs w:val="11"/>
          <w:color w:val="auto"/>
        </w:rPr>
      </w:pPr>
    </w:p>
    <w:p>
      <w:pPr>
        <w:ind w:left="235" w:hanging="235"/>
        <w:spacing w:after="0"/>
        <w:tabs>
          <w:tab w:leader="none" w:pos="23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February 15, 2022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2022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2014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July 28, 2021 (File No. 001-35593).</w:t>
      </w:r>
    </w:p>
    <w:p>
      <w:pPr>
        <w:spacing w:after="0" w:line="53" w:lineRule="exact"/>
        <w:rPr>
          <w:rFonts w:ascii="Arial" w:cs="Arial" w:eastAsia="Arial" w:hAnsi="Arial"/>
          <w:sz w:val="11"/>
          <w:szCs w:val="11"/>
          <w:color w:val="auto"/>
        </w:rPr>
      </w:pPr>
    </w:p>
    <w:p>
      <w:pPr>
        <w:ind w:left="255" w:hanging="255"/>
        <w:spacing w:after="0"/>
        <w:tabs>
          <w:tab w:leader="none" w:pos="255" w:val="left"/>
        </w:tabs>
        <w:numPr>
          <w:ilvl w:val="0"/>
          <w:numId w:val="22"/>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2018 (File No. 001-35593).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75"/>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15"/>
          </w:cols>
          <w:pgMar w:left="305" w:top="913" w:right="1079" w:bottom="1440" w:gutter="0" w:footer="0" w:header="0"/>
        </w:sectPr>
      </w:pPr>
    </w:p>
    <w:bookmarkStart w:id="46" w:name="page47"/>
    <w:bookmarkEnd w:id="46"/>
    <w:p>
      <w:pPr>
        <w:ind w:left="5240"/>
        <w:spacing w:after="0"/>
        <w:rPr>
          <w:sz w:val="20"/>
          <w:szCs w:val="20"/>
          <w:color w:val="auto"/>
        </w:rPr>
      </w:pPr>
      <w:r>
        <w:rPr>
          <w:rFonts w:ascii="Arial" w:cs="Arial" w:eastAsia="Arial" w:hAnsi="Arial"/>
          <w:sz w:val="13"/>
          <w:szCs w:val="13"/>
          <w:b w:val="1"/>
          <w:bCs w:val="1"/>
          <w:color w:val="auto"/>
        </w:rPr>
        <w:t>SIGNATURES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8220" w:type="dxa"/>
            <w:vAlign w:val="bottom"/>
            <w:gridSpan w:val="2"/>
          </w:tcPr>
          <w:p>
            <w:pPr>
              <w:ind w:left="1780"/>
              <w:spacing w:after="0"/>
              <w:rPr>
                <w:sz w:val="20"/>
                <w:szCs w:val="20"/>
                <w:color w:val="auto"/>
              </w:rPr>
            </w:pPr>
            <w:r>
              <w:rPr>
                <w:rFonts w:ascii="Arial" w:cs="Arial" w:eastAsia="Arial" w:hAnsi="Arial"/>
                <w:sz w:val="13"/>
                <w:szCs w:val="13"/>
                <w:b w:val="1"/>
                <w:bCs w:val="1"/>
                <w:color w:val="auto"/>
              </w:rPr>
              <w:t>HOMETRUST BANCSHARES, INC.</w:t>
            </w:r>
          </w:p>
        </w:tc>
      </w:tr>
      <w:tr>
        <w:trPr>
          <w:trHeight w:val="596"/>
        </w:trPr>
        <w:tc>
          <w:tcPr>
            <w:tcW w:w="3020" w:type="dxa"/>
            <w:vAlign w:val="bottom"/>
          </w:tcPr>
          <w:p>
            <w:pPr>
              <w:spacing w:after="0"/>
              <w:rPr>
                <w:sz w:val="20"/>
                <w:szCs w:val="20"/>
                <w:color w:val="auto"/>
              </w:rPr>
            </w:pPr>
            <w:r>
              <w:rPr>
                <w:rFonts w:ascii="Arial" w:cs="Arial" w:eastAsia="Arial" w:hAnsi="Arial"/>
                <w:sz w:val="13"/>
                <w:szCs w:val="13"/>
                <w:color w:val="auto"/>
              </w:rPr>
              <w:t>Date: November 9, 2022</w:t>
            </w:r>
          </w:p>
        </w:tc>
        <w:tc>
          <w:tcPr>
            <w:tcW w:w="2600" w:type="dxa"/>
            <w:vAlign w:val="bottom"/>
          </w:tcPr>
          <w:p>
            <w:pPr>
              <w:ind w:left="1780"/>
              <w:spacing w:after="0"/>
              <w:rPr>
                <w:sz w:val="20"/>
                <w:szCs w:val="20"/>
                <w:color w:val="auto"/>
              </w:rPr>
            </w:pPr>
            <w:r>
              <w:rPr>
                <w:rFonts w:ascii="Arial" w:cs="Arial" w:eastAsia="Arial" w:hAnsi="Arial"/>
                <w:sz w:val="13"/>
                <w:szCs w:val="13"/>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 Hunter Westbrook</w:t>
            </w:r>
          </w:p>
        </w:tc>
      </w:tr>
      <w:tr>
        <w:trPr>
          <w:trHeight w:val="158"/>
        </w:trPr>
        <w:tc>
          <w:tcPr>
            <w:tcW w:w="3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C. Hunter Westbrook</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i w:val="1"/>
                <w:iCs w:val="1"/>
                <w:color w:val="auto"/>
              </w:rPr>
              <w:t>(Duly Authorized Officer)</w:t>
            </w:r>
          </w:p>
        </w:tc>
      </w:tr>
      <w:tr>
        <w:trPr>
          <w:trHeight w:val="384"/>
        </w:trPr>
        <w:tc>
          <w:tcPr>
            <w:tcW w:w="3020" w:type="dxa"/>
            <w:vAlign w:val="bottom"/>
          </w:tcPr>
          <w:p>
            <w:pPr>
              <w:spacing w:after="0"/>
              <w:rPr>
                <w:sz w:val="20"/>
                <w:szCs w:val="20"/>
                <w:color w:val="auto"/>
              </w:rPr>
            </w:pPr>
            <w:r>
              <w:rPr>
                <w:rFonts w:ascii="Arial" w:cs="Arial" w:eastAsia="Arial" w:hAnsi="Arial"/>
                <w:sz w:val="13"/>
                <w:szCs w:val="13"/>
                <w:color w:val="auto"/>
              </w:rPr>
              <w:t>Date: November 9, 2022</w:t>
            </w:r>
          </w:p>
        </w:tc>
        <w:tc>
          <w:tcPr>
            <w:tcW w:w="2600" w:type="dxa"/>
            <w:vAlign w:val="bottom"/>
          </w:tcPr>
          <w:p>
            <w:pPr>
              <w:ind w:left="1780"/>
              <w:spacing w:after="0"/>
              <w:rPr>
                <w:sz w:val="20"/>
                <w:szCs w:val="20"/>
                <w:color w:val="auto"/>
              </w:rPr>
            </w:pPr>
            <w:r>
              <w:rPr>
                <w:rFonts w:ascii="Arial" w:cs="Arial" w:eastAsia="Arial" w:hAnsi="Arial"/>
                <w:sz w:val="13"/>
                <w:szCs w:val="13"/>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Tony J. VunCannon</w:t>
            </w:r>
          </w:p>
        </w:tc>
      </w:tr>
      <w:tr>
        <w:trPr>
          <w:trHeight w:val="158"/>
        </w:trPr>
        <w:tc>
          <w:tcPr>
            <w:tcW w:w="3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Tony J. VunCannon</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Executive Vice President, CFO, Corporate Secretary and Treasurer</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60"/>
          </w:cols>
          <w:pgMar w:left="300" w:top="1084" w:right="339" w:bottom="1440"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auto"/>
        </w:rPr>
        <w:t>Exhibit 31.1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I, C. Hunter Westbrook, certify that:</w:t>
      </w:r>
    </w:p>
    <w:p>
      <w:pPr>
        <w:spacing w:after="0" w:line="126"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HomeTrust Bancshares, Inc. (the "Company");</w:t>
      </w:r>
    </w:p>
    <w:p>
      <w:pPr>
        <w:spacing w:after="0" w:line="136"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3"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 15d-15(e)) for the Company and have:</w:t>
      </w:r>
    </w:p>
    <w:p>
      <w:pPr>
        <w:spacing w:after="0" w:line="93" w:lineRule="exact"/>
        <w:rPr>
          <w:rFonts w:ascii="Arial" w:cs="Arial" w:eastAsia="Arial" w:hAnsi="Arial"/>
          <w:sz w:val="13"/>
          <w:szCs w:val="13"/>
          <w:color w:val="auto"/>
        </w:rPr>
      </w:pPr>
    </w:p>
    <w:p>
      <w:pPr>
        <w:ind w:left="900" w:hanging="259"/>
        <w:spacing w:after="0" w:line="299" w:lineRule="auto"/>
        <w:tabs>
          <w:tab w:leader="none" w:pos="893"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91" w:lineRule="exact"/>
        <w:rPr>
          <w:rFonts w:ascii="Arial" w:cs="Arial" w:eastAsia="Arial" w:hAnsi="Arial"/>
          <w:sz w:val="12"/>
          <w:szCs w:val="12"/>
          <w:color w:val="auto"/>
        </w:rPr>
      </w:pPr>
    </w:p>
    <w:p>
      <w:pPr>
        <w:ind w:left="900" w:hanging="259"/>
        <w:spacing w:after="0" w:line="299" w:lineRule="auto"/>
        <w:tabs>
          <w:tab w:leader="none" w:pos="900"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2"/>
          <w:szCs w:val="12"/>
          <w:color w:val="auto"/>
        </w:rPr>
      </w:pPr>
    </w:p>
    <w:p>
      <w:pPr>
        <w:ind w:left="900" w:hanging="259"/>
        <w:spacing w:after="0" w:line="274" w:lineRule="auto"/>
        <w:tabs>
          <w:tab w:leader="none" w:pos="893" w:val="left"/>
        </w:tabs>
        <w:numPr>
          <w:ilvl w:val="1"/>
          <w:numId w:val="23"/>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3" w:lineRule="exact"/>
        <w:rPr>
          <w:rFonts w:ascii="Arial" w:cs="Arial" w:eastAsia="Arial" w:hAnsi="Arial"/>
          <w:sz w:val="13"/>
          <w:szCs w:val="13"/>
          <w:color w:val="auto"/>
        </w:rPr>
      </w:pPr>
    </w:p>
    <w:p>
      <w:pPr>
        <w:ind w:left="900" w:hanging="259"/>
        <w:spacing w:after="0" w:line="274" w:lineRule="auto"/>
        <w:tabs>
          <w:tab w:leader="none" w:pos="9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93"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3"/>
          <w:szCs w:val="13"/>
          <w:color w:val="auto"/>
        </w:rPr>
      </w:pPr>
    </w:p>
    <w:p>
      <w:pPr>
        <w:ind w:left="900" w:hanging="259"/>
        <w:spacing w:after="0" w:line="257" w:lineRule="auto"/>
        <w:tabs>
          <w:tab w:leader="none" w:pos="893" w:val="left"/>
        </w:tabs>
        <w:numPr>
          <w:ilvl w:val="1"/>
          <w:numId w:val="2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3"/>
          <w:szCs w:val="13"/>
          <w:color w:val="auto"/>
        </w:rPr>
      </w:pPr>
    </w:p>
    <w:p>
      <w:pPr>
        <w:ind w:left="900" w:hanging="259"/>
        <w:spacing w:after="0"/>
        <w:tabs>
          <w:tab w:leader="none" w:pos="9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left="20"/>
        <w:spacing w:after="0"/>
        <w:tabs>
          <w:tab w:leader="none" w:pos="5000" w:val="left"/>
          <w:tab w:leader="none" w:pos="5980" w:val="left"/>
        </w:tabs>
        <w:rPr>
          <w:sz w:val="20"/>
          <w:szCs w:val="20"/>
          <w:color w:val="auto"/>
        </w:rPr>
      </w:pPr>
      <w:r>
        <w:rPr>
          <w:rFonts w:ascii="Arial" w:cs="Arial" w:eastAsia="Arial" w:hAnsi="Arial"/>
          <w:sz w:val="13"/>
          <w:szCs w:val="13"/>
          <w:color w:val="auto"/>
        </w:rPr>
        <w:t>November 9,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334835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 Hunter Westbrook</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280"/>
          </w:cols>
          <w:pgMar w:left="300" w:top="733"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31.2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I, Tony J. VunCannon, certify that:</w:t>
      </w:r>
    </w:p>
    <w:p>
      <w:pPr>
        <w:spacing w:after="0" w:line="126" w:lineRule="exact"/>
        <w:rPr>
          <w:sz w:val="20"/>
          <w:szCs w:val="20"/>
          <w:color w:val="auto"/>
        </w:rPr>
      </w:pPr>
    </w:p>
    <w:p>
      <w:pPr>
        <w:ind w:left="520" w:hanging="515"/>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HomeTrust Bancshares, Inc. (the "Company");</w:t>
      </w:r>
    </w:p>
    <w:p>
      <w:pPr>
        <w:spacing w:after="0" w:line="136"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3"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 15d-15(e)) for the Company and have:</w:t>
      </w:r>
    </w:p>
    <w:p>
      <w:pPr>
        <w:spacing w:after="0" w:line="93" w:lineRule="exact"/>
        <w:rPr>
          <w:rFonts w:ascii="Arial" w:cs="Arial" w:eastAsia="Arial" w:hAnsi="Arial"/>
          <w:sz w:val="13"/>
          <w:szCs w:val="13"/>
          <w:color w:val="auto"/>
        </w:rPr>
      </w:pPr>
    </w:p>
    <w:p>
      <w:pPr>
        <w:ind w:left="900" w:hanging="259"/>
        <w:spacing w:after="0" w:line="299" w:lineRule="auto"/>
        <w:tabs>
          <w:tab w:leader="none" w:pos="893"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91" w:lineRule="exact"/>
        <w:rPr>
          <w:rFonts w:ascii="Arial" w:cs="Arial" w:eastAsia="Arial" w:hAnsi="Arial"/>
          <w:sz w:val="12"/>
          <w:szCs w:val="12"/>
          <w:color w:val="auto"/>
        </w:rPr>
      </w:pPr>
    </w:p>
    <w:p>
      <w:pPr>
        <w:ind w:left="900" w:hanging="259"/>
        <w:spacing w:after="0" w:line="299" w:lineRule="auto"/>
        <w:tabs>
          <w:tab w:leader="none" w:pos="90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2"/>
          <w:szCs w:val="12"/>
          <w:color w:val="auto"/>
        </w:rPr>
      </w:pPr>
    </w:p>
    <w:p>
      <w:pPr>
        <w:ind w:left="900" w:hanging="259"/>
        <w:spacing w:after="0" w:line="274" w:lineRule="auto"/>
        <w:tabs>
          <w:tab w:leader="none" w:pos="893" w:val="left"/>
        </w:tabs>
        <w:numPr>
          <w:ilvl w:val="1"/>
          <w:numId w:val="24"/>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3" w:lineRule="exact"/>
        <w:rPr>
          <w:rFonts w:ascii="Arial" w:cs="Arial" w:eastAsia="Arial" w:hAnsi="Arial"/>
          <w:sz w:val="13"/>
          <w:szCs w:val="13"/>
          <w:color w:val="auto"/>
        </w:rPr>
      </w:pPr>
    </w:p>
    <w:p>
      <w:pPr>
        <w:ind w:left="900" w:hanging="259"/>
        <w:spacing w:after="0" w:line="274" w:lineRule="auto"/>
        <w:tabs>
          <w:tab w:leader="none" w:pos="9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93"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3"/>
          <w:szCs w:val="13"/>
          <w:color w:val="auto"/>
        </w:rPr>
      </w:pPr>
    </w:p>
    <w:p>
      <w:pPr>
        <w:ind w:left="900" w:hanging="259"/>
        <w:spacing w:after="0" w:line="257" w:lineRule="auto"/>
        <w:tabs>
          <w:tab w:leader="none" w:pos="893" w:val="left"/>
        </w:tabs>
        <w:numPr>
          <w:ilvl w:val="1"/>
          <w:numId w:val="2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3"/>
          <w:szCs w:val="13"/>
          <w:color w:val="auto"/>
        </w:rPr>
      </w:pPr>
    </w:p>
    <w:p>
      <w:pPr>
        <w:ind w:left="900" w:hanging="259"/>
        <w:spacing w:after="0"/>
        <w:tabs>
          <w:tab w:leader="none" w:pos="9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left="20"/>
        <w:spacing w:after="0"/>
        <w:tabs>
          <w:tab w:leader="none" w:pos="5000" w:val="left"/>
          <w:tab w:leader="none" w:pos="5980" w:val="left"/>
        </w:tabs>
        <w:rPr>
          <w:sz w:val="20"/>
          <w:szCs w:val="20"/>
          <w:color w:val="auto"/>
        </w:rPr>
      </w:pPr>
      <w:r>
        <w:rPr>
          <w:rFonts w:ascii="Arial" w:cs="Arial" w:eastAsia="Arial" w:hAnsi="Arial"/>
          <w:sz w:val="13"/>
          <w:szCs w:val="13"/>
          <w:color w:val="auto"/>
        </w:rPr>
        <w:t>November 9,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334835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Tony J. VunCannon</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Executive Vice President, CFO, and Treasurer</w:t>
      </w:r>
    </w:p>
    <w:p>
      <w:pPr>
        <w:sectPr>
          <w:pgSz w:w="11900" w:h="16838" w:orient="portrait"/>
          <w:cols w:equalWidth="0" w:num="1">
            <w:col w:w="11280"/>
          </w:cols>
          <w:pgMar w:left="300" w:top="733"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auto"/>
        </w:rPr>
        <w:t>Exhibit 32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1350 CERTIFICATION</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Each of the undersigned hereby certifies in his capacity as an officer of HomeTrust Bancshares, Inc. (the "Company") that the Quarterly Report of the Company on Form 10-Q for the period ended September 30, 2022,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37" w:lineRule="exact"/>
        <w:rPr>
          <w:sz w:val="20"/>
          <w:szCs w:val="20"/>
          <w:color w:val="auto"/>
        </w:rPr>
      </w:pPr>
    </w:p>
    <w:p>
      <w:pPr>
        <w:ind w:left="20"/>
        <w:spacing w:after="0"/>
        <w:tabs>
          <w:tab w:leader="none" w:pos="4320" w:val="left"/>
          <w:tab w:leader="none" w:pos="5440" w:val="left"/>
        </w:tabs>
        <w:rPr>
          <w:sz w:val="20"/>
          <w:szCs w:val="20"/>
          <w:color w:val="auto"/>
        </w:rPr>
      </w:pPr>
      <w:r>
        <w:rPr>
          <w:rFonts w:ascii="Arial" w:cs="Arial" w:eastAsia="Arial" w:hAnsi="Arial"/>
          <w:sz w:val="13"/>
          <w:szCs w:val="13"/>
          <w:color w:val="auto"/>
        </w:rPr>
        <w:t>November 9,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6918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691890" cy="6985"/>
                    </a:xfrm>
                    <a:prstGeom prst="rect">
                      <a:avLst/>
                    </a:prstGeom>
                    <a:noFill/>
                  </pic:spPr>
                </pic:pic>
              </a:graphicData>
            </a:graphic>
          </wp:anchor>
        </w:drawing>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C. Hunter Westbrook</w:t>
      </w:r>
    </w:p>
    <w:p>
      <w:pPr>
        <w:spacing w:after="0" w:line="5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President and Chief Executive Officer</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4320" w:val="left"/>
          <w:tab w:leader="none" w:pos="5440" w:val="left"/>
        </w:tabs>
        <w:rPr>
          <w:sz w:val="20"/>
          <w:szCs w:val="20"/>
          <w:color w:val="auto"/>
        </w:rPr>
      </w:pPr>
      <w:r>
        <w:rPr>
          <w:rFonts w:ascii="Arial" w:cs="Arial" w:eastAsia="Arial" w:hAnsi="Arial"/>
          <w:sz w:val="13"/>
          <w:szCs w:val="13"/>
          <w:color w:val="auto"/>
        </w:rPr>
        <w:t>November 9,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6918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691890" cy="6985"/>
                    </a:xfrm>
                    <a:prstGeom prst="rect">
                      <a:avLst/>
                    </a:prstGeom>
                    <a:noFill/>
                  </pic:spPr>
                </pic:pic>
              </a:graphicData>
            </a:graphic>
          </wp:anchor>
        </w:drawing>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Tony J. VunCannon</w:t>
      </w:r>
    </w:p>
    <w:p>
      <w:pPr>
        <w:spacing w:after="0" w:line="5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Executive Vice President, CFO, and Treasurer</w:t>
      </w:r>
    </w:p>
    <w:sectPr>
      <w:pgSz w:w="11900" w:h="16838" w:orient="portrait"/>
      <w:cols w:equalWidth="0" w:num="1">
        <w:col w:w="11280"/>
      </w:cols>
      <w:pgMar w:left="300" w:top="7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9"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56" Type="http://schemas.openxmlformats.org/officeDocument/2006/relationships/hyperlink" Target="http://www.sec.gov/Archives/edgar/data/1538263/000119312511355607/0001193125-11-355607-index.htm" TargetMode="External"/><Relationship Id="rId57" Type="http://schemas.openxmlformats.org/officeDocument/2006/relationships/hyperlink" Target="http://www.sec.gov/ix?doc=/Archives/edgar/data/0001538263/000153826321000038/htbi-20210331.htm" TargetMode="External"/><Relationship Id="rId58" Type="http://schemas.openxmlformats.org/officeDocument/2006/relationships/hyperlink" Target="http://www.sec.gov/ix?doc=/Archives/edgar/data/0001538263/000153826322000047/htbi-20220630.htm" TargetMode="External"/><Relationship Id="rId59" Type="http://schemas.openxmlformats.org/officeDocument/2006/relationships/hyperlink" Target="http://www.sec.gov/Archives/edgar/data/1538263/000153826318000044/htbi-20180911x8k.htm" TargetMode="External"/><Relationship Id="rId60" Type="http://schemas.openxmlformats.org/officeDocument/2006/relationships/hyperlink" Target="http://www.sec.gov/Archives/edgar/data/1538263/000153826318000049/htbi-20180925x8k.htm" TargetMode="External"/><Relationship Id="rId61" Type="http://schemas.openxmlformats.org/officeDocument/2006/relationships/hyperlink" Target="http://www.sec.gov/ix?doc=/Archives/edgar/data/0001538263/000153826320000039/htbi-20201027.htm" TargetMode="External"/><Relationship Id="rId62" Type="http://schemas.openxmlformats.org/officeDocument/2006/relationships/hyperlink" Target="http://www.sec.gov/ix?doc=/Archives/edgar/data/0001538263/000153826321000053/htbi-20210726.htm" TargetMode="External"/><Relationship Id="rId63" Type="http://schemas.openxmlformats.org/officeDocument/2006/relationships/hyperlink" Target="http://www.sec.gov/ix?doc=/Archives/edgar/data/0001538263/000153826322000024/htbi-20220523.htm" TargetMode="External"/><Relationship Id="rId64" Type="http://schemas.openxmlformats.org/officeDocument/2006/relationships/hyperlink" Target="http://www.sec.gov/ix?doc=/Archives/edgar/data/0001538263/000153826322000021/htbi-20220331.htm" TargetMode="External"/><Relationship Id="rId65" Type="http://schemas.openxmlformats.org/officeDocument/2006/relationships/hyperlink" Target="http://www.sec.gov/ix?doc=/Archives/edgar/data/0001538263/000153826322000009/htbi-20220211.htm" TargetMode="External"/><Relationship Id="rId66" Type="http://schemas.openxmlformats.org/officeDocument/2006/relationships/hyperlink" Target="http://www.sec.gov/Archives/edgar/data/1538263/000119312512107294/0001193125-12-107294-index.htm" TargetMode="External"/><Relationship Id="rId67" Type="http://schemas.openxmlformats.org/officeDocument/2006/relationships/hyperlink" Target="http://www.sec.gov/Archives/edgar/data/1538263/000092708912000332/htbi-def14a2012.htm" TargetMode="External"/><Relationship Id="rId68" Type="http://schemas.openxmlformats.org/officeDocument/2006/relationships/hyperlink" Target="http://www.sec.gov/Archives/edgar/data/1538263/000092708913000038/0000927089-13-000038-index.htm" TargetMode="External"/><Relationship Id="rId70" Type="http://schemas.openxmlformats.org/officeDocument/2006/relationships/hyperlink" Target="http://www.sec.gov/Archives/edgar/data/1538263/000092708914000374/0000927089-14-000374-index.htm" TargetMode="External"/><Relationship Id="rId71" Type="http://schemas.openxmlformats.org/officeDocument/2006/relationships/hyperlink" Target="http://www.sec.gov/Archives/edgar/data/1538263/000153826319000024/a2019-03x31xhtbix10q.htm" TargetMode="External"/><Relationship Id="rId72" Type="http://schemas.openxmlformats.org/officeDocument/2006/relationships/hyperlink" Target="http://www.sec.gov/Archives/edgar/data/1538263/000153826318000047/htbi-2018x06x30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2022-11-10T02:38:58Z</dcterms:created>
  <dcterms:modified xsi:type="dcterms:W3CDTF">2022-11-10T02:38:58Z</dcterms:modified>
</cp:coreProperties>
</file>