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0"/>
          <w:szCs w:val="20"/>
          <w:b w:val="1"/>
          <w:bCs w:val="1"/>
          <w:color w:val="auto"/>
        </w:rPr>
        <w:t>UNITED STATES SECURITIES AND EXCHANGE COMMISSION</w:t>
      </w:r>
    </w:p>
    <w:p>
      <w:pPr>
        <w:spacing w:after="0" w:line="249" w:lineRule="exact"/>
        <w:rPr>
          <w:sz w:val="24"/>
          <w:szCs w:val="24"/>
          <w:color w:val="auto"/>
        </w:rPr>
      </w:pPr>
    </w:p>
    <w:p>
      <w:pPr>
        <w:jc w:val="center"/>
        <w:ind w:right="20"/>
        <w:spacing w:after="0"/>
        <w:rPr>
          <w:sz w:val="20"/>
          <w:szCs w:val="20"/>
          <w:color w:val="auto"/>
        </w:rPr>
      </w:pPr>
      <w:r>
        <w:rPr>
          <w:rFonts w:ascii="Arial" w:cs="Arial" w:eastAsia="Arial" w:hAnsi="Arial"/>
          <w:sz w:val="20"/>
          <w:szCs w:val="20"/>
          <w:color w:val="auto"/>
        </w:rPr>
        <w:t>Washington, D.C. 20549</w:t>
      </w:r>
    </w:p>
    <w:p>
      <w:pPr>
        <w:spacing w:after="0" w:line="237" w:lineRule="exact"/>
        <w:rPr>
          <w:sz w:val="24"/>
          <w:szCs w:val="24"/>
          <w:color w:val="auto"/>
        </w:rPr>
      </w:pPr>
    </w:p>
    <w:p>
      <w:pPr>
        <w:jc w:val="center"/>
        <w:ind w:right="20"/>
        <w:spacing w:after="0"/>
        <w:rPr>
          <w:sz w:val="20"/>
          <w:szCs w:val="20"/>
          <w:color w:val="auto"/>
        </w:rPr>
      </w:pPr>
      <w:r>
        <w:rPr>
          <w:rFonts w:ascii="Arial" w:cs="Arial" w:eastAsia="Arial" w:hAnsi="Arial"/>
          <w:sz w:val="20"/>
          <w:szCs w:val="20"/>
          <w:b w:val="1"/>
          <w:bCs w:val="1"/>
          <w:color w:val="auto"/>
        </w:rPr>
        <w:t>FORM 10-Q</w:t>
      </w:r>
    </w:p>
    <w:p>
      <w:pPr>
        <w:spacing w:after="0" w:line="256" w:lineRule="exact"/>
        <w:rPr>
          <w:sz w:val="24"/>
          <w:szCs w:val="24"/>
          <w:color w:val="auto"/>
        </w:rPr>
      </w:pPr>
    </w:p>
    <w:p>
      <w:pPr>
        <w:ind w:left="4080" w:right="3360" w:hanging="4072"/>
        <w:spacing w:after="0" w:line="543" w:lineRule="auto"/>
        <w:tabs>
          <w:tab w:leader="none" w:pos="6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QUARTERLY REPORT UNDER SECTION 13 OR 15(d) OF THE SECURITIES EXCHANGE ACT OF 1934 For the quarterly period ended </w:t>
      </w:r>
      <w:r>
        <w:rPr>
          <w:rFonts w:ascii="Arial" w:cs="Arial" w:eastAsia="Arial" w:hAnsi="Arial"/>
          <w:sz w:val="16"/>
          <w:szCs w:val="16"/>
          <w:b w:val="1"/>
          <w:bCs w:val="1"/>
          <w:u w:val="single" w:color="auto"/>
          <w:color w:val="auto"/>
        </w:rPr>
        <w:t>March 31, 2022</w:t>
      </w:r>
    </w:p>
    <w:p>
      <w:pPr>
        <w:spacing w:after="0" w:line="31" w:lineRule="exact"/>
        <w:rPr>
          <w:sz w:val="24"/>
          <w:szCs w:val="24"/>
          <w:color w:val="auto"/>
        </w:rPr>
      </w:pPr>
    </w:p>
    <w:p>
      <w:pPr>
        <w:ind w:left="3940" w:right="3340" w:hanging="3932"/>
        <w:spacing w:after="0" w:line="598" w:lineRule="auto"/>
        <w:tabs>
          <w:tab w:leader="none" w:pos="65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TRANSITION REPORT UNDER SECTION 13 OR 15(d) OF THE SECURITIES EXCHANGE ACT OF 1934 For the transition period from _______ to ________</w:t>
      </w:r>
    </w:p>
    <w:p>
      <w:pPr>
        <w:ind w:left="4340"/>
        <w:spacing w:after="0"/>
        <w:rPr>
          <w:rFonts w:ascii="MS PGothic" w:cs="MS PGothic" w:eastAsia="MS PGothic" w:hAnsi="MS PGothic"/>
          <w:sz w:val="15"/>
          <w:szCs w:val="15"/>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001-35593</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HOMETRUST BANCSHARES, INC.</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5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Maryland</w:t>
            </w:r>
          </w:p>
        </w:tc>
        <w:tc>
          <w:tcPr>
            <w:tcW w:w="440" w:type="dxa"/>
            <w:vAlign w:val="bottom"/>
          </w:tcPr>
          <w:p>
            <w:pPr>
              <w:spacing w:after="0"/>
              <w:rPr>
                <w:sz w:val="18"/>
                <w:szCs w:val="18"/>
                <w:color w:val="auto"/>
              </w:rPr>
            </w:pPr>
          </w:p>
        </w:tc>
        <w:tc>
          <w:tcPr>
            <w:tcW w:w="5400" w:type="dxa"/>
            <w:vAlign w:val="bottom"/>
            <w:tcBorders>
              <w:bottom w:val="single" w:sz="8" w:color="auto"/>
            </w:tcBorders>
          </w:tcPr>
          <w:p>
            <w:pPr>
              <w:jc w:val="right"/>
              <w:ind w:right="2019"/>
              <w:spacing w:after="0"/>
              <w:rPr>
                <w:sz w:val="20"/>
                <w:szCs w:val="20"/>
                <w:color w:val="auto"/>
              </w:rPr>
            </w:pPr>
            <w:r>
              <w:rPr>
                <w:rFonts w:ascii="Arial" w:cs="Arial" w:eastAsia="Arial" w:hAnsi="Arial"/>
                <w:sz w:val="16"/>
                <w:szCs w:val="16"/>
                <w:b w:val="1"/>
                <w:bCs w:val="1"/>
                <w:color w:val="auto"/>
              </w:rPr>
              <w:t>45-5055422</w:t>
            </w:r>
          </w:p>
        </w:tc>
      </w:tr>
      <w:tr>
        <w:trPr>
          <w:trHeight w:val="207"/>
        </w:trPr>
        <w:tc>
          <w:tcPr>
            <w:tcW w:w="5840" w:type="dxa"/>
            <w:vAlign w:val="bottom"/>
            <w:gridSpan w:val="2"/>
          </w:tcPr>
          <w:p>
            <w:pPr>
              <w:jc w:val="center"/>
              <w:ind w:right="440"/>
              <w:spacing w:after="0"/>
              <w:rPr>
                <w:sz w:val="20"/>
                <w:szCs w:val="20"/>
                <w:color w:val="auto"/>
              </w:rPr>
            </w:pPr>
            <w:r>
              <w:rPr>
                <w:rFonts w:ascii="Arial" w:cs="Arial" w:eastAsia="Arial" w:hAnsi="Arial"/>
                <w:sz w:val="16"/>
                <w:szCs w:val="16"/>
                <w:color w:val="auto"/>
                <w:w w:val="94"/>
              </w:rPr>
              <w:t>(State or other jurisdiction of incorporation of organization)</w:t>
            </w:r>
          </w:p>
        </w:tc>
        <w:tc>
          <w:tcPr>
            <w:tcW w:w="5400" w:type="dxa"/>
            <w:vAlign w:val="bottom"/>
          </w:tcPr>
          <w:p>
            <w:pPr>
              <w:jc w:val="right"/>
              <w:ind w:right="1439"/>
              <w:spacing w:after="0"/>
              <w:rPr>
                <w:sz w:val="20"/>
                <w:szCs w:val="20"/>
                <w:color w:val="auto"/>
              </w:rPr>
            </w:pPr>
            <w:r>
              <w:rPr>
                <w:rFonts w:ascii="Arial" w:cs="Arial" w:eastAsia="Arial" w:hAnsi="Arial"/>
                <w:sz w:val="16"/>
                <w:szCs w:val="16"/>
                <w:color w:val="auto"/>
              </w:rPr>
              <w:t>(I.R.S. Employer Identification No.)</w:t>
            </w:r>
          </w:p>
        </w:tc>
      </w:tr>
    </w:tbl>
    <w:p>
      <w:pPr>
        <w:spacing w:after="0" w:line="316"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10 Woodfin Street, Asheville, North Carolina 28801</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(828) 259-3939</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23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None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4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10" w:type="dxa"/>
        <w:tblCellMar>
          <w:top w:w="0" w:type="dxa"/>
          <w:left w:w="0" w:type="dxa"/>
          <w:bottom w:w="0" w:type="dxa"/>
          <w:right w:w="0" w:type="dxa"/>
        </w:tblCellMar>
      </w:tblPr>
      <w:tr>
        <w:trPr>
          <w:trHeight w:val="226"/>
        </w:trPr>
        <w:tc>
          <w:tcPr>
            <w:tcW w:w="37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Title of each class</w:t>
            </w:r>
          </w:p>
        </w:tc>
        <w:tc>
          <w:tcPr>
            <w:tcW w:w="21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Trading Symbol(s)</w:t>
            </w:r>
          </w:p>
        </w:tc>
        <w:tc>
          <w:tcPr>
            <w:tcW w:w="53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370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6"/>
                <w:szCs w:val="16"/>
                <w:b w:val="1"/>
                <w:bCs w:val="1"/>
                <w:color w:val="auto"/>
              </w:rPr>
              <w:t>Common Stock, par value $.01 per share</w:t>
            </w:r>
          </w:p>
        </w:tc>
        <w:tc>
          <w:tcPr>
            <w:tcW w:w="21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b w:val="1"/>
                <w:bCs w:val="1"/>
                <w:color w:val="auto"/>
              </w:rPr>
              <w:t>HTBI</w:t>
            </w:r>
          </w:p>
        </w:tc>
        <w:tc>
          <w:tcPr>
            <w:tcW w:w="53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328"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(1) has filed all reports required to be filed by Section 13 and 15(d) of the Exchange Act during the preceding 12 months (or</w:t>
      </w:r>
    </w:p>
    <w:p>
      <w:pPr>
        <w:spacing w:after="0" w:line="25" w:lineRule="exact"/>
        <w:rPr>
          <w:sz w:val="24"/>
          <w:szCs w:val="24"/>
          <w:color w:val="auto"/>
        </w:rPr>
      </w:pPr>
    </w:p>
    <w:p>
      <w:pPr>
        <w:spacing w:after="0" w:line="184" w:lineRule="exact"/>
        <w:tabs>
          <w:tab w:leader="none" w:pos="9920" w:val="left"/>
        </w:tabs>
        <w:rPr>
          <w:sz w:val="20"/>
          <w:szCs w:val="20"/>
          <w:color w:val="auto"/>
        </w:rPr>
      </w:pPr>
      <w:r>
        <w:rPr>
          <w:rFonts w:ascii="Arial" w:cs="Arial" w:eastAsia="Arial" w:hAnsi="Arial"/>
          <w:sz w:val="16"/>
          <w:szCs w:val="16"/>
          <w:color w:val="auto"/>
        </w:rPr>
        <w:t>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0" w:lineRule="exact"/>
        <w:rPr>
          <w:sz w:val="24"/>
          <w:szCs w:val="24"/>
          <w:color w:val="auto"/>
        </w:rPr>
      </w:pPr>
    </w:p>
    <w:p>
      <w:pPr>
        <w:jc w:val="both"/>
        <w:ind w:right="2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88"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4780" w:type="dxa"/>
            <w:vAlign w:val="bottom"/>
          </w:tcPr>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tc>
        <w:tc>
          <w:tcPr>
            <w:tcW w:w="5080" w:type="dxa"/>
            <w:vAlign w:val="bottom"/>
          </w:tcPr>
          <w:p>
            <w:pPr>
              <w:ind w:left="280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780" w:type="dxa"/>
            <w:vAlign w:val="bottom"/>
          </w:tcPr>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tc>
        <w:tc>
          <w:tcPr>
            <w:tcW w:w="5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9860" w:type="dxa"/>
            <w:vAlign w:val="bottom"/>
            <w:gridSpan w:val="2"/>
          </w:tcPr>
          <w:p>
            <w:pPr>
              <w:ind w:left="1020"/>
              <w:spacing w:after="0"/>
              <w:rPr>
                <w:sz w:val="20"/>
                <w:szCs w:val="20"/>
                <w:color w:val="auto"/>
              </w:rPr>
            </w:pPr>
            <w:r>
              <w:rPr>
                <w:rFonts w:ascii="Arial" w:cs="Arial" w:eastAsia="Arial" w:hAnsi="Arial"/>
                <w:sz w:val="16"/>
                <w:szCs w:val="16"/>
                <w:color w:val="auto"/>
                <w:w w:val="97"/>
              </w:rPr>
              <w:t>If an emerging growth company, indicate by check mark if the registrant has elected not to use the extended transition period for</w:t>
            </w:r>
          </w:p>
        </w:tc>
        <w:tc>
          <w:tcPr>
            <w:tcW w:w="320" w:type="dxa"/>
            <w:vAlign w:val="bottom"/>
            <w:vMerge w:val="restart"/>
          </w:tcPr>
          <w:p>
            <w:pPr>
              <w:ind w:left="18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24"/>
        </w:trPr>
        <w:tc>
          <w:tcPr>
            <w:tcW w:w="9860" w:type="dxa"/>
            <w:vAlign w:val="bottom"/>
            <w:gridSpan w:val="2"/>
          </w:tcPr>
          <w:p>
            <w:pPr>
              <w:ind w:left="1020"/>
              <w:spacing w:after="0"/>
              <w:rPr>
                <w:sz w:val="20"/>
                <w:szCs w:val="20"/>
                <w:color w:val="auto"/>
              </w:rPr>
            </w:pPr>
            <w:r>
              <w:rPr>
                <w:rFonts w:ascii="Arial" w:cs="Arial" w:eastAsia="Arial" w:hAnsi="Arial"/>
                <w:sz w:val="16"/>
                <w:szCs w:val="16"/>
                <w:color w:val="auto"/>
              </w:rPr>
              <w:t>complying with any new or revised financial accounting standards provided pursuant to Section 13(a) of the Exchange Act.</w:t>
            </w:r>
          </w:p>
        </w:tc>
        <w:tc>
          <w:tcPr>
            <w:tcW w:w="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5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65" w:lineRule="exact"/>
        <w:rPr>
          <w:sz w:val="24"/>
          <w:szCs w:val="24"/>
          <w:color w:val="auto"/>
        </w:rPr>
      </w:pPr>
    </w:p>
    <w:p>
      <w:pPr>
        <w:spacing w:after="0"/>
        <w:rPr>
          <w:sz w:val="20"/>
          <w:szCs w:val="20"/>
          <w:color w:val="auto"/>
        </w:rPr>
      </w:pPr>
      <w:r>
        <w:rPr>
          <w:rFonts w:ascii="Arial" w:cs="Arial" w:eastAsia="Arial" w:hAnsi="Arial"/>
          <w:sz w:val="16"/>
          <w:szCs w:val="16"/>
          <w:color w:val="auto"/>
        </w:rPr>
        <w:t>There were 15,720,503 shares of common stock, par value of $.01 per share, issued and outstanding as of May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579755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35"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HOMETRUST BANCSHARES,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10-Q</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gridSpan w:val="3"/>
          </w:tcPr>
          <w:p>
            <w:pPr>
              <w:jc w:val="right"/>
              <w:ind w:right="144"/>
              <w:spacing w:after="0"/>
              <w:rPr>
                <w:sz w:val="20"/>
                <w:szCs w:val="20"/>
                <w:color w:val="auto"/>
              </w:rPr>
            </w:pPr>
            <w:r>
              <w:rPr>
                <w:rFonts w:ascii="Arial" w:cs="Arial" w:eastAsia="Arial" w:hAnsi="Arial"/>
                <w:sz w:val="16"/>
                <w:szCs w:val="16"/>
                <w:color w:val="auto"/>
              </w:rPr>
              <w:t>Page</w:t>
            </w:r>
          </w:p>
        </w:tc>
      </w:tr>
      <w:tr>
        <w:trPr>
          <w:trHeight w:val="206"/>
        </w:trPr>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gridSpan w:val="3"/>
          </w:tcPr>
          <w:p>
            <w:pPr>
              <w:jc w:val="right"/>
              <w:ind w:right="44"/>
              <w:spacing w:after="0"/>
              <w:rPr>
                <w:sz w:val="20"/>
                <w:szCs w:val="20"/>
                <w:color w:val="auto"/>
              </w:rPr>
            </w:pPr>
            <w:r>
              <w:rPr>
                <w:rFonts w:ascii="Arial" w:cs="Arial" w:eastAsia="Arial" w:hAnsi="Arial"/>
                <w:sz w:val="16"/>
                <w:szCs w:val="16"/>
                <w:color w:val="auto"/>
              </w:rPr>
              <w:t>Number</w:t>
            </w:r>
          </w:p>
        </w:tc>
      </w:tr>
      <w:tr>
        <w:trPr>
          <w:trHeight w:val="235"/>
        </w:trPr>
        <w:tc>
          <w:tcPr>
            <w:tcW w:w="10320" w:type="dxa"/>
            <w:vAlign w:val="bottom"/>
            <w:gridSpan w:val="22"/>
          </w:tcPr>
          <w:p>
            <w:pPr>
              <w:spacing w:after="0"/>
              <w:rPr>
                <w:rFonts w:ascii="Arial" w:cs="Arial" w:eastAsia="Arial" w:hAnsi="Arial"/>
                <w:sz w:val="16"/>
                <w:szCs w:val="16"/>
                <w:b w:val="1"/>
                <w:bCs w:val="1"/>
                <w:color w:val="0000FF"/>
              </w:rPr>
            </w:pPr>
            <w:hyperlink w:anchor="page3">
              <w:r>
                <w:rPr>
                  <w:rFonts w:ascii="Arial" w:cs="Arial" w:eastAsia="Arial" w:hAnsi="Arial"/>
                  <w:sz w:val="16"/>
                  <w:szCs w:val="16"/>
                  <w:b w:val="1"/>
                  <w:bCs w:val="1"/>
                  <w:color w:val="0000FF"/>
                </w:rPr>
                <w:t>PART I FINANCIAL INFORMATION</w:t>
              </w:r>
            </w:hyperlink>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04"/>
        </w:trPr>
        <w:tc>
          <w:tcPr>
            <w:tcW w:w="1040" w:type="dxa"/>
            <w:vAlign w:val="bottom"/>
            <w:tcBorders>
              <w:top w:val="single" w:sz="8" w:color="0000FF"/>
            </w:tcBorders>
            <w:gridSpan w:val="2"/>
          </w:tcPr>
          <w:p>
            <w:pPr>
              <w:spacing w:after="0"/>
              <w:rPr>
                <w:sz w:val="20"/>
                <w:szCs w:val="20"/>
                <w:color w:val="auto"/>
              </w:rPr>
            </w:pPr>
            <w:r>
              <w:rPr>
                <w:rFonts w:ascii="Arial" w:cs="Arial" w:eastAsia="Arial" w:hAnsi="Arial"/>
                <w:sz w:val="16"/>
                <w:szCs w:val="16"/>
                <w:color w:val="auto"/>
              </w:rPr>
              <w:t>Item 1.</w:t>
            </w:r>
          </w:p>
        </w:tc>
        <w:tc>
          <w:tcPr>
            <w:tcW w:w="1680" w:type="dxa"/>
            <w:vAlign w:val="bottom"/>
            <w:tcBorders>
              <w:top w:val="single" w:sz="8" w:color="0000FF"/>
            </w:tcBorders>
            <w:gridSpan w:val="9"/>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Financial Statements</w:t>
              </w:r>
            </w:hyperlink>
          </w:p>
        </w:tc>
        <w:tc>
          <w:tcPr>
            <w:tcW w:w="7600" w:type="dxa"/>
            <w:vAlign w:val="bottom"/>
            <w:gridSpan w:val="11"/>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60" w:type="dxa"/>
            <w:vAlign w:val="bottom"/>
            <w:tcBorders>
              <w:bottom w:val="single" w:sz="8" w:color="0000FF"/>
            </w:tcBorders>
            <w:gridSpan w:val="13"/>
          </w:tcPr>
          <w:p>
            <w:pPr>
              <w:spacing w:after="0"/>
              <w:rPr>
                <w:rFonts w:ascii="Arial" w:cs="Arial" w:eastAsia="Arial" w:hAnsi="Arial"/>
                <w:sz w:val="16"/>
                <w:szCs w:val="16"/>
                <w:color w:val="0000FF"/>
                <w:w w:val="90"/>
              </w:rPr>
            </w:pPr>
            <w:hyperlink w:anchor="page4">
              <w:r>
                <w:rPr>
                  <w:rFonts w:ascii="Arial" w:cs="Arial" w:eastAsia="Arial" w:hAnsi="Arial"/>
                  <w:sz w:val="16"/>
                  <w:szCs w:val="16"/>
                  <w:color w:val="0000FF"/>
                  <w:w w:val="90"/>
                </w:rPr>
                <w:t>Consolidated Balance Sheets (Unaudited) at March 31, 2022 and June 30, 2021</w:t>
              </w:r>
            </w:hyperlink>
          </w:p>
        </w:tc>
        <w:tc>
          <w:tcPr>
            <w:tcW w:w="4040" w:type="dxa"/>
            <w:vAlign w:val="bottom"/>
            <w:gridSpan w:val="6"/>
          </w:tcPr>
          <w:p>
            <w:pPr>
              <w:spacing w:after="0"/>
              <w:rPr>
                <w:sz w:val="24"/>
                <w:szCs w:val="24"/>
                <w:color w:val="auto"/>
              </w:rPr>
            </w:pPr>
          </w:p>
        </w:tc>
        <w:tc>
          <w:tcPr>
            <w:tcW w:w="80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3</w:t>
              </w:r>
            </w:hyperlink>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60" w:type="dxa"/>
            <w:vAlign w:val="bottom"/>
            <w:tcBorders>
              <w:bottom w:val="single" w:sz="8" w:color="0000FF"/>
            </w:tcBorders>
            <w:gridSpan w:val="16"/>
          </w:tcPr>
          <w:p>
            <w:pPr>
              <w:spacing w:after="0"/>
              <w:rPr>
                <w:rFonts w:ascii="Arial" w:cs="Arial" w:eastAsia="Arial" w:hAnsi="Arial"/>
                <w:sz w:val="16"/>
                <w:szCs w:val="16"/>
                <w:color w:val="0000FF"/>
                <w:w w:val="91"/>
              </w:rPr>
            </w:pPr>
            <w:hyperlink w:anchor="page4">
              <w:r>
                <w:rPr>
                  <w:rFonts w:ascii="Arial" w:cs="Arial" w:eastAsia="Arial" w:hAnsi="Arial"/>
                  <w:sz w:val="16"/>
                  <w:szCs w:val="16"/>
                  <w:color w:val="0000FF"/>
                  <w:w w:val="91"/>
                </w:rPr>
                <w:t>Consolidated Statements of Income (Unaudited) for the Three and Nine Months Ended March 31, 2022 and 2021</w:t>
              </w:r>
            </w:hyperlink>
          </w:p>
        </w:tc>
        <w:tc>
          <w:tcPr>
            <w:tcW w:w="1840" w:type="dxa"/>
            <w:vAlign w:val="bottom"/>
            <w:gridSpan w:val="3"/>
          </w:tcPr>
          <w:p>
            <w:pPr>
              <w:spacing w:after="0"/>
              <w:rPr>
                <w:sz w:val="24"/>
                <w:szCs w:val="24"/>
                <w:color w:val="auto"/>
              </w:rPr>
            </w:pPr>
          </w:p>
        </w:tc>
        <w:tc>
          <w:tcPr>
            <w:tcW w:w="80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20" w:type="dxa"/>
            <w:vAlign w:val="bottom"/>
            <w:tcBorders>
              <w:bottom w:val="single" w:sz="8" w:color="0000FF"/>
            </w:tcBorders>
            <w:gridSpan w:val="17"/>
          </w:tcPr>
          <w:p>
            <w:pPr>
              <w:spacing w:after="0"/>
              <w:rPr>
                <w:rFonts w:ascii="Arial" w:cs="Arial" w:eastAsia="Arial" w:hAnsi="Arial"/>
                <w:sz w:val="16"/>
                <w:szCs w:val="16"/>
                <w:color w:val="0000FF"/>
                <w:w w:val="91"/>
              </w:rPr>
            </w:pPr>
            <w:hyperlink w:anchor="page5">
              <w:r>
                <w:rPr>
                  <w:rFonts w:ascii="Arial" w:cs="Arial" w:eastAsia="Arial" w:hAnsi="Arial"/>
                  <w:sz w:val="16"/>
                  <w:szCs w:val="16"/>
                  <w:color w:val="0000FF"/>
                  <w:w w:val="91"/>
                </w:rPr>
                <w:t xml:space="preserve">Consolidated Statements of Comprehensive Income (Unaudited) for the </w:t>
              </w:r>
            </w:hyperlink>
            <w:hyperlink w:anchor="page4">
              <w:r>
                <w:rPr>
                  <w:rFonts w:ascii="Arial" w:cs="Arial" w:eastAsia="Arial" w:hAnsi="Arial"/>
                  <w:sz w:val="16"/>
                  <w:szCs w:val="16"/>
                  <w:color w:val="0000FF"/>
                  <w:w w:val="91"/>
                </w:rPr>
                <w:t>Three and Nine Months Ended March 31, 2022 and 2021</w:t>
              </w:r>
            </w:hyperlink>
          </w:p>
        </w:tc>
        <w:tc>
          <w:tcPr>
            <w:tcW w:w="780" w:type="dxa"/>
            <w:vAlign w:val="bottom"/>
            <w:gridSpan w:val="2"/>
          </w:tcPr>
          <w:p>
            <w:pPr>
              <w:spacing w:after="0"/>
              <w:rPr>
                <w:sz w:val="24"/>
                <w:szCs w:val="24"/>
                <w:color w:val="auto"/>
              </w:rPr>
            </w:pPr>
          </w:p>
        </w:tc>
        <w:tc>
          <w:tcPr>
            <w:tcW w:w="80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980" w:type="dxa"/>
            <w:vAlign w:val="bottom"/>
            <w:tcBorders>
              <w:bottom w:val="single" w:sz="8" w:color="0000FF"/>
            </w:tcBorders>
            <w:gridSpan w:val="18"/>
          </w:tcPr>
          <w:p>
            <w:pPr>
              <w:spacing w:after="0"/>
              <w:rPr>
                <w:rFonts w:ascii="Arial" w:cs="Arial" w:eastAsia="Arial" w:hAnsi="Arial"/>
                <w:sz w:val="16"/>
                <w:szCs w:val="16"/>
                <w:color w:val="0000FF"/>
                <w:w w:val="91"/>
              </w:rPr>
            </w:pPr>
            <w:hyperlink w:anchor="page6">
              <w:r>
                <w:rPr>
                  <w:rFonts w:ascii="Arial" w:cs="Arial" w:eastAsia="Arial" w:hAnsi="Arial"/>
                  <w:sz w:val="16"/>
                  <w:szCs w:val="16"/>
                  <w:color w:val="0000FF"/>
                  <w:w w:val="91"/>
                </w:rPr>
                <w:t xml:space="preserve">Consolidated Statements of Changes in Stockholders' Equity (Unaudited) for the </w:t>
              </w:r>
            </w:hyperlink>
            <w:hyperlink w:anchor="page4">
              <w:r>
                <w:rPr>
                  <w:rFonts w:ascii="Arial" w:cs="Arial" w:eastAsia="Arial" w:hAnsi="Arial"/>
                  <w:sz w:val="16"/>
                  <w:szCs w:val="16"/>
                  <w:color w:val="0000FF"/>
                  <w:w w:val="91"/>
                </w:rPr>
                <w:t>Three and Nine Months Ended March 31, 2022 and 2021</w:t>
              </w:r>
            </w:hyperlink>
          </w:p>
        </w:tc>
        <w:tc>
          <w:tcPr>
            <w:tcW w:w="220" w:type="dxa"/>
            <w:vAlign w:val="bottom"/>
          </w:tcPr>
          <w:p>
            <w:pPr>
              <w:spacing w:after="0"/>
              <w:rPr>
                <w:sz w:val="24"/>
                <w:szCs w:val="24"/>
                <w:color w:val="auto"/>
              </w:rPr>
            </w:pPr>
          </w:p>
        </w:tc>
        <w:tc>
          <w:tcPr>
            <w:tcW w:w="80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6</w:t>
              </w:r>
            </w:hyperlink>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940" w:type="dxa"/>
            <w:vAlign w:val="bottom"/>
            <w:tcBorders>
              <w:bottom w:val="single" w:sz="8" w:color="0000FF"/>
            </w:tcBorders>
            <w:gridSpan w:val="15"/>
          </w:tcPr>
          <w:p>
            <w:pPr>
              <w:spacing w:after="0"/>
              <w:rPr>
                <w:rFonts w:ascii="Arial" w:cs="Arial" w:eastAsia="Arial" w:hAnsi="Arial"/>
                <w:sz w:val="16"/>
                <w:szCs w:val="16"/>
                <w:color w:val="0000FF"/>
                <w:w w:val="91"/>
              </w:rPr>
            </w:pPr>
            <w:hyperlink w:anchor="page8">
              <w:r>
                <w:rPr>
                  <w:rFonts w:ascii="Arial" w:cs="Arial" w:eastAsia="Arial" w:hAnsi="Arial"/>
                  <w:sz w:val="16"/>
                  <w:szCs w:val="16"/>
                  <w:color w:val="0000FF"/>
                  <w:w w:val="91"/>
                </w:rPr>
                <w:t>Consolidated Statements of Cash Flows (Unaudited) for the Nine Months Ended March 31, 2022 and 2021</w:t>
              </w:r>
            </w:hyperlink>
          </w:p>
        </w:tc>
        <w:tc>
          <w:tcPr>
            <w:tcW w:w="2260" w:type="dxa"/>
            <w:vAlign w:val="bottom"/>
            <w:gridSpan w:val="4"/>
          </w:tcPr>
          <w:p>
            <w:pPr>
              <w:spacing w:after="0"/>
              <w:rPr>
                <w:sz w:val="24"/>
                <w:szCs w:val="24"/>
                <w:color w:val="auto"/>
              </w:rPr>
            </w:pPr>
          </w:p>
        </w:tc>
        <w:tc>
          <w:tcPr>
            <w:tcW w:w="800" w:type="dxa"/>
            <w:vAlign w:val="bottom"/>
            <w:gridSpan w:val="2"/>
          </w:tcPr>
          <w:p>
            <w:pPr>
              <w:spacing w:after="0"/>
              <w:rPr>
                <w:sz w:val="24"/>
                <w:szCs w:val="24"/>
                <w:color w:val="auto"/>
              </w:rPr>
            </w:pPr>
          </w:p>
        </w:tc>
        <w:tc>
          <w:tcPr>
            <w:tcW w:w="80" w:type="dxa"/>
            <w:vAlign w:val="bottom"/>
            <w:tcBorders>
              <w:bottom w:val="single" w:sz="8" w:color="0000FF"/>
            </w:tcBorders>
          </w:tcPr>
          <w:p>
            <w:pPr>
              <w:jc w:val="right"/>
              <w:spacing w:after="0"/>
              <w:rPr>
                <w:rFonts w:ascii="Arial" w:cs="Arial" w:eastAsia="Arial" w:hAnsi="Arial"/>
                <w:sz w:val="15"/>
                <w:szCs w:val="15"/>
                <w:color w:val="0000FF"/>
                <w:w w:val="71"/>
              </w:rPr>
            </w:pPr>
            <w:hyperlink w:anchor="page8">
              <w:r>
                <w:rPr>
                  <w:rFonts w:ascii="Arial" w:cs="Arial" w:eastAsia="Arial" w:hAnsi="Arial"/>
                  <w:sz w:val="15"/>
                  <w:szCs w:val="15"/>
                  <w:color w:val="0000FF"/>
                  <w:w w:val="71"/>
                </w:rPr>
                <w:t>8</w:t>
              </w:r>
            </w:hyperlink>
          </w:p>
        </w:tc>
      </w:tr>
      <w:tr>
        <w:trPr>
          <w:trHeight w:val="466"/>
        </w:trPr>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0" w:type="dxa"/>
            <w:vAlign w:val="bottom"/>
            <w:gridSpan w:val="19"/>
          </w:tcPr>
          <w:p>
            <w:pPr>
              <w:spacing w:after="0"/>
              <w:rPr>
                <w:rFonts w:ascii="Arial" w:cs="Arial" w:eastAsia="Arial" w:hAnsi="Arial"/>
                <w:sz w:val="16"/>
                <w:szCs w:val="16"/>
                <w:color w:val="0000FF"/>
              </w:rPr>
            </w:pPr>
            <w:hyperlink w:anchor="page10">
              <w:r>
                <w:rPr>
                  <w:rFonts w:ascii="Arial" w:cs="Arial" w:eastAsia="Arial" w:hAnsi="Arial"/>
                  <w:sz w:val="16"/>
                  <w:szCs w:val="16"/>
                  <w:color w:val="0000FF"/>
                </w:rPr>
                <w:t>Notes to Consolidated Financial Statements</w:t>
              </w:r>
            </w:hyperlink>
          </w:p>
        </w:tc>
        <w:tc>
          <w:tcPr>
            <w:tcW w:w="880" w:type="dxa"/>
            <w:vAlign w:val="bottom"/>
            <w:gridSpan w:val="3"/>
          </w:tcPr>
          <w:p>
            <w:pPr>
              <w:jc w:val="right"/>
              <w:spacing w:after="0"/>
              <w:rPr>
                <w:rFonts w:ascii="Arial" w:cs="Arial" w:eastAsia="Arial" w:hAnsi="Arial"/>
                <w:sz w:val="16"/>
                <w:szCs w:val="16"/>
                <w:color w:val="0000FF"/>
              </w:rPr>
            </w:pPr>
            <w:hyperlink w:anchor="page10">
              <w:r>
                <w:rPr>
                  <w:rFonts w:ascii="Arial" w:cs="Arial" w:eastAsia="Arial" w:hAnsi="Arial"/>
                  <w:sz w:val="16"/>
                  <w:szCs w:val="16"/>
                  <w:color w:val="0000FF"/>
                </w:rPr>
                <w:t>10</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500" w:type="dxa"/>
            <w:vAlign w:val="bottom"/>
            <w:gridSpan w:val="5"/>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9280" w:type="dxa"/>
            <w:vAlign w:val="bottom"/>
            <w:gridSpan w:val="20"/>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Management's Discussion and Analysis of Financial Condition and Results of Operations</w:t>
              </w:r>
            </w:hyperlink>
          </w:p>
        </w:tc>
        <w:tc>
          <w:tcPr>
            <w:tcW w:w="880" w:type="dxa"/>
            <w:vAlign w:val="bottom"/>
            <w:gridSpan w:val="3"/>
          </w:tcPr>
          <w:p>
            <w:pPr>
              <w:jc w:val="right"/>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r>
      <w:tr>
        <w:trPr>
          <w:trHeight w:val="466"/>
        </w:trPr>
        <w:tc>
          <w:tcPr>
            <w:tcW w:w="10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880" w:type="dxa"/>
            <w:vAlign w:val="bottom"/>
            <w:tcBorders>
              <w:top w:val="single" w:sz="8" w:color="0000FF"/>
              <w:bottom w:val="single" w:sz="8" w:color="0000FF"/>
            </w:tcBorders>
            <w:gridSpan w:val="12"/>
          </w:tcPr>
          <w:p>
            <w:pPr>
              <w:spacing w:after="0"/>
              <w:rPr>
                <w:rFonts w:ascii="Arial" w:cs="Arial" w:eastAsia="Arial" w:hAnsi="Arial"/>
                <w:sz w:val="16"/>
                <w:szCs w:val="16"/>
                <w:color w:val="0000FF"/>
                <w:w w:val="92"/>
              </w:rPr>
            </w:pPr>
            <w:hyperlink w:anchor="page48">
              <w:r>
                <w:rPr>
                  <w:rFonts w:ascii="Arial" w:cs="Arial" w:eastAsia="Arial" w:hAnsi="Arial"/>
                  <w:sz w:val="16"/>
                  <w:szCs w:val="16"/>
                  <w:color w:val="0000FF"/>
                  <w:w w:val="92"/>
                </w:rPr>
                <w:t>Quantitative and Qualitative Disclosures about Market Risk</w:t>
              </w:r>
            </w:hyperlink>
          </w:p>
        </w:tc>
        <w:tc>
          <w:tcPr>
            <w:tcW w:w="1900" w:type="dxa"/>
            <w:vAlign w:val="bottom"/>
            <w:tcBorders>
              <w:top w:val="single" w:sz="8" w:color="0000FF"/>
            </w:tcBorders>
            <w:gridSpan w:val="3"/>
          </w:tcPr>
          <w:p>
            <w:pPr>
              <w:spacing w:after="0"/>
              <w:rPr>
                <w:sz w:val="24"/>
                <w:szCs w:val="24"/>
                <w:color w:val="auto"/>
              </w:rPr>
            </w:pPr>
          </w:p>
        </w:tc>
        <w:tc>
          <w:tcPr>
            <w:tcW w:w="3500" w:type="dxa"/>
            <w:vAlign w:val="bottom"/>
            <w:gridSpan w:val="5"/>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48">
              <w:r>
                <w:rPr>
                  <w:rFonts w:ascii="Arial" w:cs="Arial" w:eastAsia="Arial" w:hAnsi="Arial"/>
                  <w:sz w:val="16"/>
                  <w:szCs w:val="16"/>
                  <w:color w:val="0000FF"/>
                  <w:w w:val="78"/>
                </w:rPr>
                <w:t>47</w:t>
              </w:r>
            </w:hyperlink>
          </w:p>
        </w:tc>
      </w:tr>
      <w:tr>
        <w:trPr>
          <w:trHeight w:val="466"/>
        </w:trPr>
        <w:tc>
          <w:tcPr>
            <w:tcW w:w="10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9280" w:type="dxa"/>
            <w:vAlign w:val="bottom"/>
            <w:gridSpan w:val="20"/>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Controls and Procedures</w:t>
              </w:r>
            </w:hyperlink>
          </w:p>
        </w:tc>
        <w:tc>
          <w:tcPr>
            <w:tcW w:w="880" w:type="dxa"/>
            <w:vAlign w:val="bottom"/>
            <w:gridSpan w:val="3"/>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520"/>
        </w:trPr>
        <w:tc>
          <w:tcPr>
            <w:tcW w:w="2460" w:type="dxa"/>
            <w:vAlign w:val="bottom"/>
            <w:tcBorders>
              <w:bottom w:val="single" w:sz="8" w:color="0000FF"/>
            </w:tcBorders>
            <w:gridSpan w:val="9"/>
          </w:tcPr>
          <w:p>
            <w:pPr>
              <w:spacing w:after="0"/>
              <w:rPr>
                <w:rFonts w:ascii="Arial" w:cs="Arial" w:eastAsia="Arial" w:hAnsi="Arial"/>
                <w:sz w:val="16"/>
                <w:szCs w:val="16"/>
                <w:b w:val="1"/>
                <w:bCs w:val="1"/>
                <w:color w:val="0000FF"/>
              </w:rPr>
            </w:pPr>
            <w:hyperlink w:anchor="page48">
              <w:r>
                <w:rPr>
                  <w:rFonts w:ascii="Arial" w:cs="Arial" w:eastAsia="Arial" w:hAnsi="Arial"/>
                  <w:sz w:val="16"/>
                  <w:szCs w:val="16"/>
                  <w:b w:val="1"/>
                  <w:bCs w:val="1"/>
                  <w:color w:val="0000FF"/>
                </w:rPr>
                <w:t>PART II OTHER INFORMATION</w:t>
              </w:r>
            </w:hyperlink>
          </w:p>
        </w:tc>
        <w:tc>
          <w:tcPr>
            <w:tcW w:w="7860" w:type="dxa"/>
            <w:vAlign w:val="bottom"/>
            <w:gridSpan w:val="13"/>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104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200" w:type="dxa"/>
            <w:vAlign w:val="bottom"/>
            <w:tcBorders>
              <w:bottom w:val="single" w:sz="8" w:color="0000FF"/>
            </w:tcBorders>
            <w:gridSpan w:val="5"/>
          </w:tcPr>
          <w:p>
            <w:pPr>
              <w:spacing w:after="0"/>
              <w:rPr>
                <w:rFonts w:ascii="Arial" w:cs="Arial" w:eastAsia="Arial" w:hAnsi="Arial"/>
                <w:sz w:val="16"/>
                <w:szCs w:val="16"/>
                <w:color w:val="0000FF"/>
                <w:w w:val="89"/>
              </w:rPr>
            </w:pPr>
            <w:hyperlink w:anchor="page48">
              <w:r>
                <w:rPr>
                  <w:rFonts w:ascii="Arial" w:cs="Arial" w:eastAsia="Arial" w:hAnsi="Arial"/>
                  <w:sz w:val="16"/>
                  <w:szCs w:val="16"/>
                  <w:color w:val="0000FF"/>
                  <w:w w:val="89"/>
                </w:rPr>
                <w:t>Legal Proceedings</w:t>
              </w:r>
            </w:hyperlink>
          </w:p>
        </w:tc>
        <w:tc>
          <w:tcPr>
            <w:tcW w:w="8080" w:type="dxa"/>
            <w:vAlign w:val="bottom"/>
            <w:gridSpan w:val="15"/>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8">
              <w:r>
                <w:rPr>
                  <w:rFonts w:ascii="Arial" w:cs="Arial" w:eastAsia="Arial" w:hAnsi="Arial"/>
                  <w:sz w:val="16"/>
                  <w:szCs w:val="16"/>
                  <w:color w:val="0000FF"/>
                  <w:w w:val="78"/>
                </w:rPr>
                <w:t>47</w:t>
              </w:r>
            </w:hyperlink>
          </w:p>
        </w:tc>
      </w:tr>
      <w:tr>
        <w:trPr>
          <w:trHeight w:val="466"/>
        </w:trPr>
        <w:tc>
          <w:tcPr>
            <w:tcW w:w="104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280" w:type="dxa"/>
            <w:vAlign w:val="bottom"/>
            <w:gridSpan w:val="20"/>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Risk Factors</w:t>
              </w:r>
            </w:hyperlink>
          </w:p>
        </w:tc>
        <w:tc>
          <w:tcPr>
            <w:tcW w:w="880" w:type="dxa"/>
            <w:vAlign w:val="bottom"/>
            <w:gridSpan w:val="3"/>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r>
      <w:tr>
        <w:trPr>
          <w:trHeight w:val="20"/>
        </w:trPr>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5380" w:type="dxa"/>
            <w:vAlign w:val="bottom"/>
            <w:gridSpan w:val="7"/>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r>
      <w:tr>
        <w:trPr>
          <w:trHeight w:val="466"/>
        </w:trPr>
        <w:tc>
          <w:tcPr>
            <w:tcW w:w="1040" w:type="dxa"/>
            <w:vAlign w:val="bottom"/>
            <w:gridSpan w:val="2"/>
          </w:tcPr>
          <w:p>
            <w:pPr>
              <w:spacing w:after="0"/>
              <w:rPr>
                <w:sz w:val="20"/>
                <w:szCs w:val="20"/>
                <w:color w:val="auto"/>
              </w:rPr>
            </w:pPr>
            <w:r>
              <w:rPr>
                <w:rFonts w:ascii="Arial" w:cs="Arial" w:eastAsia="Arial" w:hAnsi="Arial"/>
                <w:sz w:val="16"/>
                <w:szCs w:val="16"/>
                <w:color w:val="auto"/>
              </w:rPr>
              <w:t>Item 2.</w:t>
            </w:r>
          </w:p>
        </w:tc>
        <w:tc>
          <w:tcPr>
            <w:tcW w:w="9280" w:type="dxa"/>
            <w:vAlign w:val="bottom"/>
            <w:gridSpan w:val="20"/>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Unregistered Sales of Equity Securities and Use of Proceeds</w:t>
              </w:r>
            </w:hyperlink>
          </w:p>
        </w:tc>
        <w:tc>
          <w:tcPr>
            <w:tcW w:w="880" w:type="dxa"/>
            <w:vAlign w:val="bottom"/>
            <w:gridSpan w:val="3"/>
          </w:tcPr>
          <w:p>
            <w:pPr>
              <w:jc w:val="right"/>
              <w:spacing w:after="0"/>
              <w:rPr>
                <w:rFonts w:ascii="Arial" w:cs="Arial" w:eastAsia="Arial" w:hAnsi="Arial"/>
                <w:sz w:val="16"/>
                <w:szCs w:val="16"/>
                <w:color w:val="0000FF"/>
              </w:rPr>
            </w:pPr>
            <w:hyperlink w:anchor="page48">
              <w:r>
                <w:rPr>
                  <w:rFonts w:ascii="Arial" w:cs="Arial" w:eastAsia="Arial" w:hAnsi="Arial"/>
                  <w:sz w:val="16"/>
                  <w:szCs w:val="16"/>
                  <w:color w:val="0000FF"/>
                </w:rPr>
                <w:t>47</w:t>
              </w:r>
            </w:hyperlink>
          </w:p>
        </w:tc>
      </w:tr>
      <w:tr>
        <w:trPr>
          <w:trHeight w:val="466"/>
        </w:trPr>
        <w:tc>
          <w:tcPr>
            <w:tcW w:w="1040" w:type="dxa"/>
            <w:vAlign w:val="bottom"/>
            <w:gridSpan w:val="2"/>
          </w:tcPr>
          <w:p>
            <w:pPr>
              <w:spacing w:after="0"/>
              <w:rPr>
                <w:sz w:val="20"/>
                <w:szCs w:val="20"/>
                <w:color w:val="auto"/>
              </w:rPr>
            </w:pPr>
            <w:r>
              <w:rPr>
                <w:rFonts w:ascii="Arial" w:cs="Arial" w:eastAsia="Arial" w:hAnsi="Arial"/>
                <w:sz w:val="16"/>
                <w:szCs w:val="16"/>
                <w:color w:val="auto"/>
              </w:rPr>
              <w:t>Item 3.</w:t>
            </w:r>
          </w:p>
        </w:tc>
        <w:tc>
          <w:tcPr>
            <w:tcW w:w="3900" w:type="dxa"/>
            <w:vAlign w:val="bottom"/>
            <w:tcBorders>
              <w:top w:val="single" w:sz="8" w:color="0000FF"/>
            </w:tcBorders>
            <w:gridSpan w:val="13"/>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Defaults Upon Senior Securities</w:t>
              </w:r>
            </w:hyperlink>
          </w:p>
        </w:tc>
        <w:tc>
          <w:tcPr>
            <w:tcW w:w="5380" w:type="dxa"/>
            <w:vAlign w:val="bottom"/>
            <w:gridSpan w:val="7"/>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48</w:t>
              </w:r>
            </w:hyperlink>
          </w:p>
        </w:tc>
      </w:tr>
      <w:tr>
        <w:trPr>
          <w:trHeight w:val="466"/>
        </w:trPr>
        <w:tc>
          <w:tcPr>
            <w:tcW w:w="1040" w:type="dxa"/>
            <w:vAlign w:val="bottom"/>
            <w:gridSpan w:val="2"/>
          </w:tcPr>
          <w:p>
            <w:pPr>
              <w:spacing w:after="0"/>
              <w:rPr>
                <w:sz w:val="20"/>
                <w:szCs w:val="20"/>
                <w:color w:val="auto"/>
              </w:rPr>
            </w:pPr>
            <w:r>
              <w:rPr>
                <w:rFonts w:ascii="Arial" w:cs="Arial" w:eastAsia="Arial" w:hAnsi="Arial"/>
                <w:sz w:val="16"/>
                <w:szCs w:val="16"/>
                <w:color w:val="auto"/>
              </w:rPr>
              <w:t>Item 4.</w:t>
            </w:r>
          </w:p>
        </w:tc>
        <w:tc>
          <w:tcPr>
            <w:tcW w:w="2080" w:type="dxa"/>
            <w:vAlign w:val="bottom"/>
            <w:tcBorders>
              <w:top w:val="single" w:sz="8" w:color="0000FF"/>
            </w:tcBorders>
            <w:gridSpan w:val="10"/>
          </w:tcPr>
          <w:p>
            <w:pPr>
              <w:spacing w:after="0"/>
              <w:rPr>
                <w:rFonts w:ascii="Arial" w:cs="Arial" w:eastAsia="Arial" w:hAnsi="Arial"/>
                <w:sz w:val="16"/>
                <w:szCs w:val="16"/>
                <w:color w:val="0000FF"/>
              </w:rPr>
            </w:pPr>
            <w:hyperlink w:anchor="page49">
              <w:r>
                <w:rPr>
                  <w:rFonts w:ascii="Arial" w:cs="Arial" w:eastAsia="Arial" w:hAnsi="Arial"/>
                  <w:sz w:val="16"/>
                  <w:szCs w:val="16"/>
                  <w:color w:val="0000FF"/>
                </w:rPr>
                <w:t>Mine Safety Disclosures</w:t>
              </w:r>
            </w:hyperlink>
          </w:p>
        </w:tc>
        <w:tc>
          <w:tcPr>
            <w:tcW w:w="7200" w:type="dxa"/>
            <w:vAlign w:val="bottom"/>
            <w:gridSpan w:val="10"/>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top w:val="single" w:sz="8" w:color="0000FF"/>
            </w:tcBorders>
            <w:gridSpan w:val="2"/>
          </w:tcPr>
          <w:p>
            <w:pPr>
              <w:jc w:val="right"/>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48</w:t>
              </w:r>
            </w:hyperlink>
          </w:p>
        </w:tc>
      </w:tr>
      <w:tr>
        <w:trPr>
          <w:trHeight w:val="466"/>
        </w:trPr>
        <w:tc>
          <w:tcPr>
            <w:tcW w:w="1040" w:type="dxa"/>
            <w:vAlign w:val="bottom"/>
            <w:gridSpan w:val="2"/>
          </w:tcPr>
          <w:p>
            <w:pPr>
              <w:spacing w:after="0"/>
              <w:rPr>
                <w:sz w:val="20"/>
                <w:szCs w:val="20"/>
                <w:color w:val="auto"/>
              </w:rPr>
            </w:pPr>
            <w:r>
              <w:rPr>
                <w:rFonts w:ascii="Arial" w:cs="Arial" w:eastAsia="Arial" w:hAnsi="Arial"/>
                <w:sz w:val="16"/>
                <w:szCs w:val="16"/>
                <w:color w:val="auto"/>
              </w:rPr>
              <w:t>Item 5</w:t>
            </w:r>
          </w:p>
        </w:tc>
        <w:tc>
          <w:tcPr>
            <w:tcW w:w="118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3"/>
              </w:rPr>
            </w:pPr>
            <w:hyperlink w:anchor="page49">
              <w:r>
                <w:rPr>
                  <w:rFonts w:ascii="Arial" w:cs="Arial" w:eastAsia="Arial" w:hAnsi="Arial"/>
                  <w:sz w:val="16"/>
                  <w:szCs w:val="16"/>
                  <w:color w:val="0000FF"/>
                  <w:w w:val="93"/>
                </w:rPr>
                <w:t>Other Information</w:t>
              </w:r>
            </w:hyperlink>
          </w:p>
        </w:tc>
        <w:tc>
          <w:tcPr>
            <w:tcW w:w="400" w:type="dxa"/>
            <w:vAlign w:val="bottom"/>
            <w:tcBorders>
              <w:top w:val="single" w:sz="8" w:color="0000FF"/>
            </w:tcBorders>
            <w:gridSpan w:val="4"/>
          </w:tcPr>
          <w:p>
            <w:pPr>
              <w:spacing w:after="0"/>
              <w:rPr>
                <w:sz w:val="24"/>
                <w:szCs w:val="24"/>
                <w:color w:val="auto"/>
              </w:rPr>
            </w:pPr>
          </w:p>
        </w:tc>
        <w:tc>
          <w:tcPr>
            <w:tcW w:w="7700" w:type="dxa"/>
            <w:vAlign w:val="bottom"/>
            <w:gridSpan w:val="12"/>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top w:val="single" w:sz="8" w:color="0000FF"/>
              <w:bottom w:val="single" w:sz="8" w:color="0000FF"/>
            </w:tcBorders>
            <w:gridSpan w:val="2"/>
          </w:tcPr>
          <w:p>
            <w:pPr>
              <w:jc w:val="right"/>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48</w:t>
              </w:r>
            </w:hyperlink>
          </w:p>
        </w:tc>
      </w:tr>
      <w:tr>
        <w:trPr>
          <w:trHeight w:val="466"/>
        </w:trPr>
        <w:tc>
          <w:tcPr>
            <w:tcW w:w="1040" w:type="dxa"/>
            <w:vAlign w:val="bottom"/>
            <w:gridSpan w:val="2"/>
          </w:tcPr>
          <w:p>
            <w:pPr>
              <w:spacing w:after="0"/>
              <w:rPr>
                <w:sz w:val="20"/>
                <w:szCs w:val="20"/>
                <w:color w:val="auto"/>
              </w:rPr>
            </w:pPr>
            <w:r>
              <w:rPr>
                <w:rFonts w:ascii="Arial" w:cs="Arial" w:eastAsia="Arial" w:hAnsi="Arial"/>
                <w:sz w:val="16"/>
                <w:szCs w:val="16"/>
                <w:color w:val="auto"/>
              </w:rPr>
              <w:t>Item 6.</w:t>
            </w:r>
          </w:p>
        </w:tc>
        <w:tc>
          <w:tcPr>
            <w:tcW w:w="540" w:type="dxa"/>
            <w:vAlign w:val="bottom"/>
            <w:tcBorders>
              <w:bottom w:val="single" w:sz="8" w:color="0000FF"/>
            </w:tcBorders>
            <w:gridSpan w:val="2"/>
          </w:tcPr>
          <w:p>
            <w:pPr>
              <w:spacing w:after="0"/>
              <w:rPr>
                <w:rFonts w:ascii="Arial" w:cs="Arial" w:eastAsia="Arial" w:hAnsi="Arial"/>
                <w:sz w:val="16"/>
                <w:szCs w:val="16"/>
                <w:color w:val="0000FF"/>
                <w:w w:val="92"/>
              </w:rPr>
            </w:pPr>
            <w:hyperlink w:anchor="page49">
              <w:r>
                <w:rPr>
                  <w:rFonts w:ascii="Arial" w:cs="Arial" w:eastAsia="Arial" w:hAnsi="Arial"/>
                  <w:sz w:val="16"/>
                  <w:szCs w:val="16"/>
                  <w:color w:val="0000FF"/>
                  <w:w w:val="92"/>
                </w:rPr>
                <w:t>Exhibits</w:t>
              </w:r>
            </w:hyperlink>
          </w:p>
        </w:tc>
        <w:tc>
          <w:tcPr>
            <w:tcW w:w="8740" w:type="dxa"/>
            <w:vAlign w:val="bottom"/>
            <w:gridSpan w:val="18"/>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49">
              <w:r>
                <w:rPr>
                  <w:rFonts w:ascii="Arial" w:cs="Arial" w:eastAsia="Arial" w:hAnsi="Arial"/>
                  <w:sz w:val="16"/>
                  <w:szCs w:val="16"/>
                  <w:color w:val="0000FF"/>
                  <w:w w:val="78"/>
                </w:rPr>
                <w:t>48</w:t>
              </w:r>
            </w:hyperlink>
          </w:p>
        </w:tc>
      </w:tr>
      <w:tr>
        <w:trPr>
          <w:trHeight w:val="466"/>
        </w:trPr>
        <w:tc>
          <w:tcPr>
            <w:tcW w:w="1000" w:type="dxa"/>
            <w:vAlign w:val="bottom"/>
            <w:tcBorders>
              <w:bottom w:val="single" w:sz="8" w:color="0000FF"/>
            </w:tcBorders>
          </w:tcPr>
          <w:p>
            <w:pPr>
              <w:spacing w:after="0"/>
              <w:rPr>
                <w:rFonts w:ascii="Arial" w:cs="Arial" w:eastAsia="Arial" w:hAnsi="Arial"/>
                <w:sz w:val="16"/>
                <w:szCs w:val="16"/>
                <w:color w:val="0000FF"/>
                <w:w w:val="94"/>
              </w:rPr>
            </w:pPr>
            <w:hyperlink w:anchor="page51">
              <w:r>
                <w:rPr>
                  <w:rFonts w:ascii="Arial" w:cs="Arial" w:eastAsia="Arial" w:hAnsi="Arial"/>
                  <w:sz w:val="16"/>
                  <w:szCs w:val="16"/>
                  <w:color w:val="0000FF"/>
                  <w:w w:val="94"/>
                </w:rPr>
                <w:t>SIGNATURES</w:t>
              </w:r>
            </w:hyperlink>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Borders>
              <w:bottom w:val="single" w:sz="8" w:color="0000FF"/>
            </w:tcBorders>
            <w:gridSpan w:val="2"/>
          </w:tcPr>
          <w:p>
            <w:pPr>
              <w:jc w:val="right"/>
              <w:spacing w:after="0"/>
              <w:rPr>
                <w:rFonts w:ascii="Arial" w:cs="Arial" w:eastAsia="Arial" w:hAnsi="Arial"/>
                <w:sz w:val="16"/>
                <w:szCs w:val="16"/>
                <w:color w:val="0000FF"/>
                <w:w w:val="78"/>
              </w:rPr>
            </w:pPr>
            <w:hyperlink w:anchor="page51">
              <w:r>
                <w:rPr>
                  <w:rFonts w:ascii="Arial" w:cs="Arial" w:eastAsia="Arial" w:hAnsi="Arial"/>
                  <w:sz w:val="16"/>
                  <w:szCs w:val="16"/>
                  <w:color w:val="0000FF"/>
                  <w:w w:val="78"/>
                </w:rPr>
                <w:t>50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98" w:right="3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Glossary of Defined Terms</w:t>
      </w:r>
    </w:p>
    <w:p>
      <w:pPr>
        <w:spacing w:after="0" w:line="171" w:lineRule="exact"/>
        <w:rPr>
          <w:sz w:val="20"/>
          <w:szCs w:val="20"/>
          <w:color w:val="auto"/>
        </w:rPr>
      </w:pPr>
    </w:p>
    <w:p>
      <w:pPr>
        <w:ind w:right="560"/>
        <w:spacing w:after="0" w:line="275" w:lineRule="auto"/>
        <w:rPr>
          <w:sz w:val="20"/>
          <w:szCs w:val="20"/>
          <w:color w:val="auto"/>
        </w:rPr>
      </w:pPr>
      <w:r>
        <w:rPr>
          <w:rFonts w:ascii="Arial" w:cs="Arial" w:eastAsia="Arial" w:hAnsi="Arial"/>
          <w:sz w:val="16"/>
          <w:szCs w:val="16"/>
          <w:color w:val="auto"/>
        </w:rPr>
        <w:t>The following items may be used throughout this Form 10-Q, including the Notes to Consolidated Financial Statements in Item 1 and Management's Discussion and Analysis of Financial Condition and Results of Operations in Item 2 of this Form 10-Q.</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Term</w:t>
            </w:r>
          </w:p>
        </w:tc>
        <w:tc>
          <w:tcPr>
            <w:tcW w:w="200" w:type="dxa"/>
            <w:vAlign w:val="bottom"/>
            <w:tcBorders>
              <w:bottom w:val="single" w:sz="8" w:color="CCEEFF"/>
            </w:tcBorders>
          </w:tcPr>
          <w:p>
            <w:pPr>
              <w:spacing w:after="0"/>
              <w:rPr>
                <w:sz w:val="18"/>
                <w:szCs w:val="18"/>
                <w:color w:val="auto"/>
              </w:rPr>
            </w:pPr>
          </w:p>
        </w:tc>
        <w:tc>
          <w:tcPr>
            <w:tcW w:w="8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Definition</w:t>
            </w:r>
          </w:p>
        </w:tc>
        <w:tc>
          <w:tcPr>
            <w:tcW w:w="0" w:type="dxa"/>
            <w:vAlign w:val="bottom"/>
          </w:tcPr>
          <w:p>
            <w:pPr>
              <w:spacing w:after="0"/>
              <w:rPr>
                <w:sz w:val="1"/>
                <w:szCs w:val="1"/>
                <w:color w:val="auto"/>
              </w:rPr>
            </w:pPr>
          </w:p>
        </w:tc>
      </w:tr>
      <w:tr>
        <w:trPr>
          <w:trHeight w:val="212"/>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ACL</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Allowance for Credit Losses</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AFS</w:t>
            </w:r>
          </w:p>
        </w:tc>
        <w:tc>
          <w:tcPr>
            <w:tcW w:w="8860" w:type="dxa"/>
            <w:vAlign w:val="bottom"/>
          </w:tcPr>
          <w:p>
            <w:pPr>
              <w:ind w:left="20"/>
              <w:spacing w:after="0"/>
              <w:rPr>
                <w:sz w:val="20"/>
                <w:szCs w:val="20"/>
                <w:color w:val="auto"/>
              </w:rPr>
            </w:pPr>
            <w:r>
              <w:rPr>
                <w:rFonts w:ascii="Arial" w:cs="Arial" w:eastAsia="Arial" w:hAnsi="Arial"/>
                <w:sz w:val="16"/>
                <w:szCs w:val="16"/>
                <w:color w:val="auto"/>
              </w:rPr>
              <w:t>Available-For-Sale</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ASC</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Accounting Standards Codification</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ASU</w:t>
            </w:r>
          </w:p>
        </w:tc>
        <w:tc>
          <w:tcPr>
            <w:tcW w:w="8860" w:type="dxa"/>
            <w:vAlign w:val="bottom"/>
          </w:tcPr>
          <w:p>
            <w:pPr>
              <w:ind w:left="20"/>
              <w:spacing w:after="0"/>
              <w:rPr>
                <w:sz w:val="20"/>
                <w:szCs w:val="20"/>
                <w:color w:val="auto"/>
              </w:rPr>
            </w:pPr>
            <w:r>
              <w:rPr>
                <w:rFonts w:ascii="Arial" w:cs="Arial" w:eastAsia="Arial" w:hAnsi="Arial"/>
                <w:sz w:val="16"/>
                <w:szCs w:val="16"/>
                <w:color w:val="auto"/>
              </w:rPr>
              <w:t>Accounting Standards Update</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BOLI</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Bank Owned Life Insurance</w:t>
            </w:r>
          </w:p>
        </w:tc>
        <w:tc>
          <w:tcPr>
            <w:tcW w:w="0" w:type="dxa"/>
            <w:vAlign w:val="bottom"/>
          </w:tcPr>
          <w:p>
            <w:pPr>
              <w:spacing w:after="0"/>
              <w:rPr>
                <w:sz w:val="1"/>
                <w:szCs w:val="1"/>
                <w:color w:val="auto"/>
              </w:rPr>
            </w:pPr>
          </w:p>
        </w:tc>
      </w:tr>
      <w:tr>
        <w:trPr>
          <w:trHeight w:val="210"/>
        </w:trPr>
        <w:tc>
          <w:tcPr>
            <w:tcW w:w="2380" w:type="dxa"/>
            <w:vAlign w:val="bottom"/>
            <w:gridSpan w:val="2"/>
            <w:vMerge w:val="restart"/>
          </w:tcPr>
          <w:p>
            <w:pPr>
              <w:ind w:left="20"/>
              <w:spacing w:after="0"/>
              <w:rPr>
                <w:sz w:val="20"/>
                <w:szCs w:val="20"/>
                <w:color w:val="auto"/>
              </w:rPr>
            </w:pPr>
            <w:r>
              <w:rPr>
                <w:rFonts w:ascii="Arial" w:cs="Arial" w:eastAsia="Arial" w:hAnsi="Arial"/>
                <w:sz w:val="16"/>
                <w:szCs w:val="16"/>
                <w:color w:val="auto"/>
              </w:rPr>
              <w:t>CARES Act</w:t>
            </w:r>
          </w:p>
        </w:tc>
        <w:tc>
          <w:tcPr>
            <w:tcW w:w="8860" w:type="dxa"/>
            <w:vAlign w:val="bottom"/>
          </w:tcPr>
          <w:p>
            <w:pPr>
              <w:ind w:left="20"/>
              <w:spacing w:after="0"/>
              <w:rPr>
                <w:sz w:val="20"/>
                <w:szCs w:val="20"/>
                <w:color w:val="auto"/>
              </w:rPr>
            </w:pPr>
            <w:r>
              <w:rPr>
                <w:rFonts w:ascii="Arial" w:cs="Arial" w:eastAsia="Arial" w:hAnsi="Arial"/>
                <w:sz w:val="16"/>
                <w:szCs w:val="16"/>
                <w:color w:val="auto"/>
              </w:rPr>
              <w:t>Coronavirus Aid, Relief, and Economic Security Act of 2020</w:t>
            </w:r>
          </w:p>
        </w:tc>
        <w:tc>
          <w:tcPr>
            <w:tcW w:w="0" w:type="dxa"/>
            <w:vAlign w:val="bottom"/>
          </w:tcPr>
          <w:p>
            <w:pPr>
              <w:spacing w:after="0"/>
              <w:rPr>
                <w:sz w:val="1"/>
                <w:szCs w:val="1"/>
                <w:color w:val="auto"/>
              </w:rPr>
            </w:pPr>
          </w:p>
        </w:tc>
      </w:tr>
      <w:tr>
        <w:trPr>
          <w:trHeight w:val="165"/>
        </w:trPr>
        <w:tc>
          <w:tcPr>
            <w:tcW w:w="2380" w:type="dxa"/>
            <w:vAlign w:val="bottom"/>
            <w:gridSpan w:val="2"/>
            <w:vMerge w:val="continue"/>
          </w:tcPr>
          <w:p>
            <w:pPr>
              <w:spacing w:after="0"/>
              <w:rPr>
                <w:sz w:val="14"/>
                <w:szCs w:val="14"/>
                <w:color w:val="auto"/>
              </w:rPr>
            </w:pPr>
          </w:p>
        </w:tc>
        <w:tc>
          <w:tcPr>
            <w:tcW w:w="8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CD</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 of Deposit</w:t>
            </w:r>
          </w:p>
        </w:tc>
        <w:tc>
          <w:tcPr>
            <w:tcW w:w="0" w:type="dxa"/>
            <w:vAlign w:val="bottom"/>
          </w:tcPr>
          <w:p>
            <w:pPr>
              <w:spacing w:after="0"/>
              <w:rPr>
                <w:sz w:val="1"/>
                <w:szCs w:val="1"/>
                <w:color w:val="auto"/>
              </w:rPr>
            </w:pPr>
          </w:p>
        </w:tc>
      </w:tr>
      <w:tr>
        <w:trPr>
          <w:trHeight w:val="168"/>
        </w:trPr>
        <w:tc>
          <w:tcPr>
            <w:tcW w:w="2380" w:type="dxa"/>
            <w:vAlign w:val="bottom"/>
            <w:gridSpan w:val="2"/>
            <w:vMerge w:val="continue"/>
            <w:shd w:val="clear" w:color="auto" w:fill="CCEEFF"/>
          </w:tcPr>
          <w:p>
            <w:pPr>
              <w:spacing w:after="0"/>
              <w:rPr>
                <w:sz w:val="14"/>
                <w:szCs w:val="14"/>
                <w:color w:val="auto"/>
              </w:rPr>
            </w:pPr>
          </w:p>
        </w:tc>
        <w:tc>
          <w:tcPr>
            <w:tcW w:w="8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CDA</w:t>
            </w:r>
          </w:p>
        </w:tc>
        <w:tc>
          <w:tcPr>
            <w:tcW w:w="8860" w:type="dxa"/>
            <w:vAlign w:val="bottom"/>
          </w:tcPr>
          <w:p>
            <w:pPr>
              <w:ind w:left="20"/>
              <w:spacing w:after="0"/>
              <w:rPr>
                <w:sz w:val="20"/>
                <w:szCs w:val="20"/>
                <w:color w:val="auto"/>
              </w:rPr>
            </w:pPr>
            <w:r>
              <w:rPr>
                <w:rFonts w:ascii="Arial" w:cs="Arial" w:eastAsia="Arial" w:hAnsi="Arial"/>
                <w:sz w:val="16"/>
                <w:szCs w:val="16"/>
                <w:color w:val="auto"/>
              </w:rPr>
              <w:t>Collateral Dependent Asset</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CECL</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Expected Credit Losses</w:t>
            </w:r>
          </w:p>
        </w:tc>
        <w:tc>
          <w:tcPr>
            <w:tcW w:w="0" w:type="dxa"/>
            <w:vAlign w:val="bottom"/>
          </w:tcPr>
          <w:p>
            <w:pPr>
              <w:spacing w:after="0"/>
              <w:rPr>
                <w:sz w:val="1"/>
                <w:szCs w:val="1"/>
                <w:color w:val="auto"/>
              </w:rPr>
            </w:pPr>
          </w:p>
        </w:tc>
      </w:tr>
      <w:tr>
        <w:trPr>
          <w:trHeight w:val="210"/>
        </w:trPr>
        <w:tc>
          <w:tcPr>
            <w:tcW w:w="2380" w:type="dxa"/>
            <w:vAlign w:val="bottom"/>
            <w:gridSpan w:val="2"/>
            <w:vMerge w:val="restart"/>
          </w:tcPr>
          <w:p>
            <w:pPr>
              <w:ind w:left="20"/>
              <w:spacing w:after="0"/>
              <w:rPr>
                <w:sz w:val="20"/>
                <w:szCs w:val="20"/>
                <w:color w:val="auto"/>
              </w:rPr>
            </w:pPr>
            <w:r>
              <w:rPr>
                <w:rFonts w:ascii="Arial" w:cs="Arial" w:eastAsia="Arial" w:hAnsi="Arial"/>
                <w:sz w:val="16"/>
                <w:szCs w:val="16"/>
                <w:color w:val="auto"/>
              </w:rPr>
              <w:t>CET1</w:t>
            </w:r>
          </w:p>
        </w:tc>
        <w:tc>
          <w:tcPr>
            <w:tcW w:w="8860" w:type="dxa"/>
            <w:vAlign w:val="bottom"/>
          </w:tcPr>
          <w:p>
            <w:pPr>
              <w:ind w:left="20"/>
              <w:spacing w:after="0"/>
              <w:rPr>
                <w:sz w:val="20"/>
                <w:szCs w:val="20"/>
                <w:color w:val="auto"/>
              </w:rPr>
            </w:pPr>
            <w:r>
              <w:rPr>
                <w:rFonts w:ascii="Arial" w:cs="Arial" w:eastAsia="Arial" w:hAnsi="Arial"/>
                <w:sz w:val="16"/>
                <w:szCs w:val="16"/>
                <w:color w:val="auto"/>
              </w:rPr>
              <w:t>Common Equity Tier 1</w:t>
            </w:r>
          </w:p>
        </w:tc>
        <w:tc>
          <w:tcPr>
            <w:tcW w:w="0" w:type="dxa"/>
            <w:vAlign w:val="bottom"/>
          </w:tcPr>
          <w:p>
            <w:pPr>
              <w:spacing w:after="0"/>
              <w:rPr>
                <w:sz w:val="1"/>
                <w:szCs w:val="1"/>
                <w:color w:val="auto"/>
              </w:rPr>
            </w:pPr>
          </w:p>
        </w:tc>
      </w:tr>
      <w:tr>
        <w:trPr>
          <w:trHeight w:val="165"/>
        </w:trPr>
        <w:tc>
          <w:tcPr>
            <w:tcW w:w="2380" w:type="dxa"/>
            <w:vAlign w:val="bottom"/>
            <w:gridSpan w:val="2"/>
            <w:vMerge w:val="continue"/>
          </w:tcPr>
          <w:p>
            <w:pPr>
              <w:spacing w:after="0"/>
              <w:rPr>
                <w:sz w:val="14"/>
                <w:szCs w:val="14"/>
                <w:color w:val="auto"/>
              </w:rPr>
            </w:pPr>
          </w:p>
        </w:tc>
        <w:tc>
          <w:tcPr>
            <w:tcW w:w="8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COVID-19</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Coronavirus Disease 2019</w:t>
            </w:r>
          </w:p>
        </w:tc>
        <w:tc>
          <w:tcPr>
            <w:tcW w:w="0" w:type="dxa"/>
            <w:vAlign w:val="bottom"/>
          </w:tcPr>
          <w:p>
            <w:pPr>
              <w:spacing w:after="0"/>
              <w:rPr>
                <w:sz w:val="1"/>
                <w:szCs w:val="1"/>
                <w:color w:val="auto"/>
              </w:rPr>
            </w:pPr>
          </w:p>
        </w:tc>
      </w:tr>
      <w:tr>
        <w:trPr>
          <w:trHeight w:val="168"/>
        </w:trPr>
        <w:tc>
          <w:tcPr>
            <w:tcW w:w="2380" w:type="dxa"/>
            <w:vAlign w:val="bottom"/>
            <w:gridSpan w:val="2"/>
            <w:vMerge w:val="continue"/>
            <w:shd w:val="clear" w:color="auto" w:fill="CCEEFF"/>
          </w:tcPr>
          <w:p>
            <w:pPr>
              <w:spacing w:after="0"/>
              <w:rPr>
                <w:sz w:val="14"/>
                <w:szCs w:val="14"/>
                <w:color w:val="auto"/>
              </w:rPr>
            </w:pPr>
          </w:p>
        </w:tc>
        <w:tc>
          <w:tcPr>
            <w:tcW w:w="8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gridSpan w:val="2"/>
            <w:vMerge w:val="restart"/>
          </w:tcPr>
          <w:p>
            <w:pPr>
              <w:ind w:left="20"/>
              <w:spacing w:after="0"/>
              <w:rPr>
                <w:sz w:val="20"/>
                <w:szCs w:val="20"/>
                <w:color w:val="auto"/>
              </w:rPr>
            </w:pPr>
            <w:r>
              <w:rPr>
                <w:rFonts w:ascii="Arial" w:cs="Arial" w:eastAsia="Arial" w:hAnsi="Arial"/>
                <w:sz w:val="16"/>
                <w:szCs w:val="16"/>
                <w:color w:val="auto"/>
              </w:rPr>
              <w:t>CPI</w:t>
            </w:r>
          </w:p>
        </w:tc>
        <w:tc>
          <w:tcPr>
            <w:tcW w:w="8860" w:type="dxa"/>
            <w:vAlign w:val="bottom"/>
          </w:tcPr>
          <w:p>
            <w:pPr>
              <w:ind w:left="20"/>
              <w:spacing w:after="0"/>
              <w:rPr>
                <w:sz w:val="20"/>
                <w:szCs w:val="20"/>
                <w:color w:val="auto"/>
              </w:rPr>
            </w:pPr>
            <w:r>
              <w:rPr>
                <w:rFonts w:ascii="Arial" w:cs="Arial" w:eastAsia="Arial" w:hAnsi="Arial"/>
                <w:sz w:val="16"/>
                <w:szCs w:val="16"/>
                <w:color w:val="auto"/>
              </w:rPr>
              <w:t>Consumer Price Index</w:t>
            </w:r>
          </w:p>
        </w:tc>
        <w:tc>
          <w:tcPr>
            <w:tcW w:w="0" w:type="dxa"/>
            <w:vAlign w:val="bottom"/>
          </w:tcPr>
          <w:p>
            <w:pPr>
              <w:spacing w:after="0"/>
              <w:rPr>
                <w:sz w:val="1"/>
                <w:szCs w:val="1"/>
                <w:color w:val="auto"/>
              </w:rPr>
            </w:pPr>
          </w:p>
        </w:tc>
      </w:tr>
      <w:tr>
        <w:trPr>
          <w:trHeight w:val="165"/>
        </w:trPr>
        <w:tc>
          <w:tcPr>
            <w:tcW w:w="2380" w:type="dxa"/>
            <w:vAlign w:val="bottom"/>
            <w:gridSpan w:val="2"/>
            <w:vMerge w:val="continue"/>
          </w:tcPr>
          <w:p>
            <w:pPr>
              <w:spacing w:after="0"/>
              <w:rPr>
                <w:sz w:val="14"/>
                <w:szCs w:val="14"/>
                <w:color w:val="auto"/>
              </w:rPr>
            </w:pPr>
          </w:p>
        </w:tc>
        <w:tc>
          <w:tcPr>
            <w:tcW w:w="8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DCF</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Discounted Cash Flow</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ECL</w:t>
            </w:r>
          </w:p>
        </w:tc>
        <w:tc>
          <w:tcPr>
            <w:tcW w:w="8860" w:type="dxa"/>
            <w:vAlign w:val="bottom"/>
          </w:tcPr>
          <w:p>
            <w:pPr>
              <w:ind w:left="20"/>
              <w:spacing w:after="0"/>
              <w:rPr>
                <w:sz w:val="20"/>
                <w:szCs w:val="20"/>
                <w:color w:val="auto"/>
              </w:rPr>
            </w:pPr>
            <w:r>
              <w:rPr>
                <w:rFonts w:ascii="Arial" w:cs="Arial" w:eastAsia="Arial" w:hAnsi="Arial"/>
                <w:sz w:val="16"/>
                <w:szCs w:val="16"/>
                <w:color w:val="auto"/>
              </w:rPr>
              <w:t>Expected Credit Losses</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EPS</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ESOP</w:t>
            </w:r>
          </w:p>
        </w:tc>
        <w:tc>
          <w:tcPr>
            <w:tcW w:w="8860" w:type="dxa"/>
            <w:vAlign w:val="bottom"/>
          </w:tcPr>
          <w:p>
            <w:pPr>
              <w:ind w:left="20"/>
              <w:spacing w:after="0"/>
              <w:rPr>
                <w:sz w:val="20"/>
                <w:szCs w:val="20"/>
                <w:color w:val="auto"/>
              </w:rPr>
            </w:pPr>
            <w:r>
              <w:rPr>
                <w:rFonts w:ascii="Arial" w:cs="Arial" w:eastAsia="Arial" w:hAnsi="Arial"/>
                <w:sz w:val="16"/>
                <w:szCs w:val="16"/>
                <w:color w:val="auto"/>
              </w:rPr>
              <w:t>Employee Stock Ownership Plan</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FASB</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Financial Accounting Standards Board</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FDIC</w:t>
            </w:r>
          </w:p>
        </w:tc>
        <w:tc>
          <w:tcPr>
            <w:tcW w:w="8860" w:type="dxa"/>
            <w:vAlign w:val="bottom"/>
          </w:tcPr>
          <w:p>
            <w:pPr>
              <w:ind w:left="20"/>
              <w:spacing w:after="0"/>
              <w:rPr>
                <w:sz w:val="20"/>
                <w:szCs w:val="20"/>
                <w:color w:val="auto"/>
              </w:rPr>
            </w:pPr>
            <w:r>
              <w:rPr>
                <w:rFonts w:ascii="Arial" w:cs="Arial" w:eastAsia="Arial" w:hAnsi="Arial"/>
                <w:sz w:val="16"/>
                <w:szCs w:val="16"/>
                <w:color w:val="auto"/>
              </w:rPr>
              <w:t>Federal Deposit Insurance Corporation</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FHLB</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Federal Home Loan Bank</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FRB</w:t>
            </w:r>
          </w:p>
        </w:tc>
        <w:tc>
          <w:tcPr>
            <w:tcW w:w="8860" w:type="dxa"/>
            <w:vAlign w:val="bottom"/>
          </w:tcPr>
          <w:p>
            <w:pPr>
              <w:ind w:left="20"/>
              <w:spacing w:after="0"/>
              <w:rPr>
                <w:sz w:val="20"/>
                <w:szCs w:val="20"/>
                <w:color w:val="auto"/>
              </w:rPr>
            </w:pPr>
            <w:r>
              <w:rPr>
                <w:rFonts w:ascii="Arial" w:cs="Arial" w:eastAsia="Arial" w:hAnsi="Arial"/>
                <w:sz w:val="16"/>
                <w:szCs w:val="16"/>
                <w:color w:val="auto"/>
              </w:rPr>
              <w:t>Federal Reserve Bank of Richmond</w:t>
            </w:r>
          </w:p>
        </w:tc>
        <w:tc>
          <w:tcPr>
            <w:tcW w:w="0" w:type="dxa"/>
            <w:vAlign w:val="bottom"/>
          </w:tcPr>
          <w:p>
            <w:pPr>
              <w:spacing w:after="0"/>
              <w:rPr>
                <w:sz w:val="1"/>
                <w:szCs w:val="1"/>
                <w:color w:val="auto"/>
              </w:rPr>
            </w:pPr>
          </w:p>
        </w:tc>
      </w:tr>
      <w:tr>
        <w:trPr>
          <w:trHeight w:val="213"/>
        </w:trPr>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GAAP</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Generally Accepted Accounting Principles in the United States</w:t>
            </w:r>
          </w:p>
        </w:tc>
        <w:tc>
          <w:tcPr>
            <w:tcW w:w="0" w:type="dxa"/>
            <w:vAlign w:val="bottom"/>
          </w:tcPr>
          <w:p>
            <w:pPr>
              <w:spacing w:after="0"/>
              <w:rPr>
                <w:sz w:val="1"/>
                <w:szCs w:val="1"/>
                <w:color w:val="auto"/>
              </w:rPr>
            </w:pPr>
          </w:p>
        </w:tc>
      </w:tr>
      <w:tr>
        <w:trPr>
          <w:trHeight w:val="168"/>
        </w:trPr>
        <w:tc>
          <w:tcPr>
            <w:tcW w:w="2380" w:type="dxa"/>
            <w:vAlign w:val="bottom"/>
            <w:gridSpan w:val="2"/>
            <w:vMerge w:val="continue"/>
            <w:shd w:val="clear" w:color="auto" w:fill="CCEEFF"/>
          </w:tcPr>
          <w:p>
            <w:pPr>
              <w:spacing w:after="0"/>
              <w:rPr>
                <w:sz w:val="14"/>
                <w:szCs w:val="14"/>
                <w:color w:val="auto"/>
              </w:rPr>
            </w:pPr>
          </w:p>
        </w:tc>
        <w:tc>
          <w:tcPr>
            <w:tcW w:w="8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GSE</w:t>
            </w:r>
          </w:p>
        </w:tc>
        <w:tc>
          <w:tcPr>
            <w:tcW w:w="8860" w:type="dxa"/>
            <w:vAlign w:val="bottom"/>
          </w:tcPr>
          <w:p>
            <w:pPr>
              <w:ind w:left="20"/>
              <w:spacing w:after="0"/>
              <w:rPr>
                <w:sz w:val="20"/>
                <w:szCs w:val="20"/>
                <w:color w:val="auto"/>
              </w:rPr>
            </w:pPr>
            <w:r>
              <w:rPr>
                <w:rFonts w:ascii="Arial" w:cs="Arial" w:eastAsia="Arial" w:hAnsi="Arial"/>
                <w:sz w:val="16"/>
                <w:szCs w:val="16"/>
                <w:color w:val="auto"/>
              </w:rPr>
              <w:t>Government-Sponsored Enterprises</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HELOC</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Equity Line of Credit</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LIBOR</w:t>
            </w:r>
          </w:p>
        </w:tc>
        <w:tc>
          <w:tcPr>
            <w:tcW w:w="8860" w:type="dxa"/>
            <w:vAlign w:val="bottom"/>
          </w:tcPr>
          <w:p>
            <w:pPr>
              <w:ind w:left="20"/>
              <w:spacing w:after="0"/>
              <w:rPr>
                <w:sz w:val="20"/>
                <w:szCs w:val="20"/>
                <w:color w:val="auto"/>
              </w:rPr>
            </w:pPr>
            <w:r>
              <w:rPr>
                <w:rFonts w:ascii="Arial" w:cs="Arial" w:eastAsia="Arial" w:hAnsi="Arial"/>
                <w:sz w:val="16"/>
                <w:szCs w:val="16"/>
                <w:color w:val="auto"/>
              </w:rPr>
              <w:t>London Interbank Offered Rate</w:t>
            </w:r>
          </w:p>
        </w:tc>
        <w:tc>
          <w:tcPr>
            <w:tcW w:w="0" w:type="dxa"/>
            <w:vAlign w:val="bottom"/>
          </w:tcPr>
          <w:p>
            <w:pPr>
              <w:spacing w:after="0"/>
              <w:rPr>
                <w:sz w:val="1"/>
                <w:szCs w:val="1"/>
                <w:color w:val="auto"/>
              </w:rPr>
            </w:pPr>
          </w:p>
        </w:tc>
      </w:tr>
      <w:tr>
        <w:trPr>
          <w:trHeight w:val="213"/>
        </w:trPr>
        <w:tc>
          <w:tcPr>
            <w:tcW w:w="2380" w:type="dxa"/>
            <w:vAlign w:val="bottom"/>
            <w:gridSpan w:val="2"/>
            <w:vMerge w:val="restart"/>
            <w:shd w:val="clear" w:color="auto" w:fill="CCEEFF"/>
          </w:tcPr>
          <w:p>
            <w:pPr>
              <w:ind w:left="20"/>
              <w:spacing w:after="0"/>
              <w:rPr>
                <w:sz w:val="20"/>
                <w:szCs w:val="20"/>
                <w:color w:val="auto"/>
              </w:rPr>
            </w:pPr>
            <w:r>
              <w:rPr>
                <w:rFonts w:ascii="Arial" w:cs="Arial" w:eastAsia="Arial" w:hAnsi="Arial"/>
                <w:sz w:val="16"/>
                <w:szCs w:val="16"/>
                <w:color w:val="auto"/>
              </w:rPr>
              <w:t>MBS</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Mortgage-Backed Securities</w:t>
            </w:r>
          </w:p>
        </w:tc>
        <w:tc>
          <w:tcPr>
            <w:tcW w:w="0" w:type="dxa"/>
            <w:vAlign w:val="bottom"/>
          </w:tcPr>
          <w:p>
            <w:pPr>
              <w:spacing w:after="0"/>
              <w:rPr>
                <w:sz w:val="1"/>
                <w:szCs w:val="1"/>
                <w:color w:val="auto"/>
              </w:rPr>
            </w:pPr>
          </w:p>
        </w:tc>
      </w:tr>
      <w:tr>
        <w:trPr>
          <w:trHeight w:val="168"/>
        </w:trPr>
        <w:tc>
          <w:tcPr>
            <w:tcW w:w="2380" w:type="dxa"/>
            <w:vAlign w:val="bottom"/>
            <w:gridSpan w:val="2"/>
            <w:vMerge w:val="continue"/>
            <w:shd w:val="clear" w:color="auto" w:fill="CCEEFF"/>
          </w:tcPr>
          <w:p>
            <w:pPr>
              <w:spacing w:after="0"/>
              <w:rPr>
                <w:sz w:val="14"/>
                <w:szCs w:val="14"/>
                <w:color w:val="auto"/>
              </w:rPr>
            </w:pPr>
          </w:p>
        </w:tc>
        <w:tc>
          <w:tcPr>
            <w:tcW w:w="8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80" w:type="dxa"/>
            <w:vAlign w:val="bottom"/>
            <w:gridSpan w:val="2"/>
            <w:vMerge w:val="restart"/>
          </w:tcPr>
          <w:p>
            <w:pPr>
              <w:ind w:left="20"/>
              <w:spacing w:after="0"/>
              <w:rPr>
                <w:sz w:val="20"/>
                <w:szCs w:val="20"/>
                <w:color w:val="auto"/>
              </w:rPr>
            </w:pPr>
            <w:r>
              <w:rPr>
                <w:rFonts w:ascii="Arial" w:cs="Arial" w:eastAsia="Arial" w:hAnsi="Arial"/>
                <w:sz w:val="16"/>
                <w:szCs w:val="16"/>
                <w:color w:val="auto"/>
              </w:rPr>
              <w:t>NCCOB</w:t>
            </w:r>
          </w:p>
        </w:tc>
        <w:tc>
          <w:tcPr>
            <w:tcW w:w="8860" w:type="dxa"/>
            <w:vAlign w:val="bottom"/>
          </w:tcPr>
          <w:p>
            <w:pPr>
              <w:ind w:left="20"/>
              <w:spacing w:after="0"/>
              <w:rPr>
                <w:sz w:val="20"/>
                <w:szCs w:val="20"/>
                <w:color w:val="auto"/>
              </w:rPr>
            </w:pPr>
            <w:r>
              <w:rPr>
                <w:rFonts w:ascii="Arial" w:cs="Arial" w:eastAsia="Arial" w:hAnsi="Arial"/>
                <w:sz w:val="16"/>
                <w:szCs w:val="16"/>
                <w:color w:val="auto"/>
              </w:rPr>
              <w:t>North Carolina Office of the Commissioner of Banks</w:t>
            </w:r>
          </w:p>
        </w:tc>
        <w:tc>
          <w:tcPr>
            <w:tcW w:w="0" w:type="dxa"/>
            <w:vAlign w:val="bottom"/>
          </w:tcPr>
          <w:p>
            <w:pPr>
              <w:spacing w:after="0"/>
              <w:rPr>
                <w:sz w:val="1"/>
                <w:szCs w:val="1"/>
                <w:color w:val="auto"/>
              </w:rPr>
            </w:pPr>
          </w:p>
        </w:tc>
      </w:tr>
      <w:tr>
        <w:trPr>
          <w:trHeight w:val="165"/>
        </w:trPr>
        <w:tc>
          <w:tcPr>
            <w:tcW w:w="2380" w:type="dxa"/>
            <w:vAlign w:val="bottom"/>
            <w:gridSpan w:val="2"/>
            <w:vMerge w:val="continue"/>
          </w:tcPr>
          <w:p>
            <w:pPr>
              <w:spacing w:after="0"/>
              <w:rPr>
                <w:sz w:val="14"/>
                <w:szCs w:val="14"/>
                <w:color w:val="auto"/>
              </w:rPr>
            </w:pPr>
          </w:p>
        </w:tc>
        <w:tc>
          <w:tcPr>
            <w:tcW w:w="8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OTTI</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Than Temporary Impairment</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PCD</w:t>
            </w:r>
          </w:p>
        </w:tc>
        <w:tc>
          <w:tcPr>
            <w:tcW w:w="8860" w:type="dxa"/>
            <w:vAlign w:val="bottom"/>
          </w:tcPr>
          <w:p>
            <w:pPr>
              <w:ind w:left="20"/>
              <w:spacing w:after="0"/>
              <w:rPr>
                <w:sz w:val="20"/>
                <w:szCs w:val="20"/>
                <w:color w:val="auto"/>
              </w:rPr>
            </w:pPr>
            <w:r>
              <w:rPr>
                <w:rFonts w:ascii="Arial" w:cs="Arial" w:eastAsia="Arial" w:hAnsi="Arial"/>
                <w:sz w:val="16"/>
                <w:szCs w:val="16"/>
                <w:color w:val="auto"/>
              </w:rPr>
              <w:t>Purchased Financial Assets with Credit Deterioration</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PCI</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Credit Impaired</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PPP</w:t>
            </w:r>
          </w:p>
        </w:tc>
        <w:tc>
          <w:tcPr>
            <w:tcW w:w="8860" w:type="dxa"/>
            <w:vAlign w:val="bottom"/>
          </w:tcPr>
          <w:p>
            <w:pPr>
              <w:ind w:left="20"/>
              <w:spacing w:after="0"/>
              <w:rPr>
                <w:sz w:val="20"/>
                <w:szCs w:val="20"/>
                <w:color w:val="auto"/>
              </w:rPr>
            </w:pPr>
            <w:r>
              <w:rPr>
                <w:rFonts w:ascii="Arial" w:cs="Arial" w:eastAsia="Arial" w:hAnsi="Arial"/>
                <w:sz w:val="16"/>
                <w:szCs w:val="16"/>
                <w:color w:val="auto"/>
              </w:rPr>
              <w:t>Paycheck Protection Program</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REO</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Real Estate Owned</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ROU</w:t>
            </w:r>
          </w:p>
        </w:tc>
        <w:tc>
          <w:tcPr>
            <w:tcW w:w="8860" w:type="dxa"/>
            <w:vAlign w:val="bottom"/>
          </w:tcPr>
          <w:p>
            <w:pPr>
              <w:ind w:left="20"/>
              <w:spacing w:after="0"/>
              <w:rPr>
                <w:sz w:val="20"/>
                <w:szCs w:val="20"/>
                <w:color w:val="auto"/>
              </w:rPr>
            </w:pPr>
            <w:r>
              <w:rPr>
                <w:rFonts w:ascii="Arial" w:cs="Arial" w:eastAsia="Arial" w:hAnsi="Arial"/>
                <w:sz w:val="16"/>
                <w:szCs w:val="16"/>
                <w:color w:val="auto"/>
              </w:rPr>
              <w:t>Right of Use</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RSU</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Unit</w:t>
            </w:r>
          </w:p>
        </w:tc>
        <w:tc>
          <w:tcPr>
            <w:tcW w:w="0" w:type="dxa"/>
            <w:vAlign w:val="bottom"/>
          </w:tcPr>
          <w:p>
            <w:pPr>
              <w:spacing w:after="0"/>
              <w:rPr>
                <w:sz w:val="1"/>
                <w:szCs w:val="1"/>
                <w:color w:val="auto"/>
              </w:rPr>
            </w:pPr>
          </w:p>
        </w:tc>
      </w:tr>
      <w:tr>
        <w:trPr>
          <w:trHeight w:val="210"/>
        </w:trPr>
        <w:tc>
          <w:tcPr>
            <w:tcW w:w="2380" w:type="dxa"/>
            <w:vAlign w:val="bottom"/>
            <w:gridSpan w:val="2"/>
            <w:vMerge w:val="restart"/>
          </w:tcPr>
          <w:p>
            <w:pPr>
              <w:ind w:left="20"/>
              <w:spacing w:after="0"/>
              <w:rPr>
                <w:sz w:val="20"/>
                <w:szCs w:val="20"/>
                <w:color w:val="auto"/>
              </w:rPr>
            </w:pPr>
            <w:r>
              <w:rPr>
                <w:rFonts w:ascii="Arial" w:cs="Arial" w:eastAsia="Arial" w:hAnsi="Arial"/>
                <w:sz w:val="16"/>
                <w:szCs w:val="16"/>
                <w:color w:val="auto"/>
              </w:rPr>
              <w:t>SEC</w:t>
            </w:r>
          </w:p>
        </w:tc>
        <w:tc>
          <w:tcPr>
            <w:tcW w:w="8860" w:type="dxa"/>
            <w:vAlign w:val="bottom"/>
          </w:tcPr>
          <w:p>
            <w:pPr>
              <w:ind w:left="20"/>
              <w:spacing w:after="0"/>
              <w:rPr>
                <w:sz w:val="20"/>
                <w:szCs w:val="20"/>
                <w:color w:val="auto"/>
              </w:rPr>
            </w:pPr>
            <w:r>
              <w:rPr>
                <w:rFonts w:ascii="Arial" w:cs="Arial" w:eastAsia="Arial" w:hAnsi="Arial"/>
                <w:sz w:val="16"/>
                <w:szCs w:val="16"/>
                <w:color w:val="auto"/>
              </w:rPr>
              <w:t>Securities and Exchange Commission</w:t>
            </w:r>
          </w:p>
        </w:tc>
        <w:tc>
          <w:tcPr>
            <w:tcW w:w="0" w:type="dxa"/>
            <w:vAlign w:val="bottom"/>
          </w:tcPr>
          <w:p>
            <w:pPr>
              <w:spacing w:after="0"/>
              <w:rPr>
                <w:sz w:val="1"/>
                <w:szCs w:val="1"/>
                <w:color w:val="auto"/>
              </w:rPr>
            </w:pPr>
          </w:p>
        </w:tc>
      </w:tr>
      <w:tr>
        <w:trPr>
          <w:trHeight w:val="165"/>
        </w:trPr>
        <w:tc>
          <w:tcPr>
            <w:tcW w:w="2380" w:type="dxa"/>
            <w:vAlign w:val="bottom"/>
            <w:gridSpan w:val="2"/>
            <w:vMerge w:val="continue"/>
          </w:tcPr>
          <w:p>
            <w:pPr>
              <w:spacing w:after="0"/>
              <w:rPr>
                <w:sz w:val="14"/>
                <w:szCs w:val="14"/>
                <w:color w:val="auto"/>
              </w:rPr>
            </w:pPr>
          </w:p>
        </w:tc>
        <w:tc>
          <w:tcPr>
            <w:tcW w:w="8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SBA</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Small Business Administration</w:t>
            </w:r>
          </w:p>
        </w:tc>
        <w:tc>
          <w:tcPr>
            <w:tcW w:w="0" w:type="dxa"/>
            <w:vAlign w:val="bottom"/>
          </w:tcPr>
          <w:p>
            <w:pPr>
              <w:spacing w:after="0"/>
              <w:rPr>
                <w:sz w:val="1"/>
                <w:szCs w:val="1"/>
                <w:color w:val="auto"/>
              </w:rPr>
            </w:pPr>
          </w:p>
        </w:tc>
      </w:tr>
      <w:tr>
        <w:trPr>
          <w:trHeight w:val="213"/>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SBIC</w:t>
            </w:r>
          </w:p>
        </w:tc>
        <w:tc>
          <w:tcPr>
            <w:tcW w:w="8860" w:type="dxa"/>
            <w:vAlign w:val="bottom"/>
          </w:tcPr>
          <w:p>
            <w:pPr>
              <w:ind w:left="20"/>
              <w:spacing w:after="0"/>
              <w:rPr>
                <w:sz w:val="20"/>
                <w:szCs w:val="20"/>
                <w:color w:val="auto"/>
              </w:rPr>
            </w:pPr>
            <w:r>
              <w:rPr>
                <w:rFonts w:ascii="Arial" w:cs="Arial" w:eastAsia="Arial" w:hAnsi="Arial"/>
                <w:sz w:val="16"/>
                <w:szCs w:val="16"/>
                <w:color w:val="auto"/>
              </w:rPr>
              <w:t>Small Business Investment Companies</w:t>
            </w:r>
          </w:p>
        </w:tc>
        <w:tc>
          <w:tcPr>
            <w:tcW w:w="0" w:type="dxa"/>
            <w:vAlign w:val="bottom"/>
          </w:tcPr>
          <w:p>
            <w:pPr>
              <w:spacing w:after="0"/>
              <w:rPr>
                <w:sz w:val="1"/>
                <w:szCs w:val="1"/>
                <w:color w:val="auto"/>
              </w:rPr>
            </w:pPr>
          </w:p>
        </w:tc>
      </w:tr>
      <w:tr>
        <w:trPr>
          <w:trHeight w:val="219"/>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TDR</w:t>
            </w:r>
          </w:p>
        </w:tc>
        <w:tc>
          <w:tcPr>
            <w:tcW w:w="8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Troubled Debt Restructuring</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0"/>
        </w:trPr>
        <w:tc>
          <w:tcPr>
            <w:tcW w:w="8640" w:type="dxa"/>
            <w:vAlign w:val="bottom"/>
          </w:tcPr>
          <w:p>
            <w:pPr>
              <w:jc w:val="center"/>
              <w:ind w:left="2519"/>
              <w:spacing w:after="0"/>
              <w:rPr>
                <w:sz w:val="20"/>
                <w:szCs w:val="20"/>
                <w:color w:val="auto"/>
              </w:rPr>
            </w:pPr>
            <w:r>
              <w:rPr>
                <w:rFonts w:ascii="Arial" w:cs="Arial" w:eastAsia="Arial" w:hAnsi="Arial"/>
                <w:sz w:val="16"/>
                <w:szCs w:val="16"/>
                <w:b w:val="1"/>
                <w:bCs w:val="1"/>
                <w:color w:val="auto"/>
              </w:rPr>
              <w:t>PART I. FINANCIAL INFORMATION</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8640" w:type="dxa"/>
            <w:vAlign w:val="bottom"/>
          </w:tcPr>
          <w:p>
            <w:pPr>
              <w:spacing w:after="0"/>
              <w:rPr>
                <w:sz w:val="20"/>
                <w:szCs w:val="20"/>
                <w:color w:val="auto"/>
              </w:rPr>
            </w:pPr>
            <w:r>
              <w:rPr>
                <w:rFonts w:ascii="Arial" w:cs="Arial" w:eastAsia="Arial" w:hAnsi="Arial"/>
                <w:sz w:val="16"/>
                <w:szCs w:val="16"/>
                <w:b w:val="1"/>
                <w:bCs w:val="1"/>
                <w:color w:val="auto"/>
              </w:rPr>
              <w:t>Item 1.  Financial Statements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640" w:type="dxa"/>
            <w:vAlign w:val="bottom"/>
          </w:tcPr>
          <w:p>
            <w:pPr>
              <w:jc w:val="center"/>
              <w:ind w:left="2539"/>
              <w:spacing w:after="0"/>
              <w:rPr>
                <w:sz w:val="20"/>
                <w:szCs w:val="20"/>
                <w:color w:val="auto"/>
              </w:rPr>
            </w:pPr>
            <w:r>
              <w:rPr>
                <w:rFonts w:ascii="Arial" w:cs="Arial" w:eastAsia="Arial" w:hAnsi="Arial"/>
                <w:sz w:val="16"/>
                <w:szCs w:val="16"/>
                <w:color w:val="auto"/>
                <w:w w:val="98"/>
              </w:rPr>
              <w:t>HOMETRUST BANCSHARES, INC. AND SUBSIDIARY</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8640" w:type="dxa"/>
            <w:vAlign w:val="bottom"/>
          </w:tcPr>
          <w:p>
            <w:pPr>
              <w:jc w:val="center"/>
              <w:ind w:left="2519"/>
              <w:spacing w:after="0"/>
              <w:rPr>
                <w:sz w:val="20"/>
                <w:szCs w:val="20"/>
                <w:color w:val="auto"/>
              </w:rPr>
            </w:pPr>
            <w:r>
              <w:rPr>
                <w:rFonts w:ascii="Arial" w:cs="Arial" w:eastAsia="Arial" w:hAnsi="Arial"/>
                <w:sz w:val="16"/>
                <w:szCs w:val="16"/>
                <w:color w:val="auto"/>
                <w:w w:val="89"/>
              </w:rPr>
              <w:t>Consolidated Balance Sheets</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640" w:type="dxa"/>
            <w:vAlign w:val="bottom"/>
          </w:tcPr>
          <w:p>
            <w:pPr>
              <w:ind w:left="4200"/>
              <w:spacing w:after="0"/>
              <w:rPr>
                <w:sz w:val="20"/>
                <w:szCs w:val="20"/>
                <w:color w:val="auto"/>
              </w:rPr>
            </w:pPr>
            <w:r>
              <w:rPr>
                <w:rFonts w:ascii="Arial" w:cs="Arial" w:eastAsia="Arial" w:hAnsi="Arial"/>
                <w:sz w:val="16"/>
                <w:szCs w:val="16"/>
                <w:color w:val="auto"/>
              </w:rPr>
              <w:t>(Dollars in thousands, except per share data)</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8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(Unaudited)</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640" w:type="dxa"/>
            <w:vAlign w:val="bottom"/>
          </w:tcPr>
          <w:p>
            <w:pPr>
              <w:spacing w:after="0"/>
              <w:rPr>
                <w:sz w:val="19"/>
                <w:szCs w:val="19"/>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4"/>
              </w:rPr>
              <w:t>March 31, 2022</w:t>
            </w:r>
          </w:p>
        </w:tc>
        <w:tc>
          <w:tcPr>
            <w:tcW w:w="1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b w:val="1"/>
                <w:bCs w:val="1"/>
                <w:color w:val="auto"/>
                <w:w w:val="90"/>
              </w:rPr>
              <w:t>June 30, 2021</w:t>
            </w:r>
          </w:p>
        </w:tc>
        <w:tc>
          <w:tcPr>
            <w:tcW w:w="0" w:type="dxa"/>
            <w:vAlign w:val="bottom"/>
          </w:tcPr>
          <w:p>
            <w:pPr>
              <w:spacing w:after="0"/>
              <w:rPr>
                <w:sz w:val="1"/>
                <w:szCs w:val="1"/>
                <w:color w:val="auto"/>
              </w:rPr>
            </w:pPr>
          </w:p>
        </w:tc>
      </w:tr>
      <w:tr>
        <w:trPr>
          <w:trHeight w:val="199"/>
        </w:trPr>
        <w:tc>
          <w:tcPr>
            <w:tcW w:w="8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Cash</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19,783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22,312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Interest-bearing deposits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32,267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28,678</w:t>
            </w:r>
          </w:p>
        </w:tc>
        <w:tc>
          <w:tcPr>
            <w:tcW w:w="0" w:type="dxa"/>
            <w:vAlign w:val="bottom"/>
          </w:tcPr>
          <w:p>
            <w:pPr>
              <w:spacing w:after="0"/>
              <w:rPr>
                <w:sz w:val="1"/>
                <w:szCs w:val="1"/>
                <w:color w:val="auto"/>
              </w:rPr>
            </w:pPr>
          </w:p>
        </w:tc>
      </w:tr>
      <w:tr>
        <w:trPr>
          <w:trHeight w:val="207"/>
        </w:trPr>
        <w:tc>
          <w:tcPr>
            <w:tcW w:w="86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Cash and cash equivalents</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52,050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50,990</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paper</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189,596</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Certificates of deposit in other banks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28,125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40,122</w:t>
            </w:r>
          </w:p>
        </w:tc>
        <w:tc>
          <w:tcPr>
            <w:tcW w:w="0" w:type="dxa"/>
            <w:vAlign w:val="bottom"/>
          </w:tcPr>
          <w:p>
            <w:pPr>
              <w:spacing w:after="0"/>
              <w:rPr>
                <w:sz w:val="1"/>
                <w:szCs w:val="1"/>
                <w:color w:val="auto"/>
              </w:rPr>
            </w:pPr>
          </w:p>
        </w:tc>
      </w:tr>
      <w:tr>
        <w:trPr>
          <w:trHeight w:val="169"/>
        </w:trPr>
        <w:tc>
          <w:tcPr>
            <w:tcW w:w="86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4"/>
              </w:rPr>
              <w:t>Debt securities available for sale, at fair value (amortized cost of $108,130 and $154,493 at March 31, 2022 and June 30, 2021,</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106,315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156,459</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respectively)</w:t>
            </w: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Other investments, at cost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23,040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23,710</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Loans held for sale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85,263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93,539</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Total loans, net of deferred loan fees and costs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2,699,538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2,733,267</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Allowance for credit losses on loans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(31,034)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(35,468)</w:t>
            </w:r>
          </w:p>
        </w:tc>
        <w:tc>
          <w:tcPr>
            <w:tcW w:w="0" w:type="dxa"/>
            <w:vAlign w:val="bottom"/>
          </w:tcPr>
          <w:p>
            <w:pPr>
              <w:spacing w:after="0"/>
              <w:rPr>
                <w:sz w:val="1"/>
                <w:szCs w:val="1"/>
                <w:color w:val="auto"/>
              </w:rPr>
            </w:pPr>
          </w:p>
        </w:tc>
      </w:tr>
      <w:tr>
        <w:trPr>
          <w:trHeight w:val="207"/>
        </w:trPr>
        <w:tc>
          <w:tcPr>
            <w:tcW w:w="86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Loans, net</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2,668,504</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2,697,799</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Premises and equipment, net</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70,909</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Accrued interest receivable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7,933</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REO</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Deferred income taxes, net</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12,494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16,901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BOLI</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93,108</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Goodwill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25,638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25,638</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Core deposit intangibles, net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54,954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57,488</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3,541,785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3,524,723</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864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3,059,157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2,955,541</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115,000</w:t>
            </w:r>
          </w:p>
        </w:tc>
        <w:tc>
          <w:tcPr>
            <w:tcW w:w="0" w:type="dxa"/>
            <w:vAlign w:val="bottom"/>
          </w:tcPr>
          <w:p>
            <w:pPr>
              <w:spacing w:after="0"/>
              <w:rPr>
                <w:sz w:val="1"/>
                <w:szCs w:val="1"/>
                <w:color w:val="auto"/>
              </w:rPr>
            </w:pPr>
          </w:p>
        </w:tc>
      </w:tr>
      <w:tr>
        <w:trPr>
          <w:trHeight w:val="213"/>
        </w:trPr>
        <w:tc>
          <w:tcPr>
            <w:tcW w:w="86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liabilities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57,497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57,663</w:t>
            </w:r>
          </w:p>
        </w:tc>
        <w:tc>
          <w:tcPr>
            <w:tcW w:w="0" w:type="dxa"/>
            <w:vAlign w:val="bottom"/>
          </w:tcPr>
          <w:p>
            <w:pPr>
              <w:spacing w:after="0"/>
              <w:rPr>
                <w:sz w:val="1"/>
                <w:szCs w:val="1"/>
                <w:color w:val="auto"/>
              </w:rPr>
            </w:pPr>
          </w:p>
        </w:tc>
      </w:tr>
      <w:tr>
        <w:trPr>
          <w:trHeight w:val="213"/>
        </w:trPr>
        <w:tc>
          <w:tcPr>
            <w:tcW w:w="86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3,146,654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3,128,204</w:t>
            </w:r>
          </w:p>
        </w:tc>
        <w:tc>
          <w:tcPr>
            <w:tcW w:w="0" w:type="dxa"/>
            <w:vAlign w:val="bottom"/>
          </w:tcPr>
          <w:p>
            <w:pPr>
              <w:spacing w:after="0"/>
              <w:rPr>
                <w:sz w:val="1"/>
                <w:szCs w:val="1"/>
                <w:color w:val="auto"/>
              </w:rPr>
            </w:pPr>
          </w:p>
        </w:tc>
      </w:tr>
      <w:tr>
        <w:trPr>
          <w:trHeight w:val="193"/>
        </w:trPr>
        <w:tc>
          <w:tcPr>
            <w:tcW w:w="864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 See Note 9</w:t>
            </w: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3"/>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Preferred stock, $0.01 par value, 10,000,000 shares authorized, none issued or outstanding</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86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Common stock, $0.01 par value, 60,000,000 shares authorized, 15,978,262 shares</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0" w:type="dxa"/>
            <w:vAlign w:val="bottom"/>
          </w:tcPr>
          <w:p>
            <w:pPr>
              <w:spacing w:after="0"/>
              <w:rPr>
                <w:sz w:val="1"/>
                <w:szCs w:val="1"/>
                <w:color w:val="auto"/>
              </w:rPr>
            </w:pPr>
          </w:p>
        </w:tc>
      </w:tr>
      <w:tr>
        <w:trPr>
          <w:trHeight w:val="212"/>
        </w:trPr>
        <w:tc>
          <w:tcPr>
            <w:tcW w:w="86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issued and outstanding at March 31, 2022; 16,636,483 at June 30, 2021</w:t>
            </w:r>
          </w:p>
        </w:tc>
        <w:tc>
          <w:tcPr>
            <w:tcW w:w="14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Additional paid in capital</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136,181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160,582</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265,609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240,075</w:t>
            </w:r>
          </w:p>
        </w:tc>
        <w:tc>
          <w:tcPr>
            <w:tcW w:w="0" w:type="dxa"/>
            <w:vAlign w:val="bottom"/>
          </w:tcPr>
          <w:p>
            <w:pPr>
              <w:spacing w:after="0"/>
              <w:rPr>
                <w:sz w:val="1"/>
                <w:szCs w:val="1"/>
                <w:color w:val="auto"/>
              </w:rPr>
            </w:pPr>
          </w:p>
        </w:tc>
      </w:tr>
      <w:tr>
        <w:trPr>
          <w:trHeight w:val="213"/>
        </w:trPr>
        <w:tc>
          <w:tcPr>
            <w:tcW w:w="8640" w:type="dxa"/>
            <w:vAlign w:val="bottom"/>
          </w:tcPr>
          <w:p>
            <w:pPr>
              <w:ind w:left="140"/>
              <w:spacing w:after="0"/>
              <w:rPr>
                <w:sz w:val="20"/>
                <w:szCs w:val="20"/>
                <w:color w:val="auto"/>
              </w:rPr>
            </w:pPr>
            <w:r>
              <w:rPr>
                <w:rFonts w:ascii="Arial" w:cs="Arial" w:eastAsia="Arial" w:hAnsi="Arial"/>
                <w:sz w:val="16"/>
                <w:szCs w:val="16"/>
                <w:color w:val="auto"/>
              </w:rPr>
              <w:t>Unearned ESOP shares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(5,422)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(5,819)</w:t>
            </w:r>
          </w:p>
        </w:tc>
        <w:tc>
          <w:tcPr>
            <w:tcW w:w="0" w:type="dxa"/>
            <w:vAlign w:val="bottom"/>
          </w:tcPr>
          <w:p>
            <w:pPr>
              <w:spacing w:after="0"/>
              <w:rPr>
                <w:sz w:val="1"/>
                <w:szCs w:val="1"/>
                <w:color w:val="auto"/>
              </w:rPr>
            </w:pPr>
          </w:p>
        </w:tc>
      </w:tr>
      <w:tr>
        <w:trPr>
          <w:trHeight w:val="219"/>
        </w:trPr>
        <w:tc>
          <w:tcPr>
            <w:tcW w:w="86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Accumulated other comprehensive income (loss)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7"/>
        </w:trPr>
        <w:tc>
          <w:tcPr>
            <w:tcW w:w="86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395,131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396,519</w:t>
            </w:r>
          </w:p>
        </w:tc>
        <w:tc>
          <w:tcPr>
            <w:tcW w:w="0" w:type="dxa"/>
            <w:vAlign w:val="bottom"/>
          </w:tcPr>
          <w:p>
            <w:pPr>
              <w:spacing w:after="0"/>
              <w:rPr>
                <w:sz w:val="1"/>
                <w:szCs w:val="1"/>
                <w:color w:val="auto"/>
              </w:rPr>
            </w:pPr>
          </w:p>
        </w:tc>
      </w:tr>
      <w:tr>
        <w:trPr>
          <w:trHeight w:val="237"/>
        </w:trPr>
        <w:tc>
          <w:tcPr>
            <w:tcW w:w="86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3,541,785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3,524,723</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Income</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180" w:type="dxa"/>
            <w:vAlign w:val="bottom"/>
          </w:tcPr>
          <w:p>
            <w:pPr>
              <w:spacing w:after="0"/>
              <w:rPr>
                <w:sz w:val="17"/>
                <w:szCs w:val="17"/>
                <w:color w:val="auto"/>
              </w:rPr>
            </w:pPr>
          </w:p>
        </w:tc>
        <w:tc>
          <w:tcPr>
            <w:tcW w:w="2960" w:type="dxa"/>
            <w:vAlign w:val="bottom"/>
            <w:gridSpan w:val="4"/>
          </w:tcPr>
          <w:p>
            <w:pPr>
              <w:ind w:left="20"/>
              <w:spacing w:after="0"/>
              <w:rPr>
                <w:sz w:val="20"/>
                <w:szCs w:val="20"/>
                <w:color w:val="auto"/>
              </w:rPr>
            </w:pPr>
            <w:r>
              <w:rPr>
                <w:rFonts w:ascii="Arial" w:cs="Arial" w:eastAsia="Arial" w:hAnsi="Arial"/>
                <w:sz w:val="16"/>
                <w:szCs w:val="16"/>
                <w:color w:val="auto"/>
                <w:w w:val="91"/>
              </w:rPr>
              <w:t>(Dollars in thousands, except per share data)</w:t>
            </w: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378"/>
        </w:trPr>
        <w:tc>
          <w:tcPr>
            <w:tcW w:w="41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4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226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41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March 31,</w:t>
            </w:r>
          </w:p>
        </w:tc>
        <w:tc>
          <w:tcPr>
            <w:tcW w:w="900" w:type="dxa"/>
            <w:vAlign w:val="bottom"/>
            <w:tcBorders>
              <w:bottom w:val="single" w:sz="8" w:color="auto"/>
            </w:tcBorders>
          </w:tcPr>
          <w:p>
            <w:pPr>
              <w:spacing w:after="0"/>
              <w:rPr>
                <w:sz w:val="19"/>
                <w:szCs w:val="19"/>
                <w:color w:val="auto"/>
              </w:rPr>
            </w:pPr>
          </w:p>
        </w:tc>
      </w:tr>
      <w:tr>
        <w:trPr>
          <w:trHeight w:val="210"/>
        </w:trPr>
        <w:tc>
          <w:tcPr>
            <w:tcW w:w="4180" w:type="dxa"/>
            <w:vAlign w:val="bottom"/>
            <w:tcBorders>
              <w:bottom w:val="single" w:sz="8" w:color="CCEEFF"/>
            </w:tcBorders>
          </w:tcPr>
          <w:p>
            <w:pPr>
              <w:spacing w:after="0"/>
              <w:rPr>
                <w:sz w:val="18"/>
                <w:szCs w:val="18"/>
                <w:color w:val="auto"/>
              </w:rPr>
            </w:pPr>
          </w:p>
        </w:tc>
        <w:tc>
          <w:tcPr>
            <w:tcW w:w="1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r>
      <w:tr>
        <w:trPr>
          <w:trHeight w:val="19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 and dividend income</w:t>
            </w:r>
          </w:p>
        </w:tc>
        <w:tc>
          <w:tcPr>
            <w:tcW w:w="1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Loans</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26,616</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27,629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81,440</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84,564</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paper and interest-bearing deposits</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Debt securities available for sale</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1,528</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investments</w:t>
            </w:r>
          </w:p>
        </w:tc>
        <w:tc>
          <w:tcPr>
            <w:tcW w:w="15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w:t>
            </w:r>
          </w:p>
        </w:tc>
      </w:tr>
      <w:tr>
        <w:trPr>
          <w:trHeight w:val="206"/>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and dividend income</w:t>
            </w:r>
          </w:p>
        </w:tc>
        <w:tc>
          <w:tcPr>
            <w:tcW w:w="15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28,195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29,321</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85,988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89,927</w:t>
            </w:r>
          </w:p>
        </w:tc>
      </w:tr>
      <w:tr>
        <w:trPr>
          <w:trHeight w:val="267"/>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 expense</w:t>
            </w:r>
          </w:p>
        </w:tc>
        <w:tc>
          <w:tcPr>
            <w:tcW w:w="1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Deposits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1,151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1,996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4,028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7,596</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w:t>
            </w:r>
          </w:p>
        </w:tc>
        <w:tc>
          <w:tcPr>
            <w:tcW w:w="15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5,007</w:t>
            </w:r>
          </w:p>
        </w:tc>
      </w:tr>
      <w:tr>
        <w:trPr>
          <w:trHeight w:val="206"/>
        </w:trPr>
        <w:tc>
          <w:tcPr>
            <w:tcW w:w="4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interest expense</w:t>
            </w:r>
          </w:p>
        </w:tc>
        <w:tc>
          <w:tcPr>
            <w:tcW w:w="15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4,073</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12,603</w:t>
            </w:r>
          </w:p>
        </w:tc>
      </w:tr>
      <w:tr>
        <w:trPr>
          <w:trHeight w:val="21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interest income</w:t>
            </w:r>
          </w:p>
        </w:tc>
        <w:tc>
          <w:tcPr>
            <w:tcW w:w="1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27,040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25,693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77,324</w:t>
            </w:r>
          </w:p>
        </w:tc>
      </w:tr>
      <w:tr>
        <w:trPr>
          <w:trHeight w:val="213"/>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Provision (benefit) for credit losses</w:t>
            </w:r>
          </w:p>
        </w:tc>
        <w:tc>
          <w:tcPr>
            <w:tcW w:w="1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(6,180)</w:t>
            </w:r>
          </w:p>
        </w:tc>
      </w:tr>
      <w:tr>
        <w:trPr>
          <w:trHeight w:val="212"/>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w w:val="90"/>
              </w:rPr>
              <w:t>Net interest income after provision (benefit) for credit losses</w:t>
            </w:r>
          </w:p>
        </w:tc>
        <w:tc>
          <w:tcPr>
            <w:tcW w:w="1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27,085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29,793</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85,920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83,504</w:t>
            </w:r>
          </w:p>
        </w:tc>
      </w:tr>
      <w:tr>
        <w:trPr>
          <w:trHeight w:val="261"/>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Noninterest income</w:t>
            </w: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 charges and fees on deposit accounts</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6,707</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Loan income and fees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752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1,679</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Gain on sale of loans held for sale</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10,927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11,929</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BOLI income</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508</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1,551</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income</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w:t>
            </w:r>
          </w:p>
        </w:tc>
      </w:tr>
      <w:tr>
        <w:trPr>
          <w:trHeight w:val="213"/>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2,688</w:t>
            </w:r>
          </w:p>
        </w:tc>
      </w:tr>
      <w:tr>
        <w:trPr>
          <w:trHeight w:val="213"/>
        </w:trPr>
        <w:tc>
          <w:tcPr>
            <w:tcW w:w="4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noninterest income</w:t>
            </w:r>
          </w:p>
        </w:tc>
        <w:tc>
          <w:tcPr>
            <w:tcW w:w="1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8,947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29,480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28,661</w:t>
            </w:r>
          </w:p>
        </w:tc>
      </w:tr>
      <w:tr>
        <w:trPr>
          <w:trHeight w:val="260"/>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Noninterest expense</w:t>
            </w:r>
          </w:p>
        </w:tc>
        <w:tc>
          <w:tcPr>
            <w:tcW w:w="1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Salaries and employee benefits</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46,691</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Occupancy expense, net</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2,483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2,456</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7,201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7,010</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Computer services</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7,108</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Telephone, postage, and supplies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686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812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2,133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2,345</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Marketing and advertising</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Deposit insurance premiums</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1,361</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REO related expense, net</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Core deposit intangible amortization</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605</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Prepayment penalties on borrowings</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3,656</w:t>
            </w:r>
          </w:p>
        </w:tc>
      </w:tr>
      <w:tr>
        <w:trPr>
          <w:trHeight w:val="213"/>
        </w:trPr>
        <w:tc>
          <w:tcPr>
            <w:tcW w:w="4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15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4,190</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12,285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12,740</w:t>
            </w:r>
          </w:p>
        </w:tc>
      </w:tr>
      <w:tr>
        <w:trPr>
          <w:trHeight w:val="213"/>
        </w:trPr>
        <w:tc>
          <w:tcPr>
            <w:tcW w:w="4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noninterest expense</w:t>
            </w:r>
          </w:p>
        </w:tc>
        <w:tc>
          <w:tcPr>
            <w:tcW w:w="1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25,799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30,506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82,949</w:t>
            </w:r>
          </w:p>
        </w:tc>
      </w:tr>
      <w:tr>
        <w:trPr>
          <w:trHeight w:val="207"/>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Net income before income taxes</w:t>
            </w:r>
          </w:p>
        </w:tc>
        <w:tc>
          <w:tcPr>
            <w:tcW w:w="1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10,233</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9,965</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29,216</w:t>
            </w:r>
          </w:p>
        </w:tc>
      </w:tr>
      <w:tr>
        <w:trPr>
          <w:trHeight w:val="216"/>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tax expense</w:t>
            </w:r>
          </w:p>
        </w:tc>
        <w:tc>
          <w:tcPr>
            <w:tcW w:w="15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2,096</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6,133</w:t>
            </w:r>
          </w:p>
        </w:tc>
      </w:tr>
      <w:tr>
        <w:trPr>
          <w:trHeight w:val="212"/>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Net income</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8,023</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7,869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29,628</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23,083</w:t>
            </w: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 share data:</w:t>
            </w:r>
          </w:p>
        </w:tc>
        <w:tc>
          <w:tcPr>
            <w:tcW w:w="1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67"/>
        </w:trPr>
        <w:tc>
          <w:tcPr>
            <w:tcW w:w="4180" w:type="dxa"/>
            <w:vAlign w:val="bottom"/>
          </w:tcPr>
          <w:p>
            <w:pPr>
              <w:ind w:left="20"/>
              <w:spacing w:after="0"/>
              <w:rPr>
                <w:sz w:val="20"/>
                <w:szCs w:val="20"/>
                <w:color w:val="auto"/>
              </w:rPr>
            </w:pPr>
            <w:r>
              <w:rPr>
                <w:rFonts w:ascii="Arial" w:cs="Arial" w:eastAsia="Arial" w:hAnsi="Arial"/>
                <w:sz w:val="16"/>
                <w:szCs w:val="16"/>
                <w:color w:val="auto"/>
              </w:rPr>
              <w:t>Net income per common share:</w:t>
            </w:r>
          </w:p>
        </w:tc>
        <w:tc>
          <w:tcPr>
            <w:tcW w:w="1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19"/>
        </w:trPr>
        <w:tc>
          <w:tcPr>
            <w:tcW w:w="4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Basic</w:t>
            </w:r>
          </w:p>
        </w:tc>
        <w:tc>
          <w:tcPr>
            <w:tcW w:w="18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0.49</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r>
      <w:tr>
        <w:trPr>
          <w:trHeight w:val="213"/>
        </w:trPr>
        <w:tc>
          <w:tcPr>
            <w:tcW w:w="4180" w:type="dxa"/>
            <w:vAlign w:val="bottom"/>
          </w:tcPr>
          <w:p>
            <w:pPr>
              <w:ind w:left="220"/>
              <w:spacing w:after="0"/>
              <w:rPr>
                <w:sz w:val="20"/>
                <w:szCs w:val="20"/>
                <w:color w:val="auto"/>
              </w:rPr>
            </w:pPr>
            <w:r>
              <w:rPr>
                <w:rFonts w:ascii="Arial" w:cs="Arial" w:eastAsia="Arial" w:hAnsi="Arial"/>
                <w:sz w:val="16"/>
                <w:szCs w:val="16"/>
                <w:color w:val="auto"/>
              </w:rPr>
              <w:t>Diluted</w:t>
            </w:r>
          </w:p>
        </w:tc>
        <w:tc>
          <w:tcPr>
            <w:tcW w:w="18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0.51</w:t>
            </w:r>
          </w:p>
        </w:tc>
        <w:tc>
          <w:tcPr>
            <w:tcW w:w="8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273"/>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shares outstanding:</w:t>
            </w:r>
          </w:p>
        </w:tc>
        <w:tc>
          <w:tcPr>
            <w:tcW w:w="1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13"/>
        </w:trPr>
        <w:tc>
          <w:tcPr>
            <w:tcW w:w="4180" w:type="dxa"/>
            <w:vAlign w:val="bottom"/>
          </w:tcPr>
          <w:p>
            <w:pPr>
              <w:ind w:left="220"/>
              <w:spacing w:after="0"/>
              <w:rPr>
                <w:sz w:val="20"/>
                <w:szCs w:val="20"/>
                <w:color w:val="auto"/>
              </w:rPr>
            </w:pPr>
            <w:r>
              <w:rPr>
                <w:rFonts w:ascii="Arial" w:cs="Arial" w:eastAsia="Arial" w:hAnsi="Arial"/>
                <w:sz w:val="16"/>
                <w:szCs w:val="16"/>
                <w:color w:val="auto"/>
              </w:rPr>
              <w:t>Basic</w:t>
            </w:r>
          </w:p>
        </w:tc>
        <w:tc>
          <w:tcPr>
            <w:tcW w:w="1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15,523,813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15,979,590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4"/>
              </w:rPr>
              <w:t>15,666,093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16,139,059</w:t>
            </w:r>
          </w:p>
        </w:tc>
      </w:tr>
      <w:tr>
        <w:trPr>
          <w:trHeight w:val="219"/>
        </w:trPr>
        <w:tc>
          <w:tcPr>
            <w:tcW w:w="4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Diluted</w:t>
            </w:r>
          </w:p>
        </w:tc>
        <w:tc>
          <w:tcPr>
            <w:tcW w:w="1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15,793,012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16,485,718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15,997,377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16,339,130</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40"/>
          </w:cols>
          <w:pgMar w:left="320" w:top="110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8"/>
                <w:szCs w:val="18"/>
                <w:color w:val="auto"/>
              </w:rPr>
            </w:pPr>
          </w:p>
        </w:tc>
        <w:tc>
          <w:tcPr>
            <w:tcW w:w="212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9"/>
        </w:trPr>
        <w:tc>
          <w:tcPr>
            <w:tcW w:w="60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w:t>
            </w:r>
          </w:p>
        </w:tc>
        <w:tc>
          <w:tcPr>
            <w:tcW w:w="8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33"/>
        </w:trPr>
        <w:tc>
          <w:tcPr>
            <w:tcW w:w="60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0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8,023</w:t>
            </w:r>
          </w:p>
        </w:tc>
        <w:tc>
          <w:tcPr>
            <w:tcW w:w="1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7,869</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29,628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23,083</w:t>
            </w:r>
          </w:p>
        </w:tc>
        <w:tc>
          <w:tcPr>
            <w:tcW w:w="0" w:type="dxa"/>
            <w:vAlign w:val="bottom"/>
          </w:tcPr>
          <w:p>
            <w:pPr>
              <w:spacing w:after="0"/>
              <w:rPr>
                <w:sz w:val="1"/>
                <w:szCs w:val="1"/>
                <w:color w:val="auto"/>
              </w:rPr>
            </w:pPr>
          </w:p>
        </w:tc>
      </w:tr>
      <w:tr>
        <w:trPr>
          <w:trHeight w:val="266"/>
        </w:trPr>
        <w:tc>
          <w:tcPr>
            <w:tcW w:w="6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comprehensive loss</w:t>
            </w:r>
          </w:p>
        </w:tc>
        <w:tc>
          <w:tcPr>
            <w:tcW w:w="28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6080" w:type="dxa"/>
            <w:vAlign w:val="bottom"/>
          </w:tcPr>
          <w:p>
            <w:pPr>
              <w:ind w:left="100"/>
              <w:spacing w:after="0"/>
              <w:rPr>
                <w:sz w:val="20"/>
                <w:szCs w:val="20"/>
                <w:color w:val="auto"/>
              </w:rPr>
            </w:pPr>
            <w:r>
              <w:rPr>
                <w:rFonts w:ascii="Arial" w:cs="Arial" w:eastAsia="Arial" w:hAnsi="Arial"/>
                <w:sz w:val="16"/>
                <w:szCs w:val="16"/>
                <w:color w:val="auto"/>
              </w:rPr>
              <w:t>Unrealized holding losses on debt securities available for sale</w:t>
            </w: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Losses arising during the period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Deferred income tax benefit</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other comprehensive loss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07"/>
        </w:trPr>
        <w:tc>
          <w:tcPr>
            <w:tcW w:w="6080" w:type="dxa"/>
            <w:vAlign w:val="bottom"/>
          </w:tcPr>
          <w:p>
            <w:pPr>
              <w:ind w:left="20"/>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6,026</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7,223</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26,717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22,525</w:t>
            </w:r>
          </w:p>
        </w:tc>
        <w:tc>
          <w:tcPr>
            <w:tcW w:w="0" w:type="dxa"/>
            <w:vAlign w:val="bottom"/>
          </w:tcPr>
          <w:p>
            <w:pPr>
              <w:spacing w:after="0"/>
              <w:rPr>
                <w:sz w:val="1"/>
                <w:szCs w:val="1"/>
                <w:color w:val="auto"/>
              </w:rPr>
            </w:pPr>
          </w:p>
        </w:tc>
      </w:tr>
      <w:tr>
        <w:trPr>
          <w:trHeight w:val="23"/>
        </w:trPr>
        <w:tc>
          <w:tcPr>
            <w:tcW w:w="60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Consolidated Statements of Changes in Stockholders' Equity</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8"/>
          </w:tcPr>
          <w:p>
            <w:pPr>
              <w:jc w:val="center"/>
              <w:ind w:left="279"/>
              <w:spacing w:after="0"/>
              <w:rPr>
                <w:sz w:val="20"/>
                <w:szCs w:val="20"/>
                <w:color w:val="auto"/>
              </w:rPr>
            </w:pPr>
            <w:r>
              <w:rPr>
                <w:rFonts w:ascii="Arial" w:cs="Arial" w:eastAsia="Arial" w:hAnsi="Arial"/>
                <w:sz w:val="16"/>
                <w:szCs w:val="16"/>
                <w:b w:val="1"/>
                <w:bCs w:val="1"/>
                <w:color w:val="auto"/>
                <w:w w:val="93"/>
              </w:rPr>
              <w:t>Three Months Ended March 31, 2022</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Unearned</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72"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4"/>
                <w:szCs w:val="14"/>
                <w:color w:val="auto"/>
              </w:rPr>
            </w:pPr>
          </w:p>
        </w:tc>
        <w:tc>
          <w:tcPr>
            <w:tcW w:w="11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16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74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Paid In</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ESOP</w:t>
            </w:r>
          </w:p>
        </w:tc>
        <w:tc>
          <w:tcPr>
            <w:tcW w:w="12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0"/>
                <w:szCs w:val="10"/>
                <w:color w:val="auto"/>
              </w:rPr>
            </w:pPr>
          </w:p>
        </w:tc>
        <w:tc>
          <w:tcPr>
            <w:tcW w:w="114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16,303,461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147,552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258,986</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(5,555)</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401,746</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8,023</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9"/>
              </w:rPr>
              <w:t>Cash dividends declared on common</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stock, $0.09/ common share</w:t>
            </w: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Common stock repurchased</w:t>
            </w:r>
          </w:p>
        </w:tc>
        <w:tc>
          <w:tcPr>
            <w:tcW w:w="1060" w:type="dxa"/>
            <w:vAlign w:val="bottom"/>
          </w:tcPr>
          <w:p>
            <w:pPr>
              <w:jc w:val="right"/>
              <w:spacing w:after="0"/>
              <w:rPr>
                <w:sz w:val="20"/>
                <w:szCs w:val="20"/>
                <w:color w:val="auto"/>
              </w:rPr>
            </w:pPr>
            <w:r>
              <w:rPr>
                <w:rFonts w:ascii="Arial" w:cs="Arial" w:eastAsia="Arial" w:hAnsi="Arial"/>
                <w:sz w:val="16"/>
                <w:szCs w:val="16"/>
                <w:color w:val="auto"/>
              </w:rPr>
              <w:t>(419,931)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(12,915)</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 restricted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Retired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(8,627)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Exercised stock options</w:t>
            </w:r>
          </w:p>
        </w:tc>
        <w:tc>
          <w:tcPr>
            <w:tcW w:w="1060" w:type="dxa"/>
            <w:vAlign w:val="bottom"/>
          </w:tcPr>
          <w:p>
            <w:pPr>
              <w:jc w:val="right"/>
              <w:spacing w:after="0"/>
              <w:rPr>
                <w:sz w:val="20"/>
                <w:szCs w:val="20"/>
                <w:color w:val="auto"/>
              </w:rPr>
            </w:pPr>
            <w:r>
              <w:rPr>
                <w:rFonts w:ascii="Arial" w:cs="Arial" w:eastAsia="Arial" w:hAnsi="Arial"/>
                <w:sz w:val="16"/>
                <w:szCs w:val="16"/>
                <w:color w:val="auto"/>
              </w:rPr>
              <w:t>65,836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8"/>
              </w:rPr>
              <w:t>Share-based compensation expense</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ESOP compensation expense</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207"/>
        </w:trPr>
        <w:tc>
          <w:tcPr>
            <w:tcW w:w="274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15,978,262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136,181</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265,609</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(5,422)</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395,131</w:t>
            </w:r>
          </w:p>
        </w:tc>
        <w:tc>
          <w:tcPr>
            <w:tcW w:w="0" w:type="dxa"/>
            <w:vAlign w:val="bottom"/>
          </w:tcPr>
          <w:p>
            <w:pPr>
              <w:spacing w:after="0"/>
              <w:rPr>
                <w:sz w:val="1"/>
                <w:szCs w:val="1"/>
                <w:color w:val="auto"/>
              </w:rPr>
            </w:pPr>
          </w:p>
        </w:tc>
      </w:tr>
      <w:tr>
        <w:trPr>
          <w:trHeight w:val="23"/>
        </w:trPr>
        <w:tc>
          <w:tcPr>
            <w:tcW w:w="2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8"/>
        </w:trPr>
        <w:tc>
          <w:tcPr>
            <w:tcW w:w="2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4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8"/>
          </w:tcPr>
          <w:p>
            <w:pPr>
              <w:jc w:val="center"/>
              <w:ind w:left="279"/>
              <w:spacing w:after="0"/>
              <w:rPr>
                <w:sz w:val="20"/>
                <w:szCs w:val="20"/>
                <w:color w:val="auto"/>
              </w:rPr>
            </w:pPr>
            <w:r>
              <w:rPr>
                <w:rFonts w:ascii="Arial" w:cs="Arial" w:eastAsia="Arial" w:hAnsi="Arial"/>
                <w:sz w:val="16"/>
                <w:szCs w:val="16"/>
                <w:b w:val="1"/>
                <w:bCs w:val="1"/>
                <w:color w:val="auto"/>
                <w:w w:val="93"/>
              </w:rPr>
              <w:t>Nine Months Ended March 31, 2022</w:t>
            </w: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Unearned</w:t>
            </w:r>
          </w:p>
        </w:tc>
        <w:tc>
          <w:tcPr>
            <w:tcW w:w="120" w:type="dxa"/>
            <w:vAlign w:val="bottom"/>
          </w:tcPr>
          <w:p>
            <w:pPr>
              <w:spacing w:after="0"/>
              <w:rPr>
                <w:sz w:val="14"/>
                <w:szCs w:val="14"/>
                <w:color w:val="auto"/>
              </w:rPr>
            </w:pPr>
          </w:p>
        </w:tc>
        <w:tc>
          <w:tcPr>
            <w:tcW w:w="1400" w:type="dxa"/>
            <w:vAlign w:val="bottom"/>
            <w:gridSpan w:val="2"/>
          </w:tcPr>
          <w:p>
            <w:pPr>
              <w:jc w:val="center"/>
              <w:ind w:right="240"/>
              <w:spacing w:after="0" w:line="172" w:lineRule="exact"/>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4"/>
                <w:szCs w:val="14"/>
                <w:color w:val="auto"/>
              </w:rPr>
            </w:pPr>
          </w:p>
        </w:tc>
        <w:tc>
          <w:tcPr>
            <w:tcW w:w="1140" w:type="dxa"/>
            <w:vAlign w:val="bottom"/>
            <w:vMerge w:val="restart"/>
          </w:tcPr>
          <w:p>
            <w:pPr>
              <w:jc w:val="center"/>
              <w:ind w:right="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2160" w:type="dxa"/>
            <w:vAlign w:val="bottom"/>
            <w:gridSpan w:val="4"/>
            <w:vMerge w:val="restart"/>
          </w:tcPr>
          <w:p>
            <w:pPr>
              <w:jc w:val="right"/>
              <w:ind w:right="479"/>
              <w:spacing w:after="0"/>
              <w:rPr>
                <w:sz w:val="20"/>
                <w:szCs w:val="20"/>
                <w:color w:val="auto"/>
              </w:rPr>
            </w:pPr>
            <w:r>
              <w:rPr>
                <w:rFonts w:ascii="Arial" w:cs="Arial" w:eastAsia="Arial" w:hAnsi="Arial"/>
                <w:sz w:val="16"/>
                <w:szCs w:val="16"/>
                <w:b w:val="1"/>
                <w:bCs w:val="1"/>
                <w:color w:val="auto"/>
              </w:rPr>
              <w:t>Common Stock</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Other</w:t>
            </w:r>
          </w:p>
        </w:tc>
        <w:tc>
          <w:tcPr>
            <w:tcW w:w="12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740" w:type="dxa"/>
            <w:vAlign w:val="bottom"/>
          </w:tcPr>
          <w:p>
            <w:pPr>
              <w:spacing w:after="0"/>
              <w:rPr>
                <w:sz w:val="10"/>
                <w:szCs w:val="10"/>
                <w:color w:val="auto"/>
              </w:rPr>
            </w:pPr>
          </w:p>
        </w:tc>
        <w:tc>
          <w:tcPr>
            <w:tcW w:w="21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9"/>
              </w:rPr>
              <w:t>Paid In</w:t>
            </w:r>
          </w:p>
        </w:tc>
        <w:tc>
          <w:tcPr>
            <w:tcW w:w="120" w:type="dxa"/>
            <w:vAlign w:val="bottom"/>
          </w:tcPr>
          <w:p>
            <w:pPr>
              <w:spacing w:after="0"/>
              <w:rPr>
                <w:sz w:val="10"/>
                <w:szCs w:val="10"/>
                <w:color w:val="auto"/>
              </w:rPr>
            </w:pPr>
          </w:p>
        </w:tc>
        <w:tc>
          <w:tcPr>
            <w:tcW w:w="96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Retained</w:t>
            </w:r>
          </w:p>
        </w:tc>
        <w:tc>
          <w:tcPr>
            <w:tcW w:w="100" w:type="dxa"/>
            <w:vAlign w:val="bottom"/>
          </w:tcPr>
          <w:p>
            <w:pPr>
              <w:spacing w:after="0"/>
              <w:rPr>
                <w:sz w:val="10"/>
                <w:szCs w:val="10"/>
                <w:color w:val="auto"/>
              </w:rPr>
            </w:pPr>
          </w:p>
        </w:tc>
        <w:tc>
          <w:tcPr>
            <w:tcW w:w="98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ESOP</w:t>
            </w:r>
          </w:p>
        </w:tc>
        <w:tc>
          <w:tcPr>
            <w:tcW w:w="120" w:type="dxa"/>
            <w:vAlign w:val="bottom"/>
          </w:tcPr>
          <w:p>
            <w:pPr>
              <w:spacing w:after="0"/>
              <w:rPr>
                <w:sz w:val="10"/>
                <w:szCs w:val="10"/>
                <w:color w:val="auto"/>
              </w:rPr>
            </w:pPr>
          </w:p>
        </w:tc>
        <w:tc>
          <w:tcPr>
            <w:tcW w:w="140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0"/>
                <w:szCs w:val="10"/>
                <w:color w:val="auto"/>
              </w:rPr>
            </w:pPr>
          </w:p>
        </w:tc>
        <w:tc>
          <w:tcPr>
            <w:tcW w:w="1140" w:type="dxa"/>
            <w:vAlign w:val="bottom"/>
            <w:vMerge w:val="restart"/>
          </w:tcPr>
          <w:p>
            <w:pPr>
              <w:jc w:val="center"/>
              <w:ind w:right="59"/>
              <w:spacing w:after="0" w:line="162" w:lineRule="exact"/>
              <w:rPr>
                <w:sz w:val="20"/>
                <w:szCs w:val="20"/>
                <w:color w:val="auto"/>
              </w:rPr>
            </w:pPr>
            <w:r>
              <w:rPr>
                <w:rFonts w:ascii="Arial" w:cs="Arial" w:eastAsia="Arial" w:hAnsi="Arial"/>
                <w:sz w:val="16"/>
                <w:szCs w:val="16"/>
                <w:b w:val="1"/>
                <w:bCs w:val="1"/>
                <w:color w:val="auto"/>
                <w:w w:val="91"/>
              </w:rPr>
              <w:t>Stockholders'</w:t>
            </w: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18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Capital</w:t>
            </w:r>
          </w:p>
        </w:tc>
        <w:tc>
          <w:tcPr>
            <w:tcW w:w="1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0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Income</w:t>
            </w:r>
          </w:p>
        </w:tc>
        <w:tc>
          <w:tcPr>
            <w:tcW w:w="120" w:type="dxa"/>
            <w:vAlign w:val="bottom"/>
          </w:tcPr>
          <w:p>
            <w:pPr>
              <w:spacing w:after="0"/>
              <w:rPr>
                <w:sz w:val="18"/>
                <w:szCs w:val="18"/>
                <w:color w:val="auto"/>
              </w:rPr>
            </w:pPr>
          </w:p>
        </w:tc>
        <w:tc>
          <w:tcPr>
            <w:tcW w:w="1140" w:type="dxa"/>
            <w:vAlign w:val="bottom"/>
          </w:tcPr>
          <w:p>
            <w:pPr>
              <w:jc w:val="center"/>
              <w:ind w:right="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2"/>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16,636,483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160,582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240,075</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(5,819)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396,519</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29,628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29,628</w:t>
            </w:r>
          </w:p>
        </w:tc>
        <w:tc>
          <w:tcPr>
            <w:tcW w:w="0" w:type="dxa"/>
            <w:vAlign w:val="bottom"/>
          </w:tcPr>
          <w:p>
            <w:pPr>
              <w:spacing w:after="0"/>
              <w:rPr>
                <w:sz w:val="1"/>
                <w:szCs w:val="1"/>
                <w:color w:val="auto"/>
              </w:rPr>
            </w:pPr>
          </w:p>
        </w:tc>
      </w:tr>
      <w:tr>
        <w:trPr>
          <w:trHeight w:val="169"/>
        </w:trPr>
        <w:tc>
          <w:tcPr>
            <w:tcW w:w="27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8"/>
              </w:rPr>
              <w:t>Cash dividends declared on common</w:t>
            </w: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(4,094)</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(4,094)</w:t>
            </w:r>
          </w:p>
        </w:tc>
        <w:tc>
          <w:tcPr>
            <w:tcW w:w="0" w:type="dxa"/>
            <w:vAlign w:val="bottom"/>
          </w:tcPr>
          <w:p>
            <w:pPr>
              <w:spacing w:after="0"/>
              <w:rPr>
                <w:sz w:val="1"/>
                <w:szCs w:val="1"/>
                <w:color w:val="auto"/>
              </w:rPr>
            </w:pPr>
          </w:p>
        </w:tc>
      </w:tr>
      <w:tr>
        <w:trPr>
          <w:trHeight w:val="212"/>
        </w:trPr>
        <w:tc>
          <w:tcPr>
            <w:tcW w:w="274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rPr>
              <w:t>stock, $0.26/common share</w:t>
            </w:r>
          </w:p>
        </w:tc>
        <w:tc>
          <w:tcPr>
            <w:tcW w:w="11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Common stock repurchased</w:t>
            </w:r>
          </w:p>
        </w:tc>
        <w:tc>
          <w:tcPr>
            <w:tcW w:w="1060" w:type="dxa"/>
            <w:vAlign w:val="bottom"/>
          </w:tcPr>
          <w:p>
            <w:pPr>
              <w:jc w:val="right"/>
              <w:spacing w:after="0"/>
              <w:rPr>
                <w:sz w:val="20"/>
                <w:szCs w:val="20"/>
                <w:color w:val="auto"/>
              </w:rPr>
            </w:pPr>
            <w:r>
              <w:rPr>
                <w:rFonts w:ascii="Arial" w:cs="Arial" w:eastAsia="Arial" w:hAnsi="Arial"/>
                <w:sz w:val="16"/>
                <w:szCs w:val="16"/>
                <w:color w:val="auto"/>
              </w:rPr>
              <w:t>(1,095,763)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(32,307)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(32,318)</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 restricted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Retired stock</w:t>
            </w:r>
          </w:p>
        </w:tc>
        <w:tc>
          <w:tcPr>
            <w:tcW w:w="1060" w:type="dxa"/>
            <w:vAlign w:val="bottom"/>
          </w:tcPr>
          <w:p>
            <w:pPr>
              <w:jc w:val="right"/>
              <w:spacing w:after="0"/>
              <w:rPr>
                <w:sz w:val="20"/>
                <w:szCs w:val="20"/>
                <w:color w:val="auto"/>
              </w:rPr>
            </w:pPr>
            <w:r>
              <w:rPr>
                <w:rFonts w:ascii="Arial" w:cs="Arial" w:eastAsia="Arial" w:hAnsi="Arial"/>
                <w:sz w:val="16"/>
                <w:szCs w:val="16"/>
                <w:color w:val="auto"/>
              </w:rPr>
              <w:t>(11,335)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(345)</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 restricted stock</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40,123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Stock issued for RSUs</w:t>
            </w:r>
          </w:p>
        </w:tc>
        <w:tc>
          <w:tcPr>
            <w:tcW w:w="1060" w:type="dxa"/>
            <w:vAlign w:val="bottom"/>
          </w:tcPr>
          <w:p>
            <w:pPr>
              <w:jc w:val="right"/>
              <w:spacing w:after="0"/>
              <w:rPr>
                <w:sz w:val="20"/>
                <w:szCs w:val="20"/>
                <w:color w:val="auto"/>
              </w:rPr>
            </w:pPr>
            <w:r>
              <w:rPr>
                <w:rFonts w:ascii="Arial" w:cs="Arial" w:eastAsia="Arial" w:hAnsi="Arial"/>
                <w:sz w:val="16"/>
                <w:szCs w:val="16"/>
                <w:color w:val="auto"/>
              </w:rPr>
              <w:t>7,118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 stock options</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413,636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6,081</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w w:val="98"/>
              </w:rPr>
              <w:t>Share-based compensation expense</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1,407</w:t>
            </w: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ESOP compensation expense</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0" w:type="dxa"/>
            <w:vAlign w:val="bottom"/>
          </w:tcPr>
          <w:p>
            <w:pPr>
              <w:spacing w:after="0"/>
              <w:rPr>
                <w:sz w:val="1"/>
                <w:szCs w:val="1"/>
                <w:color w:val="auto"/>
              </w:rPr>
            </w:pPr>
          </w:p>
        </w:tc>
      </w:tr>
      <w:tr>
        <w:trPr>
          <w:trHeight w:val="213"/>
        </w:trPr>
        <w:tc>
          <w:tcPr>
            <w:tcW w:w="2740" w:type="dxa"/>
            <w:vAlign w:val="bottom"/>
          </w:tcPr>
          <w:p>
            <w:pPr>
              <w:ind w:left="140"/>
              <w:spacing w:after="0"/>
              <w:rPr>
                <w:sz w:val="20"/>
                <w:szCs w:val="20"/>
                <w:color w:val="auto"/>
              </w:rPr>
            </w:pPr>
            <w:r>
              <w:rPr>
                <w:rFonts w:ascii="Arial" w:cs="Arial" w:eastAsia="Arial" w:hAnsi="Arial"/>
                <w:sz w:val="16"/>
                <w:szCs w:val="16"/>
                <w:color w:val="auto"/>
              </w:rPr>
              <w:t>Other comprehensive loss</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(2,911)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(2,911)</w:t>
            </w:r>
          </w:p>
        </w:tc>
        <w:tc>
          <w:tcPr>
            <w:tcW w:w="0" w:type="dxa"/>
            <w:vAlign w:val="bottom"/>
          </w:tcPr>
          <w:p>
            <w:pPr>
              <w:spacing w:after="0"/>
              <w:rPr>
                <w:sz w:val="1"/>
                <w:szCs w:val="1"/>
                <w:color w:val="auto"/>
              </w:rPr>
            </w:pPr>
          </w:p>
        </w:tc>
      </w:tr>
      <w:tr>
        <w:trPr>
          <w:trHeight w:val="235"/>
        </w:trPr>
        <w:tc>
          <w:tcPr>
            <w:tcW w:w="2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15,978,262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136,181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265,609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395,131</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102" w:right="399" w:bottom="1440" w:gutter="0" w:footer="0" w:header="0"/>
        </w:sectPr>
      </w:pPr>
    </w:p>
    <w:bookmarkStart w:id="7" w:name="page8"/>
    <w:bookmarkEnd w:id="7"/>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Changes in Stockholders' Equity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left="119"/>
              <w:spacing w:after="0"/>
              <w:rPr>
                <w:sz w:val="20"/>
                <w:szCs w:val="20"/>
                <w:color w:val="auto"/>
              </w:rPr>
            </w:pPr>
            <w:r>
              <w:rPr>
                <w:rFonts w:ascii="Arial" w:cs="Arial" w:eastAsia="Arial" w:hAnsi="Arial"/>
                <w:sz w:val="16"/>
                <w:szCs w:val="16"/>
                <w:b w:val="1"/>
                <w:bCs w:val="1"/>
                <w:color w:val="auto"/>
                <w:w w:val="94"/>
              </w:rPr>
              <w:t>(Unaudited)</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center"/>
              <w:ind w:left="299"/>
              <w:spacing w:after="0"/>
              <w:rPr>
                <w:sz w:val="20"/>
                <w:szCs w:val="20"/>
                <w:color w:val="auto"/>
              </w:rPr>
            </w:pPr>
            <w:r>
              <w:rPr>
                <w:rFonts w:ascii="Arial" w:cs="Arial" w:eastAsia="Arial" w:hAnsi="Arial"/>
                <w:sz w:val="16"/>
                <w:szCs w:val="16"/>
                <w:b w:val="1"/>
                <w:bCs w:val="1"/>
                <w:color w:val="auto"/>
                <w:w w:val="93"/>
              </w:rPr>
              <w:t>Three Months Ended March 31, 2021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Unearned</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4"/>
                <w:szCs w:val="14"/>
                <w:color w:val="auto"/>
              </w:rPr>
            </w:pPr>
          </w:p>
        </w:tc>
        <w:tc>
          <w:tcPr>
            <w:tcW w:w="11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4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700" w:type="dxa"/>
            <w:vAlign w:val="bottom"/>
          </w:tcPr>
          <w:p>
            <w:pPr>
              <w:spacing w:after="0"/>
              <w:rPr>
                <w:sz w:val="10"/>
                <w:szCs w:val="10"/>
                <w:color w:val="auto"/>
              </w:rPr>
            </w:pPr>
          </w:p>
        </w:tc>
        <w:tc>
          <w:tcPr>
            <w:tcW w:w="22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Paid In</w:t>
            </w:r>
          </w:p>
        </w:tc>
        <w:tc>
          <w:tcPr>
            <w:tcW w:w="140" w:type="dxa"/>
            <w:vAlign w:val="bottom"/>
          </w:tcPr>
          <w:p>
            <w:pPr>
              <w:spacing w:after="0"/>
              <w:rPr>
                <w:sz w:val="10"/>
                <w:szCs w:val="10"/>
                <w:color w:val="auto"/>
              </w:rPr>
            </w:pPr>
          </w:p>
        </w:tc>
        <w:tc>
          <w:tcPr>
            <w:tcW w:w="94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4"/>
              </w:rPr>
              <w:t>ESOP</w:t>
            </w:r>
          </w:p>
        </w:tc>
        <w:tc>
          <w:tcPr>
            <w:tcW w:w="140" w:type="dxa"/>
            <w:vAlign w:val="bottom"/>
          </w:tcPr>
          <w:p>
            <w:pPr>
              <w:spacing w:after="0"/>
              <w:rPr>
                <w:sz w:val="10"/>
                <w:szCs w:val="10"/>
                <w:color w:val="auto"/>
              </w:rPr>
            </w:pPr>
          </w:p>
        </w:tc>
        <w:tc>
          <w:tcPr>
            <w:tcW w:w="138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0"/>
                <w:szCs w:val="10"/>
                <w:color w:val="auto"/>
              </w:rPr>
            </w:pPr>
          </w:p>
        </w:tc>
        <w:tc>
          <w:tcPr>
            <w:tcW w:w="1180" w:type="dxa"/>
            <w:vAlign w:val="bottom"/>
            <w:vMerge w:val="restart"/>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16,791,027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166,352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242,182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404,724</w:t>
            </w:r>
          </w:p>
        </w:tc>
        <w:tc>
          <w:tcPr>
            <w:tcW w:w="0" w:type="dxa"/>
            <w:vAlign w:val="bottom"/>
          </w:tcPr>
          <w:p>
            <w:pPr>
              <w:spacing w:after="0"/>
              <w:rPr>
                <w:sz w:val="1"/>
                <w:szCs w:val="1"/>
                <w:color w:val="auto"/>
              </w:rPr>
            </w:pPr>
          </w:p>
        </w:tc>
      </w:tr>
      <w:tr>
        <w:trPr>
          <w:trHeight w:val="213"/>
        </w:trPr>
        <w:tc>
          <w:tcPr>
            <w:tcW w:w="270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7,869</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00"/>
              <w:spacing w:after="0" w:line="169" w:lineRule="exact"/>
              <w:rPr>
                <w:sz w:val="20"/>
                <w:szCs w:val="20"/>
                <w:color w:val="auto"/>
              </w:rPr>
            </w:pPr>
            <w:r>
              <w:rPr>
                <w:rFonts w:ascii="Arial" w:cs="Arial" w:eastAsia="Arial" w:hAnsi="Arial"/>
                <w:sz w:val="16"/>
                <w:szCs w:val="16"/>
                <w:color w:val="auto"/>
                <w:w w:val="98"/>
              </w:rPr>
              <w:t>Cash dividends declared on common</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(1,284)</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stock, $0.08/common share</w:t>
            </w: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Common stock repurchased</w:t>
            </w:r>
          </w:p>
        </w:tc>
        <w:tc>
          <w:tcPr>
            <w:tcW w:w="1100" w:type="dxa"/>
            <w:vAlign w:val="bottom"/>
          </w:tcPr>
          <w:p>
            <w:pPr>
              <w:jc w:val="right"/>
              <w:spacing w:after="0"/>
              <w:rPr>
                <w:sz w:val="20"/>
                <w:szCs w:val="20"/>
                <w:color w:val="auto"/>
              </w:rPr>
            </w:pPr>
            <w:r>
              <w:rPr>
                <w:rFonts w:ascii="Arial" w:cs="Arial" w:eastAsia="Arial" w:hAnsi="Arial"/>
                <w:sz w:val="16"/>
                <w:szCs w:val="16"/>
                <w:color w:val="auto"/>
              </w:rPr>
              <w:t>(289,333)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(6,544)</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Forfeited restricted stock</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Retired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(8,473)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Granted restricted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Exercised stock options</w:t>
            </w:r>
          </w:p>
        </w:tc>
        <w:tc>
          <w:tcPr>
            <w:tcW w:w="1100" w:type="dxa"/>
            <w:vAlign w:val="bottom"/>
          </w:tcPr>
          <w:p>
            <w:pPr>
              <w:jc w:val="right"/>
              <w:spacing w:after="0"/>
              <w:rPr>
                <w:sz w:val="20"/>
                <w:szCs w:val="20"/>
                <w:color w:val="auto"/>
              </w:rPr>
            </w:pPr>
            <w:r>
              <w:rPr>
                <w:rFonts w:ascii="Arial" w:cs="Arial" w:eastAsia="Arial" w:hAnsi="Arial"/>
                <w:sz w:val="16"/>
                <w:szCs w:val="16"/>
                <w:color w:val="auto"/>
              </w:rPr>
              <w:t>118,866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1,714</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7"/>
              </w:rPr>
              <w:t>Share-based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ESOP compensation expense</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325</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comprehensive loss</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0" w:type="dxa"/>
            <w:vAlign w:val="bottom"/>
          </w:tcPr>
          <w:p>
            <w:pPr>
              <w:spacing w:after="0"/>
              <w:rPr>
                <w:sz w:val="1"/>
                <w:szCs w:val="1"/>
                <w:color w:val="auto"/>
              </w:rPr>
            </w:pPr>
          </w:p>
        </w:tc>
      </w:tr>
      <w:tr>
        <w:trPr>
          <w:trHeight w:val="206"/>
        </w:trPr>
        <w:tc>
          <w:tcPr>
            <w:tcW w:w="2700" w:type="dxa"/>
            <w:vAlign w:val="bottom"/>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16,655,347</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162,010</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248,767</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(5,951)</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406,452</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9"/>
        </w:trPr>
        <w:tc>
          <w:tcPr>
            <w:tcW w:w="2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left="119"/>
              <w:spacing w:after="0"/>
              <w:rPr>
                <w:sz w:val="20"/>
                <w:szCs w:val="20"/>
                <w:color w:val="auto"/>
              </w:rPr>
            </w:pPr>
            <w:r>
              <w:rPr>
                <w:rFonts w:ascii="Arial" w:cs="Arial" w:eastAsia="Arial" w:hAnsi="Arial"/>
                <w:sz w:val="16"/>
                <w:szCs w:val="16"/>
                <w:b w:val="1"/>
                <w:bCs w:val="1"/>
                <w:color w:val="auto"/>
                <w:w w:val="94"/>
              </w:rPr>
              <w:t>(Unaudited)</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7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8"/>
          </w:tcPr>
          <w:p>
            <w:pPr>
              <w:jc w:val="center"/>
              <w:ind w:left="299"/>
              <w:spacing w:after="0"/>
              <w:rPr>
                <w:sz w:val="20"/>
                <w:szCs w:val="20"/>
                <w:color w:val="auto"/>
              </w:rPr>
            </w:pPr>
            <w:r>
              <w:rPr>
                <w:rFonts w:ascii="Arial" w:cs="Arial" w:eastAsia="Arial" w:hAnsi="Arial"/>
                <w:sz w:val="16"/>
                <w:szCs w:val="16"/>
                <w:b w:val="1"/>
                <w:bCs w:val="1"/>
                <w:color w:val="auto"/>
                <w:w w:val="93"/>
              </w:rPr>
              <w:t>Nine Months Ended March 31, 2021</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Unearned</w:t>
            </w:r>
          </w:p>
        </w:tc>
        <w:tc>
          <w:tcPr>
            <w:tcW w:w="140" w:type="dxa"/>
            <w:vAlign w:val="bottom"/>
          </w:tcPr>
          <w:p>
            <w:pPr>
              <w:spacing w:after="0"/>
              <w:rPr>
                <w:sz w:val="14"/>
                <w:szCs w:val="14"/>
                <w:color w:val="auto"/>
              </w:rPr>
            </w:pPr>
          </w:p>
        </w:tc>
        <w:tc>
          <w:tcPr>
            <w:tcW w:w="1380" w:type="dxa"/>
            <w:vAlign w:val="bottom"/>
            <w:gridSpan w:val="2"/>
          </w:tcPr>
          <w:p>
            <w:pPr>
              <w:jc w:val="center"/>
              <w:ind w:right="260"/>
              <w:spacing w:after="0" w:line="172" w:lineRule="exact"/>
              <w:rPr>
                <w:sz w:val="20"/>
                <w:szCs w:val="20"/>
                <w:color w:val="auto"/>
              </w:rPr>
            </w:pPr>
            <w:r>
              <w:rPr>
                <w:rFonts w:ascii="Arial" w:cs="Arial" w:eastAsia="Arial" w:hAnsi="Arial"/>
                <w:sz w:val="16"/>
                <w:szCs w:val="16"/>
                <w:b w:val="1"/>
                <w:bCs w:val="1"/>
                <w:color w:val="auto"/>
                <w:w w:val="91"/>
              </w:rPr>
              <w:t>Accumulated</w:t>
            </w:r>
          </w:p>
        </w:tc>
        <w:tc>
          <w:tcPr>
            <w:tcW w:w="160" w:type="dxa"/>
            <w:vAlign w:val="bottom"/>
          </w:tcPr>
          <w:p>
            <w:pPr>
              <w:spacing w:after="0"/>
              <w:rPr>
                <w:sz w:val="14"/>
                <w:szCs w:val="14"/>
                <w:color w:val="auto"/>
              </w:rPr>
            </w:pPr>
          </w:p>
        </w:tc>
        <w:tc>
          <w:tcPr>
            <w:tcW w:w="11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240" w:type="dxa"/>
            <w:vAlign w:val="bottom"/>
            <w:gridSpan w:val="4"/>
            <w:vMerge w:val="restart"/>
          </w:tcPr>
          <w:p>
            <w:pPr>
              <w:jc w:val="right"/>
              <w:ind w:right="499"/>
              <w:spacing w:after="0"/>
              <w:rPr>
                <w:sz w:val="20"/>
                <w:szCs w:val="20"/>
                <w:color w:val="auto"/>
              </w:rPr>
            </w:pPr>
            <w:r>
              <w:rPr>
                <w:rFonts w:ascii="Arial" w:cs="Arial" w:eastAsia="Arial" w:hAnsi="Arial"/>
                <w:sz w:val="16"/>
                <w:szCs w:val="16"/>
                <w:b w:val="1"/>
                <w:bCs w:val="1"/>
                <w:color w:val="auto"/>
              </w:rPr>
              <w:t>Common Stock</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700" w:type="dxa"/>
            <w:vAlign w:val="bottom"/>
          </w:tcPr>
          <w:p>
            <w:pPr>
              <w:spacing w:after="0"/>
              <w:rPr>
                <w:sz w:val="10"/>
                <w:szCs w:val="10"/>
                <w:color w:val="auto"/>
              </w:rPr>
            </w:pPr>
          </w:p>
        </w:tc>
        <w:tc>
          <w:tcPr>
            <w:tcW w:w="22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gridSpan w:val="2"/>
            <w:vMerge w:val="restart"/>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Paid In</w:t>
            </w:r>
          </w:p>
        </w:tc>
        <w:tc>
          <w:tcPr>
            <w:tcW w:w="140" w:type="dxa"/>
            <w:vAlign w:val="bottom"/>
          </w:tcPr>
          <w:p>
            <w:pPr>
              <w:spacing w:after="0"/>
              <w:rPr>
                <w:sz w:val="10"/>
                <w:szCs w:val="10"/>
                <w:color w:val="auto"/>
              </w:rPr>
            </w:pPr>
          </w:p>
        </w:tc>
        <w:tc>
          <w:tcPr>
            <w:tcW w:w="940" w:type="dxa"/>
            <w:vAlign w:val="bottom"/>
            <w:gridSpan w:val="2"/>
            <w:vMerge w:val="restart"/>
          </w:tcPr>
          <w:p>
            <w:pPr>
              <w:ind w:left="40"/>
              <w:spacing w:after="0" w:line="162" w:lineRule="exact"/>
              <w:rPr>
                <w:sz w:val="20"/>
                <w:szCs w:val="20"/>
                <w:color w:val="auto"/>
              </w:rPr>
            </w:pPr>
            <w:r>
              <w:rPr>
                <w:rFonts w:ascii="Arial" w:cs="Arial" w:eastAsia="Arial" w:hAnsi="Arial"/>
                <w:sz w:val="16"/>
                <w:szCs w:val="16"/>
                <w:b w:val="1"/>
                <w:bCs w:val="1"/>
                <w:color w:val="auto"/>
              </w:rPr>
              <w:t>Retained</w:t>
            </w:r>
          </w:p>
        </w:tc>
        <w:tc>
          <w:tcPr>
            <w:tcW w:w="140" w:type="dxa"/>
            <w:vAlign w:val="bottom"/>
          </w:tcPr>
          <w:p>
            <w:pPr>
              <w:spacing w:after="0"/>
              <w:rPr>
                <w:sz w:val="10"/>
                <w:szCs w:val="10"/>
                <w:color w:val="auto"/>
              </w:rPr>
            </w:pPr>
          </w:p>
        </w:tc>
        <w:tc>
          <w:tcPr>
            <w:tcW w:w="96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94"/>
              </w:rPr>
              <w:t>ESOP</w:t>
            </w:r>
          </w:p>
        </w:tc>
        <w:tc>
          <w:tcPr>
            <w:tcW w:w="140" w:type="dxa"/>
            <w:vAlign w:val="bottom"/>
          </w:tcPr>
          <w:p>
            <w:pPr>
              <w:spacing w:after="0"/>
              <w:rPr>
                <w:sz w:val="10"/>
                <w:szCs w:val="10"/>
                <w:color w:val="auto"/>
              </w:rPr>
            </w:pPr>
          </w:p>
        </w:tc>
        <w:tc>
          <w:tcPr>
            <w:tcW w:w="1380" w:type="dxa"/>
            <w:vAlign w:val="bottom"/>
            <w:gridSpan w:val="2"/>
            <w:vMerge w:val="restart"/>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160" w:type="dxa"/>
            <w:vAlign w:val="bottom"/>
          </w:tcPr>
          <w:p>
            <w:pPr>
              <w:spacing w:after="0"/>
              <w:rPr>
                <w:sz w:val="10"/>
                <w:szCs w:val="10"/>
                <w:color w:val="auto"/>
              </w:rPr>
            </w:pPr>
          </w:p>
        </w:tc>
        <w:tc>
          <w:tcPr>
            <w:tcW w:w="1180" w:type="dxa"/>
            <w:vAlign w:val="bottom"/>
            <w:vMerge w:val="restart"/>
          </w:tcPr>
          <w:p>
            <w:pPr>
              <w:jc w:val="center"/>
              <w:ind w:right="79"/>
              <w:spacing w:after="0" w:line="162" w:lineRule="exact"/>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4"/>
        </w:trPr>
        <w:tc>
          <w:tcPr>
            <w:tcW w:w="2700" w:type="dxa"/>
            <w:vAlign w:val="bottom"/>
          </w:tcPr>
          <w:p>
            <w:pPr>
              <w:spacing w:after="0"/>
              <w:rPr>
                <w:sz w:val="2"/>
                <w:szCs w:val="2"/>
                <w:color w:val="auto"/>
              </w:rPr>
            </w:pPr>
          </w:p>
        </w:tc>
        <w:tc>
          <w:tcPr>
            <w:tcW w:w="1200" w:type="dxa"/>
            <w:vAlign w:val="bottom"/>
            <w:gridSpan w:val="2"/>
            <w:vMerge w:val="restart"/>
          </w:tcPr>
          <w:p>
            <w:pPr>
              <w:ind w:left="32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2"/>
                <w:szCs w:val="2"/>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70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6"/>
              </w:rPr>
              <w:t>Shares</w:t>
            </w: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Income</w:t>
            </w:r>
          </w:p>
        </w:tc>
        <w:tc>
          <w:tcPr>
            <w:tcW w:w="160" w:type="dxa"/>
            <w:vAlign w:val="bottom"/>
          </w:tcPr>
          <w:p>
            <w:pPr>
              <w:spacing w:after="0"/>
              <w:rPr>
                <w:sz w:val="18"/>
                <w:szCs w:val="18"/>
                <w:color w:val="auto"/>
              </w:rPr>
            </w:pPr>
          </w:p>
        </w:tc>
        <w:tc>
          <w:tcPr>
            <w:tcW w:w="11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212"/>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2020</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17,021,357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169,648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242,776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(6,348)</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2,017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408,263</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23,083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23,083</w:t>
            </w:r>
          </w:p>
        </w:tc>
        <w:tc>
          <w:tcPr>
            <w:tcW w:w="0" w:type="dxa"/>
            <w:vAlign w:val="bottom"/>
          </w:tcPr>
          <w:p>
            <w:pPr>
              <w:spacing w:after="0"/>
              <w:rPr>
                <w:sz w:val="1"/>
                <w:szCs w:val="1"/>
                <w:color w:val="auto"/>
              </w:rPr>
            </w:pPr>
          </w:p>
        </w:tc>
      </w:tr>
      <w:tr>
        <w:trPr>
          <w:trHeight w:val="169"/>
        </w:trPr>
        <w:tc>
          <w:tcPr>
            <w:tcW w:w="270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9"/>
              </w:rPr>
              <w:t>Cumulative-effect adjustment due to</w:t>
            </w:r>
          </w:p>
        </w:tc>
        <w:tc>
          <w:tcPr>
            <w:tcW w:w="12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(13,358)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(13,358)</w:t>
            </w:r>
          </w:p>
        </w:tc>
        <w:tc>
          <w:tcPr>
            <w:tcW w:w="0" w:type="dxa"/>
            <w:vAlign w:val="bottom"/>
          </w:tcPr>
          <w:p>
            <w:pPr>
              <w:spacing w:after="0"/>
              <w:rPr>
                <w:sz w:val="1"/>
                <w:szCs w:val="1"/>
                <w:color w:val="auto"/>
              </w:rPr>
            </w:pPr>
          </w:p>
        </w:tc>
      </w:tr>
      <w:tr>
        <w:trPr>
          <w:trHeight w:val="212"/>
        </w:trPr>
        <w:tc>
          <w:tcPr>
            <w:tcW w:w="270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the adoption of ASU 2016-13</w:t>
            </w:r>
          </w:p>
        </w:tc>
        <w:tc>
          <w:tcPr>
            <w:tcW w:w="12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2700" w:type="dxa"/>
            <w:vAlign w:val="bottom"/>
          </w:tcPr>
          <w:p>
            <w:pPr>
              <w:ind w:left="100"/>
              <w:spacing w:after="0" w:line="166" w:lineRule="exact"/>
              <w:rPr>
                <w:sz w:val="20"/>
                <w:szCs w:val="20"/>
                <w:color w:val="auto"/>
              </w:rPr>
            </w:pPr>
            <w:r>
              <w:rPr>
                <w:rFonts w:ascii="Arial" w:cs="Arial" w:eastAsia="Arial" w:hAnsi="Arial"/>
                <w:sz w:val="16"/>
                <w:szCs w:val="16"/>
                <w:color w:val="auto"/>
                <w:w w:val="98"/>
              </w:rPr>
              <w:t>Cash dividends declared on common</w:t>
            </w:r>
          </w:p>
        </w:tc>
        <w:tc>
          <w:tcPr>
            <w:tcW w:w="120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(3,734)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(3,734)</w:t>
            </w:r>
          </w:p>
        </w:tc>
        <w:tc>
          <w:tcPr>
            <w:tcW w:w="0" w:type="dxa"/>
            <w:vAlign w:val="bottom"/>
          </w:tcPr>
          <w:p>
            <w:pPr>
              <w:spacing w:after="0"/>
              <w:rPr>
                <w:sz w:val="1"/>
                <w:szCs w:val="1"/>
                <w:color w:val="auto"/>
              </w:rPr>
            </w:pPr>
          </w:p>
        </w:tc>
      </w:tr>
      <w:tr>
        <w:trPr>
          <w:trHeight w:val="209"/>
        </w:trPr>
        <w:tc>
          <w:tcPr>
            <w:tcW w:w="2700" w:type="dxa"/>
            <w:vAlign w:val="bottom"/>
          </w:tcPr>
          <w:p>
            <w:pPr>
              <w:ind w:left="260"/>
              <w:spacing w:after="0"/>
              <w:rPr>
                <w:sz w:val="20"/>
                <w:szCs w:val="20"/>
                <w:color w:val="auto"/>
              </w:rPr>
            </w:pPr>
            <w:r>
              <w:rPr>
                <w:rFonts w:ascii="Arial" w:cs="Arial" w:eastAsia="Arial" w:hAnsi="Arial"/>
                <w:sz w:val="16"/>
                <w:szCs w:val="16"/>
                <w:color w:val="auto"/>
              </w:rPr>
              <w:t>stock, $0.23/common share</w:t>
            </w:r>
          </w:p>
        </w:tc>
        <w:tc>
          <w:tcPr>
            <w:tcW w:w="1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repurchased</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(11,723)</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Forfeited restricted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(6,575)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Retired stock</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Granted restricted stock</w:t>
            </w:r>
          </w:p>
        </w:tc>
        <w:tc>
          <w:tcPr>
            <w:tcW w:w="1100" w:type="dxa"/>
            <w:vAlign w:val="bottom"/>
          </w:tcPr>
          <w:p>
            <w:pPr>
              <w:jc w:val="right"/>
              <w:spacing w:after="0"/>
              <w:rPr>
                <w:sz w:val="20"/>
                <w:szCs w:val="20"/>
                <w:color w:val="auto"/>
              </w:rPr>
            </w:pPr>
            <w:r>
              <w:rPr>
                <w:rFonts w:ascii="Arial" w:cs="Arial" w:eastAsia="Arial" w:hAnsi="Arial"/>
                <w:sz w:val="16"/>
                <w:szCs w:val="16"/>
                <w:color w:val="auto"/>
              </w:rPr>
              <w:t>43,260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 stock options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172,866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2,490</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w w:val="97"/>
              </w:rPr>
              <w:t>Share-based compensation expense</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ESOP compensation expense</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3"/>
        </w:trPr>
        <w:tc>
          <w:tcPr>
            <w:tcW w:w="2700" w:type="dxa"/>
            <w:vAlign w:val="bottom"/>
          </w:tcPr>
          <w:p>
            <w:pPr>
              <w:ind w:left="140"/>
              <w:spacing w:after="0"/>
              <w:rPr>
                <w:sz w:val="20"/>
                <w:szCs w:val="20"/>
                <w:color w:val="auto"/>
              </w:rPr>
            </w:pPr>
            <w:r>
              <w:rPr>
                <w:rFonts w:ascii="Arial" w:cs="Arial" w:eastAsia="Arial" w:hAnsi="Arial"/>
                <w:sz w:val="16"/>
                <w:szCs w:val="16"/>
                <w:color w:val="auto"/>
              </w:rPr>
              <w:t>Other comprehensive income</w:t>
            </w: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35"/>
        </w:trPr>
        <w:tc>
          <w:tcPr>
            <w:tcW w:w="2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16,655,347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248,767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406,452</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(Dollars in thousands)</w:t>
      </w:r>
    </w:p>
    <w:p>
      <w:pPr>
        <w:spacing w:after="0" w:line="28" w:lineRule="exact"/>
        <w:rPr>
          <w:sz w:val="20"/>
          <w:szCs w:val="20"/>
          <w:color w:val="auto"/>
        </w:rPr>
      </w:pPr>
    </w:p>
    <w:p>
      <w:pPr>
        <w:jc w:val="center"/>
        <w:ind w:left="8960"/>
        <w:spacing w:after="0"/>
        <w:rPr>
          <w:sz w:val="20"/>
          <w:szCs w:val="20"/>
          <w:color w:val="auto"/>
        </w:rPr>
      </w:pPr>
      <w:r>
        <w:rPr>
          <w:rFonts w:ascii="Arial" w:cs="Arial" w:eastAsia="Arial" w:hAnsi="Arial"/>
          <w:sz w:val="16"/>
          <w:szCs w:val="16"/>
          <w:b w:val="1"/>
          <w:bCs w:val="1"/>
          <w:color w:val="auto"/>
        </w:rPr>
        <w:t>(Unaudited)</w:t>
      </w:r>
    </w:p>
    <w:p>
      <w:pPr>
        <w:spacing w:after="0" w:line="32" w:lineRule="exact"/>
        <w:rPr>
          <w:sz w:val="20"/>
          <w:szCs w:val="20"/>
          <w:color w:val="auto"/>
        </w:rPr>
      </w:pPr>
    </w:p>
    <w:p>
      <w:pPr>
        <w:jc w:val="center"/>
        <w:ind w:left="8960"/>
        <w:spacing w:after="0"/>
        <w:rPr>
          <w:sz w:val="20"/>
          <w:szCs w:val="20"/>
          <w:color w:val="auto"/>
        </w:rPr>
      </w:pPr>
      <w:r>
        <w:rPr>
          <w:rFonts w:ascii="Arial" w:cs="Arial" w:eastAsia="Arial" w:hAnsi="Arial"/>
          <w:sz w:val="15"/>
          <w:szCs w:val="15"/>
          <w:b w:val="1"/>
          <w:bCs w:val="1"/>
          <w:color w:val="auto"/>
        </w:rPr>
        <w:t>Nine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5692775</wp:posOffset>
            </wp:positionH>
            <wp:positionV relativeFrom="paragraph">
              <wp:posOffset>27940</wp:posOffset>
            </wp:positionV>
            <wp:extent cx="14230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r>
      <w:tr>
        <w:trPr>
          <w:trHeight w:val="199"/>
        </w:trPr>
        <w:tc>
          <w:tcPr>
            <w:tcW w:w="896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9"/>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23,083</w:t>
            </w:r>
          </w:p>
        </w:tc>
      </w:tr>
      <w:tr>
        <w:trPr>
          <w:trHeight w:val="213"/>
        </w:trPr>
        <w:tc>
          <w:tcPr>
            <w:tcW w:w="896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Provision (benefit) for credit losses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(6,180)</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7,042</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Deferred income tax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3,600</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Net accretion of purchase accounting adjustments on loans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(1,559)</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amortization and accretion</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Prepayment penalties paid on borrowings</w:t>
            </w:r>
          </w:p>
        </w:tc>
        <w:tc>
          <w:tcPr>
            <w:tcW w:w="2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3,656</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Impairment on assets held for sale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Loss (gain) on sale of REO</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BOLI income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(1,551)</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Gain on sale of loans held for sale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(11,929)</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Origination of loans held for sale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(387,252)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(464,173)</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Proceeds from sale of loans held for sale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402,161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443,380</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New deferred loan origination fees, net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Decrease (increase) in accrued interest receivable and other assets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1,238</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ESOP compensation expense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1,407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1,449</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Increase (decrease) in 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2,552</w:t>
            </w:r>
          </w:p>
        </w:tc>
      </w:tr>
      <w:tr>
        <w:trPr>
          <w:trHeight w:val="206"/>
        </w:trPr>
        <w:tc>
          <w:tcPr>
            <w:tcW w:w="8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38,247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1,678</w:t>
            </w:r>
          </w:p>
        </w:tc>
      </w:tr>
      <w:tr>
        <w:trPr>
          <w:trHeight w:val="267"/>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Purchases of debt securities available for sale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(9,762)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(95,636)</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maturities, calls and paydowns of debt securities available for sale</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59,021</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Purchases of commercial paper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(463,446)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(519,781)</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maturities and calls of commercial paper</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586,862</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Purchases of CDs in other banks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(4,930)</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maturities of CDs in other banks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18,604</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Net redemptions of other investments, at cost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10,047</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decrease in loans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103,407</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Purchase of BOLI</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equipment for operating leases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(7,877)</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Payoff of equipment for operating leases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5,981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 of premises and equipment</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(15,095)</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Proceeds from sale of assets held for sale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sale of REO</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w:t>
            </w:r>
          </w:p>
        </w:tc>
      </w:tr>
      <w:tr>
        <w:trPr>
          <w:trHeight w:val="206"/>
        </w:trPr>
        <w:tc>
          <w:tcPr>
            <w:tcW w:w="8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provided by (used in) investing activities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134,900</w:t>
            </w:r>
          </w:p>
        </w:tc>
      </w:tr>
      <w:tr>
        <w:trPr>
          <w:trHeight w:val="267"/>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Net increase in deposits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103,616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122,722</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decrease in short-term borrowings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Proceeds from long-term borrowings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 of long-term borrowings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(203,656)</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Common stock repurchased</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(32,318)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(11,723)</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dividends paid</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(3,734)</w:t>
            </w:r>
          </w:p>
        </w:tc>
      </w:tr>
      <w:tr>
        <w:trPr>
          <w:trHeight w:val="213"/>
        </w:trPr>
        <w:tc>
          <w:tcPr>
            <w:tcW w:w="8960" w:type="dxa"/>
            <w:vAlign w:val="bottom"/>
          </w:tcPr>
          <w:p>
            <w:pPr>
              <w:ind w:left="120"/>
              <w:spacing w:after="0"/>
              <w:rPr>
                <w:sz w:val="20"/>
                <w:szCs w:val="20"/>
                <w:color w:val="auto"/>
              </w:rPr>
            </w:pPr>
            <w:r>
              <w:rPr>
                <w:rFonts w:ascii="Arial" w:cs="Arial" w:eastAsia="Arial" w:hAnsi="Arial"/>
                <w:sz w:val="16"/>
                <w:szCs w:val="16"/>
                <w:color w:val="auto"/>
              </w:rPr>
              <w:t>Retired stock</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(204)</w:t>
            </w:r>
          </w:p>
        </w:tc>
      </w:tr>
      <w:tr>
        <w:trPr>
          <w:trHeight w:val="219"/>
        </w:trPr>
        <w:tc>
          <w:tcPr>
            <w:tcW w:w="89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Exercised stock options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2,490</w:t>
            </w:r>
          </w:p>
        </w:tc>
      </w:tr>
      <w:tr>
        <w:trPr>
          <w:trHeight w:val="207"/>
        </w:trPr>
        <w:tc>
          <w:tcPr>
            <w:tcW w:w="89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(12,060)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(94,105)</w:t>
            </w:r>
          </w:p>
        </w:tc>
      </w:tr>
      <w:tr>
        <w:trPr>
          <w:trHeight w:val="213"/>
        </w:trPr>
        <w:tc>
          <w:tcPr>
            <w:tcW w:w="8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in cash and cash equivalents</w:t>
            </w: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42,473</w:t>
            </w:r>
          </w:p>
        </w:tc>
      </w:tr>
      <w:tr>
        <w:trPr>
          <w:trHeight w:val="213"/>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121,622</w:t>
            </w:r>
          </w:p>
        </w:tc>
      </w:tr>
      <w:tr>
        <w:trPr>
          <w:trHeight w:val="237"/>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52,050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164,095</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40" w:top="110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2" w:right="359" w:bottom="1440" w:gutter="0" w:footer="0" w:header="0"/>
          <w:type w:val="continuous"/>
        </w:sectPr>
      </w:pPr>
    </w:p>
    <w:bookmarkStart w:id="9" w:name="page10"/>
    <w:bookmarkEnd w:id="9"/>
    <w:p>
      <w:pPr>
        <w:jc w:val="center"/>
        <w:ind w:right="-19"/>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Consolidated Statements of Cash Flows (continued)</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left="399"/>
              <w:spacing w:after="0"/>
              <w:rPr>
                <w:sz w:val="20"/>
                <w:szCs w:val="20"/>
                <w:color w:val="auto"/>
              </w:rPr>
            </w:pPr>
            <w:r>
              <w:rPr>
                <w:rFonts w:ascii="Arial" w:cs="Arial" w:eastAsia="Arial" w:hAnsi="Arial"/>
                <w:sz w:val="16"/>
                <w:szCs w:val="16"/>
                <w:b w:val="1"/>
                <w:bCs w:val="1"/>
                <w:color w:val="auto"/>
                <w:w w:val="94"/>
              </w:rPr>
              <w:t>(Unaudited)</w:t>
            </w:r>
          </w:p>
        </w:tc>
        <w:tc>
          <w:tcPr>
            <w:tcW w:w="700" w:type="dxa"/>
            <w:vAlign w:val="bottom"/>
          </w:tcPr>
          <w:p>
            <w:pPr>
              <w:spacing w:after="0"/>
              <w:rPr>
                <w:sz w:val="18"/>
                <w:szCs w:val="18"/>
                <w:color w:val="auto"/>
              </w:rPr>
            </w:pPr>
          </w:p>
        </w:tc>
      </w:tr>
      <w:tr>
        <w:trPr>
          <w:trHeight w:val="219"/>
        </w:trPr>
        <w:tc>
          <w:tcPr>
            <w:tcW w:w="8980" w:type="dxa"/>
            <w:vAlign w:val="bottom"/>
          </w:tcPr>
          <w:p>
            <w:pPr>
              <w:spacing w:after="0"/>
              <w:rPr>
                <w:sz w:val="19"/>
                <w:szCs w:val="19"/>
                <w:color w:val="auto"/>
              </w:rPr>
            </w:pPr>
          </w:p>
        </w:tc>
        <w:tc>
          <w:tcPr>
            <w:tcW w:w="2240" w:type="dxa"/>
            <w:vAlign w:val="bottom"/>
            <w:tcBorders>
              <w:bottom w:val="single" w:sz="8" w:color="auto"/>
            </w:tcBorders>
            <w:gridSpan w:val="5"/>
          </w:tcPr>
          <w:p>
            <w:pPr>
              <w:jc w:val="center"/>
              <w:spacing w:after="0"/>
              <w:rPr>
                <w:sz w:val="20"/>
                <w:szCs w:val="20"/>
                <w:color w:val="auto"/>
              </w:rPr>
            </w:pPr>
            <w:r>
              <w:rPr>
                <w:rFonts w:ascii="Arial" w:cs="Arial" w:eastAsia="Arial" w:hAnsi="Arial"/>
                <w:sz w:val="16"/>
                <w:szCs w:val="16"/>
                <w:b w:val="1"/>
                <w:bCs w:val="1"/>
                <w:color w:val="auto"/>
                <w:w w:val="94"/>
              </w:rPr>
              <w:t>Nine Months Ended March 31,</w:t>
            </w:r>
          </w:p>
        </w:tc>
      </w:tr>
      <w:tr>
        <w:trPr>
          <w:trHeight w:val="220"/>
        </w:trPr>
        <w:tc>
          <w:tcPr>
            <w:tcW w:w="8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ind w:right="299"/>
              <w:spacing w:after="0"/>
              <w:rPr>
                <w:sz w:val="20"/>
                <w:szCs w:val="20"/>
                <w:color w:val="auto"/>
              </w:rPr>
            </w:pPr>
            <w:r>
              <w:rPr>
                <w:rFonts w:ascii="Arial" w:cs="Arial" w:eastAsia="Arial" w:hAnsi="Arial"/>
                <w:sz w:val="16"/>
                <w:szCs w:val="16"/>
                <w:b w:val="1"/>
                <w:bCs w:val="1"/>
                <w:color w:val="auto"/>
                <w:w w:val="84"/>
              </w:rPr>
              <w:t>2021</w:t>
            </w:r>
          </w:p>
        </w:tc>
      </w:tr>
      <w:tr>
        <w:trPr>
          <w:trHeight w:val="33"/>
        </w:trPr>
        <w:tc>
          <w:tcPr>
            <w:tcW w:w="8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96"/>
        </w:trPr>
        <w:tc>
          <w:tcPr>
            <w:tcW w:w="8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3"/>
        </w:trPr>
        <w:tc>
          <w:tcPr>
            <w:tcW w:w="8980" w:type="dxa"/>
            <w:vAlign w:val="bottom"/>
          </w:tcPr>
          <w:p>
            <w:pPr>
              <w:ind w:left="20"/>
              <w:spacing w:after="0"/>
              <w:rPr>
                <w:sz w:val="20"/>
                <w:szCs w:val="20"/>
                <w:color w:val="auto"/>
              </w:rPr>
            </w:pPr>
            <w:r>
              <w:rPr>
                <w:rFonts w:ascii="Arial" w:cs="Arial" w:eastAsia="Arial" w:hAnsi="Arial"/>
                <w:sz w:val="16"/>
                <w:szCs w:val="16"/>
                <w:color w:val="auto"/>
              </w:rPr>
              <w:t>Cash paid during the period for:</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8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4,080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13,302</w:t>
            </w:r>
          </w:p>
        </w:tc>
      </w:tr>
      <w:tr>
        <w:trPr>
          <w:trHeight w:val="213"/>
        </w:trPr>
        <w:tc>
          <w:tcPr>
            <w:tcW w:w="8980" w:type="dxa"/>
            <w:vAlign w:val="bottom"/>
          </w:tcPr>
          <w:p>
            <w:pPr>
              <w:ind w:left="140"/>
              <w:spacing w:after="0"/>
              <w:rPr>
                <w:sz w:val="20"/>
                <w:szCs w:val="20"/>
                <w:color w:val="auto"/>
              </w:rPr>
            </w:pPr>
            <w:r>
              <w:rPr>
                <w:rFonts w:ascii="Arial" w:cs="Arial" w:eastAsia="Arial" w:hAnsi="Arial"/>
                <w:sz w:val="16"/>
                <w:szCs w:val="16"/>
                <w:color w:val="auto"/>
              </w:rPr>
              <w:t>Income taxes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472</w:t>
            </w:r>
          </w:p>
        </w:tc>
      </w:tr>
      <w:tr>
        <w:trPr>
          <w:trHeight w:val="253"/>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transactions: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r>
      <w:tr>
        <w:trPr>
          <w:trHeight w:val="213"/>
        </w:trPr>
        <w:tc>
          <w:tcPr>
            <w:tcW w:w="8980" w:type="dxa"/>
            <w:vAlign w:val="bottom"/>
          </w:tcPr>
          <w:p>
            <w:pPr>
              <w:ind w:left="140"/>
              <w:spacing w:after="0"/>
              <w:rPr>
                <w:sz w:val="20"/>
                <w:szCs w:val="20"/>
                <w:color w:val="auto"/>
              </w:rPr>
            </w:pPr>
            <w:r>
              <w:rPr>
                <w:rFonts w:ascii="Arial" w:cs="Arial" w:eastAsia="Arial" w:hAnsi="Arial"/>
                <w:sz w:val="16"/>
                <w:szCs w:val="16"/>
                <w:color w:val="auto"/>
              </w:rPr>
              <w:t>Unrealized loss in value of debt securities available for sale, net of income taxes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19"/>
        </w:trPr>
        <w:tc>
          <w:tcPr>
            <w:tcW w:w="8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Transfer of loans to REO</w:t>
            </w: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8980" w:type="dxa"/>
            <w:vAlign w:val="bottom"/>
          </w:tcPr>
          <w:p>
            <w:pPr>
              <w:ind w:left="140"/>
              <w:spacing w:after="0"/>
              <w:rPr>
                <w:sz w:val="20"/>
                <w:szCs w:val="20"/>
                <w:color w:val="auto"/>
              </w:rPr>
            </w:pPr>
            <w:r>
              <w:rPr>
                <w:rFonts w:ascii="Arial" w:cs="Arial" w:eastAsia="Arial" w:hAnsi="Arial"/>
                <w:sz w:val="16"/>
                <w:szCs w:val="16"/>
                <w:color w:val="auto"/>
              </w:rPr>
              <w:t>Transfer of loans held for sale to loans held for investment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19,032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14,702</w:t>
            </w:r>
          </w:p>
        </w:tc>
      </w:tr>
      <w:tr>
        <w:trPr>
          <w:trHeight w:val="219"/>
        </w:trPr>
        <w:tc>
          <w:tcPr>
            <w:tcW w:w="8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Transfer of loans held for investment to loans held for sale</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980" w:type="dxa"/>
            <w:vAlign w:val="bottom"/>
          </w:tcPr>
          <w:p>
            <w:pPr>
              <w:ind w:left="140"/>
              <w:spacing w:after="0"/>
              <w:rPr>
                <w:sz w:val="20"/>
                <w:szCs w:val="20"/>
                <w:color w:val="auto"/>
              </w:rPr>
            </w:pPr>
            <w:r>
              <w:rPr>
                <w:rFonts w:ascii="Arial" w:cs="Arial" w:eastAsia="Arial" w:hAnsi="Arial"/>
                <w:sz w:val="16"/>
                <w:szCs w:val="16"/>
                <w:color w:val="auto"/>
              </w:rPr>
              <w:t>ROU asset and lease liabilities for operating lease accounting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219"/>
        </w:trPr>
        <w:tc>
          <w:tcPr>
            <w:tcW w:w="8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Transfer of premises and equipment to assets held for sale (included in other assets)</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2"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149" w:lineRule="exact"/>
        <w:rPr>
          <w:sz w:val="20"/>
          <w:szCs w:val="20"/>
          <w:color w:val="auto"/>
        </w:rPr>
      </w:pPr>
    </w:p>
    <w:p>
      <w:pPr>
        <w:ind w:left="300" w:hanging="292"/>
        <w:spacing w:after="0"/>
        <w:tabs>
          <w:tab w:leader="none" w:pos="30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Summary of Significant Accounting Policies</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consolidated financial statements presented in this report include the accounts of HomeTrust Bancshares, Inc., a Maryland corporation ("HomeTrust"), and its wholly-owned subsidiary, HomeTrust Bank (the "Bank"). As used throughout this report, the term the "Company" refers to HomeTrust and the Bank, its consolidated subsidiary, unless the context otherwise requires.</w:t>
      </w:r>
    </w:p>
    <w:p>
      <w:pPr>
        <w:spacing w:after="0" w:line="12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accompanying unaudited consolidated financial statements have been prepared in accordance with GAAP for interim financial information and in accordance with the instructions to Form 10-Q and Article 10 of Regulation S-X as promulgated by the SEC. Accordingly, they do not include all the information and footnotes required by GAAP for complete financial statements. In the opinion of management, all adjustments (consisting of normal recurring accruals) considered necessary for a fair presentation of the financial position and results of operations for the periods presented have been included. It is recommended that these unaudited interim consolidated financial statements be read in conjunction with the audited consolidated financial statements and notes thereto included in the Company's Annual Report on Form 10-K for the year ended June 30, 2021 ("2021 Form 10-K") filed with the SEC on September 10, 2021. The results of operations for the nine months ended March 31, 2022 are not necessarily indicative of results that may be expected for the entire fiscal year ending June 30, 2022.</w:t>
      </w:r>
    </w:p>
    <w:p>
      <w:pPr>
        <w:spacing w:after="0" w:line="12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amounts reported in the financial statements. Various elements of the Company's accounting policies, by their nature, are inherently subject to estimation techniques, valuation assumptions, and other subjective assessments. In particular, management has identified the determination of the provision and the allowance for credit losses on loans as an accounting policy that, due to the judgments, estimates and assumptions inherent in this policy, is critical to an understanding of the Company's financial statements. This policy and the related judgments, estimates and assumptions is described in greater detail in the notes to the Consolidated Financial Statements and Management's Discussion and Analysis of Financial Condition and Results of Operations (Critical Accounting Policies) in the 2021 Form 10-K. Management believes that the judgments, estimates and assumptions used in the preparation of the financial statements are appropriate based on the factual circumstances at the time. However, given the sensitivity of the financial statements to this critical accounting policy, the use of other judgments, estimates and assumptions could result in material differences in the Company's results of operations or financial condition. Further, subsequent changes in economic or market conditions could have a material impact on this estimate and the Company's financial condition and operating results in future periods.</w:t>
      </w:r>
    </w:p>
    <w:p>
      <w:pPr>
        <w:spacing w:after="0" w:line="126"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COVID-19 pandemic has caused significant, unprecedented disruption around the world that has affected daily living and negatively impacted the global economy. The effects of the COVID-19 pandemic may meaningfully impact significant estimates such as the allowance for credit losses or certain loan concentrations in the hospitality and healthcare industries. See "Note 6 - Loans and Allowance for Credit Losses on Loans" for more information on loans that have been modified or are in deferral due to COVID-19.</w:t>
      </w:r>
    </w:p>
    <w:p>
      <w:pPr>
        <w:spacing w:after="0" w:line="200" w:lineRule="exact"/>
        <w:rPr>
          <w:sz w:val="20"/>
          <w:szCs w:val="20"/>
          <w:color w:val="auto"/>
        </w:rPr>
      </w:pPr>
    </w:p>
    <w:p>
      <w:pPr>
        <w:jc w:val="both"/>
        <w:ind w:right="20"/>
        <w:spacing w:after="0"/>
        <w:rPr>
          <w:sz w:val="20"/>
          <w:szCs w:val="20"/>
          <w:color w:val="auto"/>
        </w:rPr>
      </w:pPr>
      <w:r>
        <w:rPr>
          <w:rFonts w:ascii="Arial" w:cs="Arial" w:eastAsia="Arial" w:hAnsi="Arial"/>
          <w:sz w:val="16"/>
          <w:szCs w:val="16"/>
          <w:b w:val="1"/>
          <w:bCs w:val="1"/>
          <w:i w:val="1"/>
          <w:iCs w:val="1"/>
          <w:color w:val="auto"/>
        </w:rPr>
        <w:t xml:space="preserve">Reclassifications and corrections. </w:t>
      </w:r>
      <w:r>
        <w:rPr>
          <w:rFonts w:ascii="Arial" w:cs="Arial" w:eastAsia="Arial" w:hAnsi="Arial"/>
          <w:sz w:val="16"/>
          <w:szCs w:val="16"/>
          <w:color w:val="auto"/>
        </w:rPr>
        <w:t>To maintain consistency and comparability, certain amounts from prior periods have been reclassified to conform to current period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presentation with no effect on net income or stockholders’ equity as previously reported.</w:t>
      </w:r>
    </w:p>
    <w:p>
      <w:pPr>
        <w:spacing w:after="0" w:line="209" w:lineRule="exact"/>
        <w:rPr>
          <w:sz w:val="20"/>
          <w:szCs w:val="20"/>
          <w:color w:val="auto"/>
        </w:rPr>
      </w:pPr>
    </w:p>
    <w:p>
      <w:pPr>
        <w:ind w:left="300" w:hanging="292"/>
        <w:spacing w:after="0"/>
        <w:tabs>
          <w:tab w:leader="none" w:pos="30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Recent Accounting Pronouncements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12529"/>
        </w:rPr>
        <w:t>Newly Issued but Not Yet Effective Accounting Standards</w:t>
      </w:r>
    </w:p>
    <w:p>
      <w:pPr>
        <w:spacing w:after="0" w:line="167"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color w:val="auto"/>
        </w:rPr>
        <w:t xml:space="preserve">ASU 2021-05, "Leases (Topic 842): Lessors—Certain Leases with Variable Lease Payments." </w:t>
      </w:r>
      <w:r>
        <w:rPr>
          <w:rFonts w:ascii="Arial" w:cs="Arial" w:eastAsia="Arial" w:hAnsi="Arial"/>
          <w:sz w:val="15"/>
          <w:szCs w:val="15"/>
          <w:color w:val="auto"/>
        </w:rPr>
        <w:t>This ASU amends the lease classification requirements for lessors to classify</w:t>
      </w:r>
      <w:r>
        <w:rPr>
          <w:rFonts w:ascii="Arial" w:cs="Arial" w:eastAsia="Arial" w:hAnsi="Arial"/>
          <w:sz w:val="15"/>
          <w:szCs w:val="15"/>
          <w:i w:val="1"/>
          <w:iCs w:val="1"/>
          <w:color w:val="auto"/>
        </w:rPr>
        <w:t xml:space="preserve"> </w:t>
      </w:r>
      <w:r>
        <w:rPr>
          <w:rFonts w:ascii="Arial" w:cs="Arial" w:eastAsia="Arial" w:hAnsi="Arial"/>
          <w:sz w:val="15"/>
          <w:szCs w:val="15"/>
          <w:color w:val="auto"/>
        </w:rPr>
        <w:t>as an operating lease any lease that would otherwise be classified as a sales-type or direct financing lease that would result in the recognition of a day-one loss at lease commencement, provided that the lease includes variable lease payments that do not depend on an index or rate. When a lease is classified as operating, the lessor does not recognize a net investment in the lease, does not derecognize the underlying asset and therefore, does not recognize a selling profit or loss. The amendments in this ASU are effective for fiscal years beginning after December 15, 2021, and interim periods within those fiscal years and early adoption is permitted. The Company is currently evaluating the impact of adopting the new guidance on the consolidated financial statements.</w:t>
      </w:r>
    </w:p>
    <w:p>
      <w:pPr>
        <w:spacing w:after="0" w:line="123" w:lineRule="exact"/>
        <w:rPr>
          <w:sz w:val="20"/>
          <w:szCs w:val="20"/>
          <w:color w:val="auto"/>
        </w:rPr>
      </w:pPr>
    </w:p>
    <w:p>
      <w:pPr>
        <w:jc w:val="both"/>
        <w:spacing w:after="0" w:line="274" w:lineRule="auto"/>
        <w:rPr>
          <w:sz w:val="20"/>
          <w:szCs w:val="20"/>
          <w:color w:val="auto"/>
        </w:rPr>
      </w:pPr>
      <w:r>
        <w:rPr>
          <w:rFonts w:ascii="Arial" w:cs="Arial" w:eastAsia="Arial" w:hAnsi="Arial"/>
          <w:sz w:val="15"/>
          <w:szCs w:val="15"/>
          <w:i w:val="1"/>
          <w:iCs w:val="1"/>
          <w:color w:val="auto"/>
        </w:rPr>
        <w:t xml:space="preserve">ASU 2022-02, "Financial Instruments—Credit Losses (Topic 326): Troubled Debt Restructurings and Vintage Disclosures." </w:t>
      </w:r>
      <w:r>
        <w:rPr>
          <w:rFonts w:ascii="Arial" w:cs="Arial" w:eastAsia="Arial" w:hAnsi="Arial"/>
          <w:sz w:val="15"/>
          <w:szCs w:val="15"/>
          <w:color w:val="auto"/>
        </w:rPr>
        <w:t>This ASU eliminates the TDR recognition and</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 guidance and requires that an entity evaluate whether the modification represents a new loan or a continuation of an existing loan. The amendment also adjusts the disclosures related to modifications and requires entities to disclose current-period gross write-offs by year of origination within the existing vintage disclosures. The amendments in this ASU are effective for fiscal years beginning after December 15, 2022, and interim periods within those fiscal years and early adoption is permitted. The Company is currently evaluating the impact of adopting the new guidance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gridSpan w:val="3"/>
          </w:tcPr>
          <w:p>
            <w:pPr>
              <w:spacing w:after="0"/>
              <w:rPr>
                <w:sz w:val="20"/>
                <w:szCs w:val="20"/>
                <w:color w:val="auto"/>
              </w:rPr>
            </w:pPr>
            <w:r>
              <w:rPr>
                <w:rFonts w:ascii="Arial" w:cs="Arial" w:eastAsia="Arial" w:hAnsi="Arial"/>
                <w:sz w:val="16"/>
                <w:szCs w:val="16"/>
                <w:b w:val="1"/>
                <w:bCs w:val="1"/>
                <w:color w:val="auto"/>
              </w:rPr>
              <w:t>3.  Debt Securities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5520" w:type="dxa"/>
            <w:vAlign w:val="bottom"/>
            <w:gridSpan w:val="3"/>
          </w:tcPr>
          <w:p>
            <w:pPr>
              <w:spacing w:after="0"/>
              <w:rPr>
                <w:sz w:val="20"/>
                <w:szCs w:val="20"/>
                <w:color w:val="auto"/>
              </w:rPr>
            </w:pPr>
            <w:r>
              <w:rPr>
                <w:rFonts w:ascii="Arial" w:cs="Arial" w:eastAsia="Arial" w:hAnsi="Arial"/>
                <w:sz w:val="16"/>
                <w:szCs w:val="16"/>
                <w:color w:val="auto"/>
                <w:w w:val="98"/>
              </w:rPr>
              <w:t>Debt securities available for sale consist of the following at the dates indicated:</w:t>
            </w: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6"/>
                <w:szCs w:val="16"/>
                <w:b w:val="1"/>
                <w:bCs w:val="1"/>
                <w:color w:val="auto"/>
                <w:w w:val="94"/>
              </w:rPr>
              <w:t>March 31, 2022</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Arial" w:cs="Arial" w:eastAsia="Arial" w:hAnsi="Arial"/>
                <w:sz w:val="16"/>
                <w:szCs w:val="16"/>
                <w:b w:val="1"/>
                <w:bCs w:val="1"/>
                <w:color w:val="auto"/>
                <w:w w:val="91"/>
              </w:rPr>
              <w:t>Estimated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Losses</w:t>
            </w:r>
          </w:p>
        </w:tc>
        <w:tc>
          <w:tcPr>
            <w:tcW w:w="22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55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18,988</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18,576</w:t>
            </w:r>
          </w:p>
        </w:tc>
        <w:tc>
          <w:tcPr>
            <w:tcW w:w="0" w:type="dxa"/>
            <w:vAlign w:val="bottom"/>
          </w:tcPr>
          <w:p>
            <w:pPr>
              <w:spacing w:after="0"/>
              <w:rPr>
                <w:sz w:val="1"/>
                <w:szCs w:val="1"/>
                <w:color w:val="auto"/>
              </w:rPr>
            </w:pPr>
          </w:p>
        </w:tc>
      </w:tr>
      <w:tr>
        <w:trPr>
          <w:trHeight w:val="213"/>
        </w:trPr>
        <w:tc>
          <w:tcPr>
            <w:tcW w:w="5520" w:type="dxa"/>
            <w:vAlign w:val="bottom"/>
            <w:gridSpan w:val="3"/>
          </w:tcPr>
          <w:p>
            <w:pPr>
              <w:ind w:left="20"/>
              <w:spacing w:after="0"/>
              <w:rPr>
                <w:sz w:val="20"/>
                <w:szCs w:val="20"/>
                <w:color w:val="auto"/>
              </w:rPr>
            </w:pPr>
            <w:r>
              <w:rPr>
                <w:rFonts w:ascii="Arial" w:cs="Arial" w:eastAsia="Arial" w:hAnsi="Arial"/>
                <w:sz w:val="16"/>
                <w:szCs w:val="16"/>
                <w:color w:val="auto"/>
              </w:rPr>
              <w:t>MBS, residential</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34,641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34,063</w:t>
            </w:r>
          </w:p>
        </w:tc>
        <w:tc>
          <w:tcPr>
            <w:tcW w:w="0" w:type="dxa"/>
            <w:vAlign w:val="bottom"/>
          </w:tcPr>
          <w:p>
            <w:pPr>
              <w:spacing w:after="0"/>
              <w:rPr>
                <w:sz w:val="1"/>
                <w:szCs w:val="1"/>
                <w:color w:val="auto"/>
              </w:rPr>
            </w:pPr>
          </w:p>
        </w:tc>
      </w:tr>
      <w:tr>
        <w:trPr>
          <w:trHeight w:val="219"/>
        </w:trPr>
        <w:tc>
          <w:tcPr>
            <w:tcW w:w="5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Municipal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Corporate bonds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48,943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48,009</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108,130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106,315</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6"/>
                <w:szCs w:val="16"/>
                <w:b w:val="1"/>
                <w:bCs w:val="1"/>
                <w:color w:val="auto"/>
                <w:w w:val="90"/>
              </w:rPr>
              <w:t>June 30, 2021</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4"/>
              </w:rPr>
              <w:t>Amortized</w:t>
            </w:r>
          </w:p>
        </w:tc>
        <w:tc>
          <w:tcPr>
            <w:tcW w:w="18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6"/>
              </w:rPr>
              <w:t>Gross</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line="158" w:lineRule="exact"/>
              <w:rPr>
                <w:sz w:val="20"/>
                <w:szCs w:val="20"/>
                <w:color w:val="auto"/>
              </w:rPr>
            </w:pPr>
            <w:r>
              <w:rPr>
                <w:rFonts w:ascii="Arial" w:cs="Arial" w:eastAsia="Arial" w:hAnsi="Arial"/>
                <w:sz w:val="16"/>
                <w:szCs w:val="16"/>
                <w:b w:val="1"/>
                <w:bCs w:val="1"/>
                <w:color w:val="auto"/>
                <w:w w:val="86"/>
              </w:rPr>
              <w:t>Gross</w:t>
            </w:r>
          </w:p>
        </w:tc>
        <w:tc>
          <w:tcPr>
            <w:tcW w:w="220" w:type="dxa"/>
            <w:vAlign w:val="bottom"/>
          </w:tcPr>
          <w:p>
            <w:pPr>
              <w:spacing w:after="0"/>
              <w:rPr>
                <w:sz w:val="13"/>
                <w:szCs w:val="13"/>
                <w:color w:val="auto"/>
              </w:rPr>
            </w:pPr>
          </w:p>
        </w:tc>
        <w:tc>
          <w:tcPr>
            <w:tcW w:w="1120" w:type="dxa"/>
            <w:vAlign w:val="bottom"/>
          </w:tcPr>
          <w:p>
            <w:pPr>
              <w:jc w:val="center"/>
              <w:ind w:right="139"/>
              <w:spacing w:after="0" w:line="158" w:lineRule="exact"/>
              <w:rPr>
                <w:sz w:val="20"/>
                <w:szCs w:val="20"/>
                <w:color w:val="auto"/>
              </w:rPr>
            </w:pPr>
            <w:r>
              <w:rPr>
                <w:rFonts w:ascii="Arial" w:cs="Arial" w:eastAsia="Arial" w:hAnsi="Arial"/>
                <w:sz w:val="16"/>
                <w:szCs w:val="16"/>
                <w:b w:val="1"/>
                <w:bCs w:val="1"/>
                <w:color w:val="auto"/>
                <w:w w:val="91"/>
              </w:rPr>
              <w:t>Estimated</w:t>
            </w:r>
          </w:p>
        </w:tc>
        <w:tc>
          <w:tcPr>
            <w:tcW w:w="0" w:type="dxa"/>
            <w:vAlign w:val="bottom"/>
          </w:tcPr>
          <w:p>
            <w:pPr>
              <w:spacing w:after="0"/>
              <w:rPr>
                <w:sz w:val="1"/>
                <w:szCs w:val="1"/>
                <w:color w:val="auto"/>
              </w:rPr>
            </w:pPr>
          </w:p>
        </w:tc>
      </w:tr>
      <w:tr>
        <w:trPr>
          <w:trHeight w:val="162"/>
        </w:trPr>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Unrealized</w:t>
            </w:r>
          </w:p>
        </w:tc>
        <w:tc>
          <w:tcPr>
            <w:tcW w:w="20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1"/>
              </w:rPr>
              <w:t>Unrealized</w:t>
            </w:r>
          </w:p>
        </w:tc>
        <w:tc>
          <w:tcPr>
            <w:tcW w:w="220" w:type="dxa"/>
            <w:vAlign w:val="bottom"/>
          </w:tcPr>
          <w:p>
            <w:pPr>
              <w:spacing w:after="0"/>
              <w:rPr>
                <w:sz w:val="14"/>
                <w:szCs w:val="14"/>
                <w:color w:val="auto"/>
              </w:rPr>
            </w:pPr>
          </w:p>
        </w:tc>
        <w:tc>
          <w:tcPr>
            <w:tcW w:w="112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3"/>
        </w:trPr>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9"/>
              </w:rPr>
              <w:t>Cost</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Gains</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3"/>
              </w:rPr>
              <w:t>Losses</w:t>
            </w:r>
          </w:p>
        </w:tc>
        <w:tc>
          <w:tcPr>
            <w:tcW w:w="220" w:type="dxa"/>
            <w:vAlign w:val="bottom"/>
          </w:tcPr>
          <w:p>
            <w:pPr>
              <w:spacing w:after="0"/>
              <w:rPr>
                <w:sz w:val="18"/>
                <w:szCs w:val="18"/>
                <w:color w:val="auto"/>
              </w:rPr>
            </w:pPr>
          </w:p>
        </w:tc>
        <w:tc>
          <w:tcPr>
            <w:tcW w:w="112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12"/>
        </w:trPr>
        <w:tc>
          <w:tcPr>
            <w:tcW w:w="55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18,975</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19,073</w:t>
            </w:r>
          </w:p>
        </w:tc>
        <w:tc>
          <w:tcPr>
            <w:tcW w:w="0" w:type="dxa"/>
            <w:vAlign w:val="bottom"/>
          </w:tcPr>
          <w:p>
            <w:pPr>
              <w:spacing w:after="0"/>
              <w:rPr>
                <w:sz w:val="1"/>
                <w:szCs w:val="1"/>
                <w:color w:val="auto"/>
              </w:rPr>
            </w:pPr>
          </w:p>
        </w:tc>
      </w:tr>
      <w:tr>
        <w:trPr>
          <w:trHeight w:val="213"/>
        </w:trPr>
        <w:tc>
          <w:tcPr>
            <w:tcW w:w="5520" w:type="dxa"/>
            <w:vAlign w:val="bottom"/>
            <w:gridSpan w:val="3"/>
          </w:tcPr>
          <w:p>
            <w:pPr>
              <w:ind w:left="20"/>
              <w:spacing w:after="0"/>
              <w:rPr>
                <w:sz w:val="20"/>
                <w:szCs w:val="20"/>
                <w:color w:val="auto"/>
              </w:rPr>
            </w:pPr>
            <w:r>
              <w:rPr>
                <w:rFonts w:ascii="Arial" w:cs="Arial" w:eastAsia="Arial" w:hAnsi="Arial"/>
                <w:sz w:val="16"/>
                <w:szCs w:val="16"/>
                <w:color w:val="auto"/>
              </w:rPr>
              <w:t>MBS, residential</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42,119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43,404</w:t>
            </w:r>
          </w:p>
        </w:tc>
        <w:tc>
          <w:tcPr>
            <w:tcW w:w="0" w:type="dxa"/>
            <w:vAlign w:val="bottom"/>
          </w:tcPr>
          <w:p>
            <w:pPr>
              <w:spacing w:after="0"/>
              <w:rPr>
                <w:sz w:val="1"/>
                <w:szCs w:val="1"/>
                <w:color w:val="auto"/>
              </w:rPr>
            </w:pPr>
          </w:p>
        </w:tc>
      </w:tr>
      <w:tr>
        <w:trPr>
          <w:trHeight w:val="219"/>
        </w:trPr>
        <w:tc>
          <w:tcPr>
            <w:tcW w:w="552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Municipal bonds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9,551</w:t>
            </w:r>
          </w:p>
        </w:tc>
        <w:tc>
          <w:tcPr>
            <w:tcW w:w="0" w:type="dxa"/>
            <w:vAlign w:val="bottom"/>
          </w:tcPr>
          <w:p>
            <w:pPr>
              <w:spacing w:after="0"/>
              <w:rPr>
                <w:sz w:val="1"/>
                <w:szCs w:val="1"/>
                <w:color w:val="auto"/>
              </w:rPr>
            </w:pPr>
          </w:p>
        </w:tc>
      </w:tr>
      <w:tr>
        <w:trPr>
          <w:trHeight w:val="213"/>
        </w:trPr>
        <w:tc>
          <w:tcPr>
            <w:tcW w:w="552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Corporate bonds</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84,301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84,431</w:t>
            </w: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154,493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156,459</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Debt securities available for sale by contractual maturity at March 31, 2022 and June 30, 2021 are shown below. MBS are not included in the maturity categories because the borrowers in the underlying pools may prepay without penalty; therefore, it is unlikely that the securities will pay at their stated maturity schedule.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6"/>
                <w:szCs w:val="16"/>
                <w:b w:val="1"/>
                <w:bCs w:val="1"/>
                <w:color w:val="auto"/>
              </w:rPr>
              <w:t>March 31, 2022</w:t>
            </w:r>
          </w:p>
        </w:tc>
      </w:tr>
      <w:tr>
        <w:trPr>
          <w:trHeight w:val="158"/>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4"/>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rPr>
              <w:t>Estimated</w:t>
            </w:r>
          </w:p>
        </w:tc>
      </w:tr>
      <w:tr>
        <w:trPr>
          <w:trHeight w:val="213"/>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33,546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33,497</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33,384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32,322</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6,433</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Due after ten years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MBS, residential</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34,641</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34,063</w:t>
            </w: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106,315</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6"/>
                <w:szCs w:val="16"/>
                <w:b w:val="1"/>
                <w:bCs w:val="1"/>
                <w:color w:val="auto"/>
              </w:rPr>
              <w:t>June 30, 2021</w:t>
            </w:r>
          </w:p>
        </w:tc>
      </w:tr>
      <w:tr>
        <w:trPr>
          <w:trHeight w:val="158"/>
        </w:trPr>
        <w:tc>
          <w:tcPr>
            <w:tcW w:w="8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4"/>
              </w:rPr>
              <w:t>Amortized</w:t>
            </w:r>
          </w:p>
        </w:tc>
        <w:tc>
          <w:tcPr>
            <w:tcW w:w="200" w:type="dxa"/>
            <w:vAlign w:val="bottom"/>
          </w:tcPr>
          <w:p>
            <w:pPr>
              <w:spacing w:after="0"/>
              <w:rPr>
                <w:sz w:val="13"/>
                <w:szCs w:val="13"/>
                <w:color w:val="auto"/>
              </w:rPr>
            </w:pPr>
          </w:p>
        </w:tc>
        <w:tc>
          <w:tcPr>
            <w:tcW w:w="1140" w:type="dxa"/>
            <w:vAlign w:val="bottom"/>
          </w:tcPr>
          <w:p>
            <w:pPr>
              <w:jc w:val="right"/>
              <w:ind w:right="239"/>
              <w:spacing w:after="0" w:line="158" w:lineRule="exact"/>
              <w:rPr>
                <w:sz w:val="20"/>
                <w:szCs w:val="20"/>
                <w:color w:val="auto"/>
              </w:rPr>
            </w:pPr>
            <w:r>
              <w:rPr>
                <w:rFonts w:ascii="Arial" w:cs="Arial" w:eastAsia="Arial" w:hAnsi="Arial"/>
                <w:sz w:val="16"/>
                <w:szCs w:val="16"/>
                <w:b w:val="1"/>
                <w:bCs w:val="1"/>
                <w:color w:val="auto"/>
              </w:rPr>
              <w:t>Estimated</w:t>
            </w:r>
          </w:p>
        </w:tc>
      </w:tr>
      <w:tr>
        <w:trPr>
          <w:trHeight w:val="213"/>
        </w:trPr>
        <w:tc>
          <w:tcPr>
            <w:tcW w:w="8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Cost</w:t>
            </w:r>
          </w:p>
        </w:tc>
        <w:tc>
          <w:tcPr>
            <w:tcW w:w="200" w:type="dxa"/>
            <w:vAlign w:val="bottom"/>
          </w:tcPr>
          <w:p>
            <w:pPr>
              <w:spacing w:after="0"/>
              <w:rPr>
                <w:sz w:val="18"/>
                <w:szCs w:val="18"/>
                <w:color w:val="auto"/>
              </w:rPr>
            </w:pPr>
          </w:p>
        </w:tc>
        <w:tc>
          <w:tcPr>
            <w:tcW w:w="1140" w:type="dxa"/>
            <w:vAlign w:val="bottom"/>
          </w:tcPr>
          <w:p>
            <w:pPr>
              <w:jc w:val="right"/>
              <w:ind w:right="21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8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Due within one year</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34,615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34,684</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Due after one year through five years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73,249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73,633</w:t>
            </w: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Due after five years through ten years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4,738</w:t>
            </w:r>
          </w:p>
        </w:tc>
      </w:tr>
      <w:tr>
        <w:trPr>
          <w:trHeight w:val="213"/>
        </w:trPr>
        <w:tc>
          <w:tcPr>
            <w:tcW w:w="8440" w:type="dxa"/>
            <w:vAlign w:val="bottom"/>
          </w:tcPr>
          <w:p>
            <w:pPr>
              <w:ind w:left="20"/>
              <w:spacing w:after="0"/>
              <w:rPr>
                <w:sz w:val="20"/>
                <w:szCs w:val="20"/>
                <w:color w:val="auto"/>
              </w:rPr>
            </w:pPr>
            <w:r>
              <w:rPr>
                <w:rFonts w:ascii="Arial" w:cs="Arial" w:eastAsia="Arial" w:hAnsi="Arial"/>
                <w:sz w:val="16"/>
                <w:szCs w:val="16"/>
                <w:color w:val="auto"/>
              </w:rPr>
              <w:t>Due after ten years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MBS, residential</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42,119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43,404</w:t>
            </w:r>
          </w:p>
        </w:tc>
      </w:tr>
      <w:tr>
        <w:trPr>
          <w:trHeight w:val="213"/>
        </w:trPr>
        <w:tc>
          <w:tcPr>
            <w:tcW w:w="844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156,459</w:t>
            </w:r>
          </w:p>
        </w:tc>
      </w:tr>
      <w:tr>
        <w:trPr>
          <w:trHeight w:val="20"/>
        </w:trPr>
        <w:tc>
          <w:tcPr>
            <w:tcW w:w="8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had no sales of debt securities available for sale during the three and nine months ended March 31, 2022 and 2021. There were no gross realized gains or losses for the three and nine months ended March 31, 2022 and 2021.</w:t>
      </w:r>
    </w:p>
    <w:p>
      <w:pPr>
        <w:spacing w:after="0" w:line="199"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Debt securities available for sale with amortized costs totaling $53,266 and $52,603 and market values of $52,350 and $53,897 at March 31, 2022 and June 30, 2021, respectively, were pledged as collateral to secure various public deposits and other borrowings.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jc w:val="center"/>
        <w:ind w:right="-99"/>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jc w:val="both"/>
        <w:ind w:left="100"/>
        <w:spacing w:after="0" w:line="275" w:lineRule="auto"/>
        <w:rPr>
          <w:sz w:val="20"/>
          <w:szCs w:val="20"/>
          <w:color w:val="auto"/>
        </w:rPr>
      </w:pPr>
      <w:r>
        <w:rPr>
          <w:rFonts w:ascii="Arial" w:cs="Arial" w:eastAsia="Arial" w:hAnsi="Arial"/>
          <w:sz w:val="16"/>
          <w:szCs w:val="16"/>
          <w:color w:val="auto"/>
        </w:rPr>
        <w:t>The gross unrealized losses and the fair value for debt securities available for sale aggregated by the length of time that individual securities have been in a continuous unrealized loss position as of March 31, 2022 and June 30, 2021 were as follows:</w:t>
      </w:r>
    </w:p>
    <w:p>
      <w:pPr>
        <w:spacing w:after="0" w:line="155" w:lineRule="exact"/>
        <w:rPr>
          <w:sz w:val="20"/>
          <w:szCs w:val="20"/>
          <w:color w:val="auto"/>
        </w:rPr>
      </w:pPr>
    </w:p>
    <w:tbl>
      <w:tblPr>
        <w:tblLayout w:type="fixed"/>
        <w:tblInd w:w="100" w:type="dxa"/>
        <w:tblCellMar>
          <w:top w:w="0" w:type="dxa"/>
          <w:left w:w="0" w:type="dxa"/>
          <w:bottom w:w="0" w:type="dxa"/>
          <w:right w:w="0" w:type="dxa"/>
        </w:tblCellMar>
      </w:tblPr>
      <w:tr>
        <w:trPr>
          <w:trHeight w:val="213"/>
        </w:trPr>
        <w:tc>
          <w:tcPr>
            <w:tcW w:w="4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6"/>
                <w:szCs w:val="16"/>
                <w:b w:val="1"/>
                <w:bCs w:val="1"/>
                <w:color w:val="auto"/>
                <w:w w:val="94"/>
              </w:rPr>
              <w:t>March 31, 2022</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210"/>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20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4"/>
              </w:rPr>
              <w:t>12 Months or More</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r>
      <w:tr>
        <w:trPr>
          <w:trHeight w:val="158"/>
        </w:trPr>
        <w:tc>
          <w:tcPr>
            <w:tcW w:w="4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93"/>
              </w:rPr>
              <w:t>Unrealized</w:t>
            </w:r>
          </w:p>
        </w:tc>
      </w:tr>
      <w:tr>
        <w:trPr>
          <w:trHeight w:val="213"/>
        </w:trPr>
        <w:tc>
          <w:tcPr>
            <w:tcW w:w="4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79"/>
              </w:rPr>
              <w:t>Losses</w:t>
            </w: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14,554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MBS, residential</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21,093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23,383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23,888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38,197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(956)</w:t>
            </w:r>
          </w:p>
        </w:tc>
      </w:tr>
      <w:tr>
        <w:trPr>
          <w:trHeight w:val="212"/>
        </w:trPr>
        <w:tc>
          <w:tcPr>
            <w:tcW w:w="408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59,535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16,599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76,134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(2,066)</w:t>
            </w:r>
          </w:p>
        </w:tc>
      </w:tr>
      <w:tr>
        <w:trPr>
          <w:trHeight w:val="21"/>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90"/>
        </w:trPr>
        <w:tc>
          <w:tcPr>
            <w:tcW w:w="4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6"/>
                <w:szCs w:val="16"/>
                <w:b w:val="1"/>
                <w:bCs w:val="1"/>
                <w:color w:val="auto"/>
                <w:w w:val="90"/>
              </w:rPr>
              <w:t>June 30, 2021</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10"/>
        </w:trPr>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gridSpan w:val="5"/>
          </w:tcPr>
          <w:p>
            <w:pPr>
              <w:ind w:left="200"/>
              <w:spacing w:after="0"/>
              <w:rPr>
                <w:sz w:val="20"/>
                <w:szCs w:val="20"/>
                <w:color w:val="auto"/>
              </w:rPr>
            </w:pPr>
            <w:r>
              <w:rPr>
                <w:rFonts w:ascii="Arial" w:cs="Arial" w:eastAsia="Arial" w:hAnsi="Arial"/>
                <w:sz w:val="16"/>
                <w:szCs w:val="16"/>
                <w:b w:val="1"/>
                <w:bCs w:val="1"/>
                <w:color w:val="auto"/>
              </w:rPr>
              <w:t>Less than 12 Months</w:t>
            </w:r>
          </w:p>
        </w:tc>
        <w:tc>
          <w:tcPr>
            <w:tcW w:w="240" w:type="dxa"/>
            <w:vAlign w:val="bottom"/>
          </w:tcPr>
          <w:p>
            <w:pPr>
              <w:spacing w:after="0"/>
              <w:rPr>
                <w:sz w:val="18"/>
                <w:szCs w:val="18"/>
                <w:color w:val="auto"/>
              </w:rPr>
            </w:pPr>
          </w:p>
        </w:tc>
        <w:tc>
          <w:tcPr>
            <w:tcW w:w="2180" w:type="dxa"/>
            <w:vAlign w:val="bottom"/>
            <w:gridSpan w:val="5"/>
          </w:tcPr>
          <w:p>
            <w:pPr>
              <w:jc w:val="center"/>
              <w:ind w:right="320"/>
              <w:spacing w:after="0"/>
              <w:rPr>
                <w:sz w:val="20"/>
                <w:szCs w:val="20"/>
                <w:color w:val="auto"/>
              </w:rPr>
            </w:pPr>
            <w:r>
              <w:rPr>
                <w:rFonts w:ascii="Arial" w:cs="Arial" w:eastAsia="Arial" w:hAnsi="Arial"/>
                <w:sz w:val="16"/>
                <w:szCs w:val="16"/>
                <w:b w:val="1"/>
                <w:bCs w:val="1"/>
                <w:color w:val="auto"/>
                <w:w w:val="94"/>
              </w:rPr>
              <w:t>12 Months or More</w:t>
            </w:r>
          </w:p>
        </w:tc>
        <w:tc>
          <w:tcPr>
            <w:tcW w:w="2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b w:val="1"/>
                <w:bCs w:val="1"/>
                <w:color w:val="auto"/>
              </w:rPr>
              <w:t>Total</w:t>
            </w:r>
          </w:p>
        </w:tc>
        <w:tc>
          <w:tcPr>
            <w:tcW w:w="960" w:type="dxa"/>
            <w:vAlign w:val="bottom"/>
          </w:tcPr>
          <w:p>
            <w:pPr>
              <w:spacing w:after="0"/>
              <w:rPr>
                <w:sz w:val="18"/>
                <w:szCs w:val="18"/>
                <w:color w:val="auto"/>
              </w:rPr>
            </w:pPr>
          </w:p>
        </w:tc>
      </w:tr>
      <w:tr>
        <w:trPr>
          <w:trHeight w:val="158"/>
        </w:trPr>
        <w:tc>
          <w:tcPr>
            <w:tcW w:w="40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6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jc w:val="center"/>
              <w:ind w:right="34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center"/>
              <w:ind w:right="59"/>
              <w:spacing w:after="0" w:line="158" w:lineRule="exact"/>
              <w:rPr>
                <w:sz w:val="20"/>
                <w:szCs w:val="20"/>
                <w:color w:val="auto"/>
              </w:rPr>
            </w:pPr>
            <w:r>
              <w:rPr>
                <w:rFonts w:ascii="Arial" w:cs="Arial" w:eastAsia="Arial" w:hAnsi="Arial"/>
                <w:sz w:val="16"/>
                <w:szCs w:val="16"/>
                <w:b w:val="1"/>
                <w:bCs w:val="1"/>
                <w:color w:val="auto"/>
                <w:w w:val="93"/>
              </w:rPr>
              <w:t>Unrealized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center"/>
              <w:ind w:right="79"/>
              <w:spacing w:after="0" w:line="158" w:lineRule="exact"/>
              <w:rPr>
                <w:sz w:val="20"/>
                <w:szCs w:val="20"/>
                <w:color w:val="auto"/>
              </w:rPr>
            </w:pPr>
            <w:r>
              <w:rPr>
                <w:rFonts w:ascii="Arial" w:cs="Arial" w:eastAsia="Arial" w:hAnsi="Arial"/>
                <w:sz w:val="16"/>
                <w:szCs w:val="16"/>
                <w:b w:val="1"/>
                <w:bCs w:val="1"/>
                <w:color w:val="auto"/>
                <w:w w:val="93"/>
              </w:rPr>
              <w:t>Unrealized</w:t>
            </w:r>
          </w:p>
        </w:tc>
      </w:tr>
      <w:tr>
        <w:trPr>
          <w:trHeight w:val="213"/>
        </w:trPr>
        <w:tc>
          <w:tcPr>
            <w:tcW w:w="40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79"/>
              </w:rPr>
              <w:t>Losses</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w w:val="88"/>
              </w:rPr>
              <w:t>Value</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79"/>
              </w:rPr>
              <w:t>Losses</w:t>
            </w: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r>
      <w:tr>
        <w:trPr>
          <w:trHeight w:val="213"/>
        </w:trPr>
        <w:tc>
          <w:tcPr>
            <w:tcW w:w="4080" w:type="dxa"/>
            <w:vAlign w:val="bottom"/>
          </w:tcPr>
          <w:p>
            <w:pPr>
              <w:ind w:left="20"/>
              <w:spacing w:after="0"/>
              <w:rPr>
                <w:sz w:val="20"/>
                <w:szCs w:val="20"/>
                <w:color w:val="auto"/>
              </w:rPr>
            </w:pPr>
            <w:r>
              <w:rPr>
                <w:rFonts w:ascii="Arial" w:cs="Arial" w:eastAsia="Arial" w:hAnsi="Arial"/>
                <w:sz w:val="16"/>
                <w:szCs w:val="16"/>
                <w:color w:val="auto"/>
              </w:rPr>
              <w:t>MBS, residential</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6"/>
        </w:trPr>
        <w:tc>
          <w:tcPr>
            <w:tcW w:w="4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Corporate bonds</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r>
      <w:tr>
        <w:trPr>
          <w:trHeight w:val="213"/>
        </w:trPr>
        <w:tc>
          <w:tcPr>
            <w:tcW w:w="408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40,048</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1,205</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41,253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(218)</w:t>
            </w:r>
          </w:p>
        </w:tc>
      </w:tr>
      <w:tr>
        <w:trPr>
          <w:trHeight w:val="21"/>
        </w:trPr>
        <w:tc>
          <w:tcPr>
            <w:tcW w:w="4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 total number of securities with unrealized losses at March 31, 2022 and June 30, 2021 were 124 and 28, respectively.</w:t>
      </w:r>
    </w:p>
    <w:p>
      <w:pPr>
        <w:spacing w:after="0" w:line="167" w:lineRule="exact"/>
        <w:rPr>
          <w:sz w:val="20"/>
          <w:szCs w:val="20"/>
          <w:color w:val="auto"/>
        </w:rPr>
      </w:pPr>
    </w:p>
    <w:p>
      <w:pPr>
        <w:jc w:val="both"/>
        <w:ind w:left="100"/>
        <w:spacing w:after="0" w:line="270" w:lineRule="auto"/>
        <w:rPr>
          <w:sz w:val="20"/>
          <w:szCs w:val="20"/>
          <w:color w:val="auto"/>
        </w:rPr>
      </w:pPr>
      <w:r>
        <w:rPr>
          <w:rFonts w:ascii="Arial" w:cs="Arial" w:eastAsia="Arial" w:hAnsi="Arial"/>
          <w:sz w:val="15"/>
          <w:szCs w:val="15"/>
          <w:color w:val="auto"/>
        </w:rPr>
        <w:t>Management evaluates securities for impairment where there has been a decline in fair value below the amortized cost basis of a security to determine whether there is a credit loss associated with the decline in fair value on at least a quarterly basis, and more frequently when economic or market concerns warrant such evaluation. All debt securities available for sale in an unrealized loss position as of March 31, 2022 continue to perform as scheduled and management does not believe that there is a credit loss or that a provision for credit losses is necessary. Also, as part of management's evaluation of its intent and ability to hold investments for a period of time sufficient to allow for any anticipated recovery in the market, management considers its investment strategy, cash flow needs, liquidity position, capital adequacy and interest rate risk position. Management does not currently intend to sell the securities within the portfolio and it is not more-likely-than-not that securities will be required to be sold. See "Note 1 – Summary of Significant Account Policies" in our 2021 Form 10-K for further discussion.</w:t>
      </w:r>
    </w:p>
    <w:p>
      <w:pPr>
        <w:spacing w:after="0" w:line="127" w:lineRule="exact"/>
        <w:rPr>
          <w:sz w:val="20"/>
          <w:szCs w:val="20"/>
          <w:color w:val="auto"/>
        </w:rPr>
      </w:pPr>
    </w:p>
    <w:p>
      <w:pPr>
        <w:jc w:val="both"/>
        <w:ind w:left="100"/>
        <w:spacing w:after="0" w:line="310" w:lineRule="auto"/>
        <w:rPr>
          <w:sz w:val="20"/>
          <w:szCs w:val="20"/>
          <w:color w:val="auto"/>
        </w:rPr>
      </w:pPr>
      <w:r>
        <w:rPr>
          <w:rFonts w:ascii="Arial" w:cs="Arial" w:eastAsia="Arial" w:hAnsi="Arial"/>
          <w:sz w:val="15"/>
          <w:szCs w:val="15"/>
          <w:color w:val="auto"/>
        </w:rPr>
        <w:t>Management continues to monitor all of its securities with a high degree of scrutiny. There can be no assurance that management will not conclude in future periods that conditions existing at that time indicate some or all of its securities may be sold or would require a charge to earnings as a provision for credit losses in such periods.</w:t>
      </w:r>
    </w:p>
    <w:p>
      <w:pPr>
        <w:spacing w:after="0" w:line="94" w:lineRule="exact"/>
        <w:rPr>
          <w:sz w:val="20"/>
          <w:szCs w:val="20"/>
          <w:color w:val="auto"/>
        </w:rPr>
      </w:pPr>
    </w:p>
    <w:p>
      <w:pPr>
        <w:jc w:val="both"/>
        <w:ind w:left="100"/>
        <w:spacing w:after="0" w:line="310" w:lineRule="auto"/>
        <w:rPr>
          <w:sz w:val="20"/>
          <w:szCs w:val="20"/>
          <w:color w:val="auto"/>
        </w:rPr>
      </w:pPr>
      <w:r>
        <w:rPr>
          <w:rFonts w:ascii="Arial" w:cs="Arial" w:eastAsia="Arial" w:hAnsi="Arial"/>
          <w:sz w:val="15"/>
          <w:szCs w:val="15"/>
          <w:color w:val="auto"/>
        </w:rPr>
        <w:t>Management excludes the accrued interest receivable balance from the amortized cost basis in measuring expected credit losses on investment securities and does not record an allowance for credit losses on accrued interest receivable. As of March 31, 2022, the accrued interest receivable for debt securities available for sale was $353.</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80" w:type="dxa"/>
            <w:vAlign w:val="bottom"/>
            <w:gridSpan w:val="3"/>
          </w:tcPr>
          <w:p>
            <w:pPr>
              <w:ind w:left="100"/>
              <w:spacing w:after="0"/>
              <w:rPr>
                <w:sz w:val="20"/>
                <w:szCs w:val="20"/>
                <w:color w:val="auto"/>
              </w:rPr>
            </w:pPr>
            <w:r>
              <w:rPr>
                <w:rFonts w:ascii="Arial" w:cs="Arial" w:eastAsia="Arial" w:hAnsi="Arial"/>
                <w:sz w:val="16"/>
                <w:szCs w:val="16"/>
                <w:b w:val="1"/>
                <w:bCs w:val="1"/>
                <w:color w:val="auto"/>
              </w:rPr>
              <w:t>4.  Other Investments</w:t>
            </w:r>
          </w:p>
        </w:tc>
        <w:tc>
          <w:tcPr>
            <w:tcW w:w="1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spacing w:after="0"/>
              <w:rPr>
                <w:sz w:val="16"/>
                <w:szCs w:val="16"/>
                <w:color w:val="auto"/>
              </w:rPr>
            </w:pPr>
          </w:p>
        </w:tc>
      </w:tr>
      <w:tr>
        <w:trPr>
          <w:trHeight w:val="20"/>
        </w:trPr>
        <w:tc>
          <w:tcPr>
            <w:tcW w:w="4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365"/>
        </w:trPr>
        <w:tc>
          <w:tcPr>
            <w:tcW w:w="5980" w:type="dxa"/>
            <w:vAlign w:val="bottom"/>
            <w:gridSpan w:val="3"/>
          </w:tcPr>
          <w:p>
            <w:pPr>
              <w:ind w:left="100"/>
              <w:spacing w:after="0"/>
              <w:rPr>
                <w:sz w:val="20"/>
                <w:szCs w:val="20"/>
                <w:color w:val="auto"/>
              </w:rPr>
            </w:pPr>
            <w:r>
              <w:rPr>
                <w:rFonts w:ascii="Arial" w:cs="Arial" w:eastAsia="Arial" w:hAnsi="Arial"/>
                <w:sz w:val="16"/>
                <w:szCs w:val="16"/>
                <w:color w:val="auto"/>
              </w:rPr>
              <w:t>Other investments, at cost, consist of the following at the dates indicated:</w:t>
            </w: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91"/>
        </w:trPr>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 2022</w:t>
            </w:r>
          </w:p>
        </w:tc>
        <w:tc>
          <w:tcPr>
            <w:tcW w:w="1740" w:type="dxa"/>
            <w:vAlign w:val="bottom"/>
          </w:tcPr>
          <w:p>
            <w:pPr>
              <w:jc w:val="right"/>
              <w:ind w:right="479"/>
              <w:spacing w:after="0"/>
              <w:rPr>
                <w:sz w:val="20"/>
                <w:szCs w:val="20"/>
                <w:color w:val="auto"/>
              </w:rPr>
            </w:pPr>
            <w:r>
              <w:rPr>
                <w:rFonts w:ascii="Arial" w:cs="Arial" w:eastAsia="Arial" w:hAnsi="Arial"/>
                <w:sz w:val="16"/>
                <w:szCs w:val="16"/>
                <w:b w:val="1"/>
                <w:bCs w:val="1"/>
                <w:color w:val="auto"/>
              </w:rPr>
              <w:t>June 30, 2021</w:t>
            </w:r>
          </w:p>
        </w:tc>
      </w:tr>
      <w:tr>
        <w:trPr>
          <w:trHeight w:val="210"/>
        </w:trPr>
        <w:tc>
          <w:tcPr>
            <w:tcW w:w="5980" w:type="dxa"/>
            <w:vAlign w:val="bottom"/>
            <w:gridSpan w:val="3"/>
          </w:tcPr>
          <w:p>
            <w:pPr>
              <w:spacing w:after="0"/>
              <w:rPr>
                <w:sz w:val="20"/>
                <w:szCs w:val="20"/>
                <w:color w:val="auto"/>
              </w:rPr>
            </w:pPr>
            <w:r>
              <w:rPr>
                <w:rFonts w:ascii="Arial" w:cs="Arial" w:eastAsia="Arial" w:hAnsi="Arial"/>
                <w:sz w:val="16"/>
                <w:szCs w:val="16"/>
                <w:color w:val="auto"/>
              </w:rPr>
              <w:t>LB of Atlanta stock</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3,038$</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6,153</w:t>
            </w:r>
          </w:p>
        </w:tc>
      </w:tr>
      <w:tr>
        <w:trPr>
          <w:trHeight w:val="216"/>
        </w:trPr>
        <w:tc>
          <w:tcPr>
            <w:tcW w:w="5980" w:type="dxa"/>
            <w:vAlign w:val="bottom"/>
            <w:gridSpan w:val="3"/>
          </w:tcPr>
          <w:p>
            <w:pPr>
              <w:spacing w:after="0"/>
              <w:rPr>
                <w:sz w:val="20"/>
                <w:szCs w:val="20"/>
                <w:color w:val="auto"/>
              </w:rPr>
            </w:pPr>
            <w:r>
              <w:rPr>
                <w:rFonts w:ascii="Arial" w:cs="Arial" w:eastAsia="Arial" w:hAnsi="Arial"/>
                <w:sz w:val="16"/>
                <w:szCs w:val="16"/>
                <w:color w:val="auto"/>
              </w:rPr>
              <w:t>B stock</w:t>
            </w:r>
          </w:p>
        </w:tc>
        <w:tc>
          <w:tcPr>
            <w:tcW w:w="14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7,413</w:t>
            </w:r>
          </w:p>
        </w:tc>
        <w:tc>
          <w:tcPr>
            <w:tcW w:w="1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7,386</w:t>
            </w:r>
          </w:p>
        </w:tc>
      </w:tr>
      <w:tr>
        <w:trPr>
          <w:trHeight w:val="219"/>
        </w:trPr>
        <w:tc>
          <w:tcPr>
            <w:tcW w:w="5980" w:type="dxa"/>
            <w:vAlign w:val="bottom"/>
            <w:gridSpan w:val="3"/>
          </w:tcPr>
          <w:p>
            <w:pPr>
              <w:spacing w:after="0"/>
              <w:rPr>
                <w:sz w:val="20"/>
                <w:szCs w:val="20"/>
                <w:color w:val="auto"/>
              </w:rPr>
            </w:pPr>
            <w:r>
              <w:rPr>
                <w:rFonts w:ascii="Arial" w:cs="Arial" w:eastAsia="Arial" w:hAnsi="Arial"/>
                <w:sz w:val="16"/>
                <w:szCs w:val="16"/>
                <w:color w:val="auto"/>
              </w:rPr>
              <w:t>IC investments</w:t>
            </w:r>
          </w:p>
        </w:tc>
        <w:tc>
          <w:tcPr>
            <w:tcW w:w="142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12,589</w:t>
            </w: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10,171</w:t>
            </w:r>
          </w:p>
        </w:tc>
      </w:tr>
      <w:tr>
        <w:trPr>
          <w:trHeight w:val="212"/>
        </w:trPr>
        <w:tc>
          <w:tcPr>
            <w:tcW w:w="5980" w:type="dxa"/>
            <w:vAlign w:val="bottom"/>
            <w:gridSpan w:val="3"/>
          </w:tcPr>
          <w:p>
            <w:pPr>
              <w:spacing w:after="0"/>
              <w:rPr>
                <w:sz w:val="20"/>
                <w:szCs w:val="20"/>
                <w:color w:val="auto"/>
              </w:rPr>
            </w:pPr>
            <w:r>
              <w:rPr>
                <w:rFonts w:ascii="Arial" w:cs="Arial" w:eastAsia="Arial" w:hAnsi="Arial"/>
                <w:sz w:val="16"/>
                <w:szCs w:val="16"/>
                <w:b w:val="1"/>
                <w:bCs w:val="1"/>
                <w:color w:val="auto"/>
              </w:rPr>
              <w:t>otal</w:t>
            </w:r>
          </w:p>
        </w:tc>
        <w:tc>
          <w:tcPr>
            <w:tcW w:w="142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23,040$</w:t>
            </w:r>
          </w:p>
        </w:tc>
        <w:tc>
          <w:tcPr>
            <w:tcW w:w="100" w:type="dxa"/>
            <w:vAlign w:val="bottom"/>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23,710</w:t>
            </w:r>
          </w:p>
        </w:tc>
      </w:tr>
      <w:tr>
        <w:trPr>
          <w:trHeight w:val="20"/>
        </w:trPr>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-599440</wp:posOffset>
            </wp:positionV>
            <wp:extent cx="6909435" cy="146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9435" cy="146050"/>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-316865</wp:posOffset>
            </wp:positionV>
            <wp:extent cx="690943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9435" cy="137160"/>
                    </a:xfrm>
                    <a:prstGeom prst="rect">
                      <a:avLst/>
                    </a:prstGeom>
                    <a:noFill/>
                  </pic:spPr>
                </pic:pic>
              </a:graphicData>
            </a:graphic>
          </wp:anchor>
        </w:drawing>
      </w:r>
    </w:p>
    <w:p>
      <w:pPr>
        <w:spacing w:after="0" w:line="227" w:lineRule="exact"/>
        <w:rPr>
          <w:sz w:val="20"/>
          <w:szCs w:val="20"/>
          <w:color w:val="auto"/>
        </w:rPr>
      </w:pPr>
    </w:p>
    <w:p>
      <w:pPr>
        <w:jc w:val="both"/>
        <w:ind w:left="100"/>
        <w:spacing w:after="0" w:line="261" w:lineRule="auto"/>
        <w:rPr>
          <w:sz w:val="20"/>
          <w:szCs w:val="20"/>
          <w:color w:val="auto"/>
        </w:rPr>
      </w:pPr>
      <w:r>
        <w:rPr>
          <w:rFonts w:ascii="Arial" w:cs="Arial" w:eastAsia="Arial" w:hAnsi="Arial"/>
          <w:sz w:val="16"/>
          <w:szCs w:val="16"/>
          <w:color w:val="auto"/>
        </w:rPr>
        <w:t>As a requirement for membership, the Bank invests in the stock of both the FHLB of Atlanta and the FRB. No ready market exists for these securities so carrying value, or cost, approximates their fair value based on the redemption provisions of the FHLB of Atlanta and the FRB, respectively. SBIC investments are equity securities without a readily determinable fair value and are recorded at cost.</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30" w:right="339" w:bottom="1440" w:gutter="0" w:footer="0" w:header="0"/>
        </w:sectPr>
      </w:pPr>
    </w:p>
    <w:bookmarkStart w:id="13" w:name="page14"/>
    <w:bookmarkEnd w:id="13"/>
    <w:p>
      <w:pPr>
        <w:jc w:val="center"/>
        <w:ind w:right="-99"/>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2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5740" w:type="dxa"/>
            <w:vAlign w:val="bottom"/>
            <w:gridSpan w:val="4"/>
          </w:tcPr>
          <w:p>
            <w:pPr>
              <w:spacing w:after="0"/>
              <w:rPr>
                <w:sz w:val="20"/>
                <w:szCs w:val="20"/>
                <w:color w:val="auto"/>
              </w:rPr>
            </w:pPr>
            <w:r>
              <w:rPr>
                <w:rFonts w:ascii="Arial" w:cs="Arial" w:eastAsia="Arial" w:hAnsi="Arial"/>
                <w:sz w:val="16"/>
                <w:szCs w:val="16"/>
                <w:b w:val="1"/>
                <w:bCs w:val="1"/>
                <w:color w:val="auto"/>
              </w:rPr>
              <w:t>5.  Loans Held For Sale</w:t>
            </w: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10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Loans held for sale as of the dates indicated consist of the following:</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20" w:type="dxa"/>
            <w:vAlign w:val="bottom"/>
            <w:gridSpan w:val="5"/>
          </w:tcPr>
          <w:p>
            <w:pPr>
              <w:jc w:val="right"/>
              <w:ind w:right="760"/>
              <w:spacing w:after="0"/>
              <w:rPr>
                <w:sz w:val="20"/>
                <w:szCs w:val="20"/>
                <w:color w:val="auto"/>
              </w:rPr>
            </w:pPr>
            <w:r>
              <w:rPr>
                <w:rFonts w:ascii="Arial" w:cs="Arial" w:eastAsia="Arial" w:hAnsi="Arial"/>
                <w:sz w:val="16"/>
                <w:szCs w:val="16"/>
                <w:b w:val="1"/>
                <w:bCs w:val="1"/>
                <w:color w:val="auto"/>
              </w:rPr>
              <w:t>March 31, 2022</w:t>
            </w:r>
          </w:p>
        </w:tc>
        <w:tc>
          <w:tcPr>
            <w:tcW w:w="1900" w:type="dxa"/>
            <w:vAlign w:val="bottom"/>
            <w:gridSpan w:val="4"/>
          </w:tcPr>
          <w:p>
            <w:pPr>
              <w:jc w:val="right"/>
              <w:ind w:right="880"/>
              <w:spacing w:after="0"/>
              <w:rPr>
                <w:sz w:val="20"/>
                <w:szCs w:val="20"/>
                <w:color w:val="auto"/>
              </w:rPr>
            </w:pPr>
            <w:r>
              <w:rPr>
                <w:rFonts w:ascii="Arial" w:cs="Arial" w:eastAsia="Arial" w:hAnsi="Arial"/>
                <w:sz w:val="16"/>
                <w:szCs w:val="16"/>
                <w:b w:val="1"/>
                <w:bCs w:val="1"/>
                <w:color w:val="auto"/>
                <w:w w:val="96"/>
              </w:rPr>
              <w:t>June 30, 2021</w:t>
            </w:r>
          </w:p>
        </w:tc>
        <w:tc>
          <w:tcPr>
            <w:tcW w:w="0" w:type="dxa"/>
            <w:vAlign w:val="bottom"/>
          </w:tcPr>
          <w:p>
            <w:pPr>
              <w:spacing w:after="0"/>
              <w:rPr>
                <w:sz w:val="1"/>
                <w:szCs w:val="1"/>
                <w:color w:val="auto"/>
              </w:rPr>
            </w:pPr>
          </w:p>
        </w:tc>
      </w:tr>
      <w:tr>
        <w:trPr>
          <w:trHeight w:val="210"/>
        </w:trPr>
        <w:tc>
          <w:tcPr>
            <w:tcW w:w="5840" w:type="dxa"/>
            <w:vAlign w:val="bottom"/>
            <w:gridSpan w:val="5"/>
          </w:tcPr>
          <w:p>
            <w:pPr>
              <w:spacing w:after="0"/>
              <w:rPr>
                <w:sz w:val="20"/>
                <w:szCs w:val="20"/>
                <w:color w:val="auto"/>
              </w:rPr>
            </w:pPr>
            <w:r>
              <w:rPr>
                <w:rFonts w:ascii="Arial" w:cs="Arial" w:eastAsia="Arial" w:hAnsi="Arial"/>
                <w:sz w:val="16"/>
                <w:szCs w:val="16"/>
                <w:color w:val="auto"/>
              </w:rPr>
              <w:t>e-to-four family</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14,647$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31,873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gridSpan w:val="5"/>
          </w:tcPr>
          <w:p>
            <w:pPr>
              <w:spacing w:after="0"/>
              <w:rPr>
                <w:sz w:val="20"/>
                <w:szCs w:val="20"/>
                <w:color w:val="auto"/>
              </w:rPr>
            </w:pPr>
            <w:r>
              <w:rPr>
                <w:rFonts w:ascii="Arial" w:cs="Arial" w:eastAsia="Arial" w:hAnsi="Arial"/>
                <w:sz w:val="16"/>
                <w:szCs w:val="16"/>
                <w:color w:val="auto"/>
              </w:rPr>
              <w:t>A</w:t>
            </w:r>
          </w:p>
        </w:tc>
        <w:tc>
          <w:tcPr>
            <w:tcW w:w="1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8,105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4,160</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574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LOCs - originated</w:t>
            </w:r>
          </w:p>
        </w:tc>
        <w:tc>
          <w:tcPr>
            <w:tcW w:w="15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62,511</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57,506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840" w:type="dxa"/>
            <w:vAlign w:val="bottom"/>
            <w:gridSpan w:val="5"/>
          </w:tcPr>
          <w:p>
            <w:pPr>
              <w:spacing w:after="0"/>
              <w:rPr>
                <w:sz w:val="20"/>
                <w:szCs w:val="20"/>
                <w:color w:val="auto"/>
              </w:rPr>
            </w:pPr>
            <w:r>
              <w:rPr>
                <w:rFonts w:ascii="Arial" w:cs="Arial" w:eastAsia="Arial" w:hAnsi="Arial"/>
                <w:sz w:val="16"/>
                <w:szCs w:val="16"/>
                <w:b w:val="1"/>
                <w:bCs w:val="1"/>
                <w:color w:val="auto"/>
              </w:rPr>
              <w:t>otal</w:t>
            </w:r>
          </w:p>
        </w:tc>
        <w:tc>
          <w:tcPr>
            <w:tcW w:w="15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85,263$</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93,539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00" w:type="dxa"/>
            <w:vAlign w:val="bottom"/>
          </w:tcPr>
          <w:p>
            <w:pPr>
              <w:spacing w:after="0" w:line="20" w:lineRule="exact"/>
              <w:rPr>
                <w:sz w:val="1"/>
                <w:szCs w:val="1"/>
                <w:color w:val="auto"/>
              </w:rPr>
            </w:pPr>
          </w:p>
        </w:tc>
        <w:tc>
          <w:tcPr>
            <w:tcW w:w="5740" w:type="dxa"/>
            <w:vAlign w:val="bottom"/>
            <w:gridSpan w:val="4"/>
            <w:vMerge w:val="restart"/>
          </w:tcPr>
          <w:p>
            <w:pPr>
              <w:spacing w:after="0"/>
              <w:rPr>
                <w:sz w:val="20"/>
                <w:szCs w:val="20"/>
                <w:color w:val="auto"/>
              </w:rPr>
            </w:pPr>
            <w:r>
              <w:rPr>
                <w:rFonts w:ascii="Arial" w:cs="Arial" w:eastAsia="Arial" w:hAnsi="Arial"/>
                <w:sz w:val="16"/>
                <w:szCs w:val="16"/>
                <w:b w:val="1"/>
                <w:bCs w:val="1"/>
                <w:color w:val="auto"/>
              </w:rPr>
              <w:t>6.  Loans and Allowance for Credit Losses on Loans</w:t>
            </w:r>
          </w:p>
        </w:tc>
        <w:tc>
          <w:tcPr>
            <w:tcW w:w="1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5740" w:type="dxa"/>
            <w:vAlign w:val="bottom"/>
            <w:gridSpan w:val="4"/>
            <w:vMerge w:val="continue"/>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380" w:type="dxa"/>
            <w:vAlign w:val="bottom"/>
            <w:gridSpan w:val="2"/>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6"/>
        </w:trPr>
        <w:tc>
          <w:tcPr>
            <w:tcW w:w="100" w:type="dxa"/>
            <w:vAlign w:val="bottom"/>
          </w:tcPr>
          <w:p>
            <w:pPr>
              <w:spacing w:after="0"/>
              <w:rPr>
                <w:sz w:val="24"/>
                <w:szCs w:val="24"/>
                <w:color w:val="auto"/>
              </w:rPr>
            </w:pPr>
          </w:p>
        </w:tc>
        <w:tc>
          <w:tcPr>
            <w:tcW w:w="5740" w:type="dxa"/>
            <w:vAlign w:val="bottom"/>
            <w:gridSpan w:val="4"/>
          </w:tcPr>
          <w:p>
            <w:pPr>
              <w:spacing w:after="0"/>
              <w:rPr>
                <w:sz w:val="20"/>
                <w:szCs w:val="20"/>
                <w:color w:val="auto"/>
              </w:rPr>
            </w:pPr>
            <w:r>
              <w:rPr>
                <w:rFonts w:ascii="Arial" w:cs="Arial" w:eastAsia="Arial" w:hAnsi="Arial"/>
                <w:sz w:val="16"/>
                <w:szCs w:val="16"/>
                <w:color w:val="auto"/>
              </w:rPr>
              <w:t>Loans consist of the following at the dates indicated:</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100" w:type="dxa"/>
            <w:vAlign w:val="bottom"/>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400" w:type="dxa"/>
            <w:vAlign w:val="bottom"/>
            <w:tcBorders>
              <w:bottom w:val="single" w:sz="8" w:color="CCEEFF"/>
            </w:tcBorders>
          </w:tcPr>
          <w:p>
            <w:pPr>
              <w:spacing w:after="0"/>
              <w:rPr>
                <w:sz w:val="24"/>
                <w:szCs w:val="24"/>
                <w:color w:val="auto"/>
              </w:rPr>
            </w:pPr>
          </w:p>
        </w:tc>
        <w:tc>
          <w:tcPr>
            <w:tcW w:w="1980" w:type="dxa"/>
            <w:vAlign w:val="bottom"/>
            <w:tcBorders>
              <w:bottom w:val="single" w:sz="8" w:color="CCEEFF"/>
            </w:tcBorders>
          </w:tcPr>
          <w:p>
            <w:pPr>
              <w:spacing w:after="0"/>
              <w:rPr>
                <w:sz w:val="24"/>
                <w:szCs w:val="24"/>
                <w:color w:val="auto"/>
              </w:rPr>
            </w:pPr>
          </w:p>
        </w:tc>
        <w:tc>
          <w:tcPr>
            <w:tcW w:w="2060" w:type="dxa"/>
            <w:vAlign w:val="bottom"/>
            <w:tcBorders>
              <w:bottom w:val="single" w:sz="8" w:color="CCEEFF"/>
            </w:tcBorders>
          </w:tcPr>
          <w:p>
            <w:pPr>
              <w:spacing w:after="0"/>
              <w:rPr>
                <w:sz w:val="24"/>
                <w:szCs w:val="24"/>
                <w:color w:val="auto"/>
              </w:rPr>
            </w:pPr>
          </w:p>
        </w:tc>
        <w:tc>
          <w:tcPr>
            <w:tcW w:w="15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360"/>
              <w:spacing w:after="0"/>
              <w:rPr>
                <w:sz w:val="20"/>
                <w:szCs w:val="20"/>
                <w:color w:val="auto"/>
              </w:rPr>
            </w:pPr>
            <w:r>
              <w:rPr>
                <w:rFonts w:ascii="Arial" w:cs="Arial" w:eastAsia="Arial" w:hAnsi="Arial"/>
                <w:sz w:val="16"/>
                <w:szCs w:val="16"/>
                <w:b w:val="1"/>
                <w:bCs w:val="1"/>
                <w:color w:val="auto"/>
              </w:rPr>
              <w:t>March 31, 2022</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199"/>
        </w:trPr>
        <w:tc>
          <w:tcPr>
            <w:tcW w:w="100" w:type="dxa"/>
            <w:vAlign w:val="bottom"/>
          </w:tcPr>
          <w:p>
            <w:pPr>
              <w:spacing w:after="0"/>
              <w:rPr>
                <w:sz w:val="17"/>
                <w:szCs w:val="17"/>
                <w:color w:val="auto"/>
              </w:rPr>
            </w:pPr>
          </w:p>
        </w:tc>
        <w:tc>
          <w:tcPr>
            <w:tcW w:w="574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loans:</w:t>
            </w:r>
          </w:p>
        </w:tc>
        <w:tc>
          <w:tcPr>
            <w:tcW w:w="1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740" w:type="dxa"/>
            <w:vAlign w:val="bottom"/>
            <w:gridSpan w:val="4"/>
          </w:tcPr>
          <w:p>
            <w:pPr>
              <w:ind w:left="140"/>
              <w:spacing w:after="0"/>
              <w:rPr>
                <w:sz w:val="20"/>
                <w:szCs w:val="20"/>
                <w:color w:val="auto"/>
              </w:rPr>
            </w:pPr>
            <w:r>
              <w:rPr>
                <w:rFonts w:ascii="Arial" w:cs="Arial" w:eastAsia="Arial" w:hAnsi="Arial"/>
                <w:sz w:val="16"/>
                <w:szCs w:val="16"/>
                <w:color w:val="auto"/>
              </w:rPr>
              <w:t>Commercial real estate</w:t>
            </w:r>
          </w:p>
        </w:tc>
        <w:tc>
          <w:tcPr>
            <w:tcW w:w="204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1,102,184</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1,142,276</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7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Construction and development</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251,668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179,427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740" w:type="dxa"/>
            <w:vAlign w:val="bottom"/>
            <w:gridSpan w:val="4"/>
          </w:tcPr>
          <w:p>
            <w:pPr>
              <w:ind w:left="140"/>
              <w:spacing w:after="0"/>
              <w:rPr>
                <w:sz w:val="20"/>
                <w:szCs w:val="20"/>
                <w:color w:val="auto"/>
              </w:rPr>
            </w:pPr>
            <w:r>
              <w:rPr>
                <w:rFonts w:ascii="Arial" w:cs="Arial" w:eastAsia="Arial" w:hAnsi="Arial"/>
                <w:sz w:val="16"/>
                <w:szCs w:val="16"/>
                <w:color w:val="auto"/>
              </w:rPr>
              <w:t>Commercial and industrial</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167,342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141,341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7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Equipment finance</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378,629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317,920</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740" w:type="dxa"/>
            <w:vAlign w:val="bottom"/>
            <w:gridSpan w:val="4"/>
          </w:tcPr>
          <w:p>
            <w:pPr>
              <w:ind w:left="140"/>
              <w:spacing w:after="0"/>
              <w:rPr>
                <w:sz w:val="20"/>
                <w:szCs w:val="20"/>
                <w:color w:val="auto"/>
              </w:rPr>
            </w:pPr>
            <w:r>
              <w:rPr>
                <w:rFonts w:ascii="Arial" w:cs="Arial" w:eastAsia="Arial" w:hAnsi="Arial"/>
                <w:sz w:val="16"/>
                <w:szCs w:val="16"/>
                <w:color w:val="auto"/>
              </w:rPr>
              <w:t>Municipal finance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130,260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140,421</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7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PPP loans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2,756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46,650</w:t>
            </w:r>
          </w:p>
        </w:tc>
        <w:tc>
          <w:tcPr>
            <w:tcW w:w="0" w:type="dxa"/>
            <w:vAlign w:val="bottom"/>
          </w:tcPr>
          <w:p>
            <w:pPr>
              <w:spacing w:after="0"/>
              <w:rPr>
                <w:sz w:val="1"/>
                <w:szCs w:val="1"/>
                <w:color w:val="auto"/>
              </w:rPr>
            </w:pPr>
          </w:p>
        </w:tc>
      </w:tr>
      <w:tr>
        <w:trPr>
          <w:trHeight w:val="207"/>
        </w:trPr>
        <w:tc>
          <w:tcPr>
            <w:tcW w:w="100" w:type="dxa"/>
            <w:vAlign w:val="bottom"/>
          </w:tcPr>
          <w:p>
            <w:pPr>
              <w:spacing w:after="0"/>
              <w:rPr>
                <w:sz w:val="17"/>
                <w:szCs w:val="17"/>
                <w:color w:val="auto"/>
              </w:rPr>
            </w:pPr>
          </w:p>
        </w:tc>
        <w:tc>
          <w:tcPr>
            <w:tcW w:w="5740" w:type="dxa"/>
            <w:vAlign w:val="bottom"/>
            <w:gridSpan w:val="4"/>
          </w:tcPr>
          <w:p>
            <w:pPr>
              <w:ind w:left="240"/>
              <w:spacing w:after="0"/>
              <w:rPr>
                <w:sz w:val="20"/>
                <w:szCs w:val="20"/>
                <w:color w:val="auto"/>
              </w:rPr>
            </w:pPr>
            <w:r>
              <w:rPr>
                <w:rFonts w:ascii="Arial" w:cs="Arial" w:eastAsia="Arial" w:hAnsi="Arial"/>
                <w:sz w:val="16"/>
                <w:szCs w:val="16"/>
                <w:color w:val="auto"/>
              </w:rPr>
              <w:t>Total commercial loans</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2,032,839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1,968,035</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74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Retail consumer loans: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740" w:type="dxa"/>
            <w:vAlign w:val="bottom"/>
            <w:gridSpan w:val="4"/>
          </w:tcPr>
          <w:p>
            <w:pPr>
              <w:ind w:left="140"/>
              <w:spacing w:after="0"/>
              <w:rPr>
                <w:sz w:val="20"/>
                <w:szCs w:val="20"/>
                <w:color w:val="auto"/>
              </w:rPr>
            </w:pPr>
            <w:r>
              <w:rPr>
                <w:rFonts w:ascii="Arial" w:cs="Arial" w:eastAsia="Arial" w:hAnsi="Arial"/>
                <w:sz w:val="16"/>
                <w:szCs w:val="16"/>
                <w:color w:val="auto"/>
              </w:rPr>
              <w:t>One-to-four family</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347,945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406,549</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7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HELOCs - originated</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128,445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130,225</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740" w:type="dxa"/>
            <w:vAlign w:val="bottom"/>
            <w:gridSpan w:val="4"/>
          </w:tcPr>
          <w:p>
            <w:pPr>
              <w:ind w:left="140"/>
              <w:spacing w:after="0"/>
              <w:rPr>
                <w:sz w:val="20"/>
                <w:szCs w:val="20"/>
                <w:color w:val="auto"/>
              </w:rPr>
            </w:pPr>
            <w:r>
              <w:rPr>
                <w:rFonts w:ascii="Arial" w:cs="Arial" w:eastAsia="Arial" w:hAnsi="Arial"/>
                <w:sz w:val="16"/>
                <w:szCs w:val="16"/>
                <w:color w:val="auto"/>
              </w:rPr>
              <w:t>HELOCs - purchased</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26,911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38,976</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7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Construction and land/lots</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72,735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66,027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740" w:type="dxa"/>
            <w:vAlign w:val="bottom"/>
            <w:gridSpan w:val="4"/>
          </w:tcPr>
          <w:p>
            <w:pPr>
              <w:ind w:left="140"/>
              <w:spacing w:after="0"/>
              <w:rPr>
                <w:sz w:val="20"/>
                <w:szCs w:val="20"/>
                <w:color w:val="auto"/>
              </w:rPr>
            </w:pPr>
            <w:r>
              <w:rPr>
                <w:rFonts w:ascii="Arial" w:cs="Arial" w:eastAsia="Arial" w:hAnsi="Arial"/>
                <w:sz w:val="16"/>
                <w:szCs w:val="16"/>
                <w:color w:val="auto"/>
              </w:rPr>
              <w:t>Indirect auto finance</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3"/>
          </w:tcPr>
          <w:p>
            <w:pPr>
              <w:jc w:val="right"/>
              <w:ind w:right="80"/>
              <w:spacing w:after="0"/>
              <w:rPr>
                <w:sz w:val="20"/>
                <w:szCs w:val="20"/>
                <w:color w:val="auto"/>
              </w:rPr>
            </w:pPr>
            <w:r>
              <w:rPr>
                <w:rFonts w:ascii="Arial" w:cs="Arial" w:eastAsia="Arial" w:hAnsi="Arial"/>
                <w:sz w:val="16"/>
                <w:szCs w:val="16"/>
                <w:color w:val="auto"/>
              </w:rPr>
              <w:t>83,903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6"/>
                <w:szCs w:val="16"/>
                <w:color w:val="auto"/>
              </w:rPr>
              <w:t>115,093</w:t>
            </w:r>
          </w:p>
        </w:tc>
        <w:tc>
          <w:tcPr>
            <w:tcW w:w="0" w:type="dxa"/>
            <w:vAlign w:val="bottom"/>
          </w:tcPr>
          <w:p>
            <w:pPr>
              <w:spacing w:after="0"/>
              <w:rPr>
                <w:sz w:val="1"/>
                <w:szCs w:val="1"/>
                <w:color w:val="auto"/>
              </w:rPr>
            </w:pPr>
          </w:p>
        </w:tc>
      </w:tr>
      <w:tr>
        <w:trPr>
          <w:trHeight w:val="219"/>
        </w:trPr>
        <w:tc>
          <w:tcPr>
            <w:tcW w:w="100" w:type="dxa"/>
            <w:vAlign w:val="bottom"/>
          </w:tcPr>
          <w:p>
            <w:pPr>
              <w:spacing w:after="0"/>
              <w:rPr>
                <w:sz w:val="19"/>
                <w:szCs w:val="19"/>
                <w:color w:val="auto"/>
              </w:rPr>
            </w:pPr>
          </w:p>
        </w:tc>
        <w:tc>
          <w:tcPr>
            <w:tcW w:w="5740" w:type="dxa"/>
            <w:vAlign w:val="bottom"/>
            <w:gridSpan w:val="4"/>
            <w:shd w:val="clear" w:color="auto" w:fill="CCEEFF"/>
          </w:tcPr>
          <w:p>
            <w:pPr>
              <w:ind w:left="140"/>
              <w:spacing w:after="0"/>
              <w:rPr>
                <w:sz w:val="20"/>
                <w:szCs w:val="20"/>
                <w:color w:val="auto"/>
              </w:rPr>
            </w:pPr>
            <w:r>
              <w:rPr>
                <w:rFonts w:ascii="Arial" w:cs="Arial" w:eastAsia="Arial" w:hAnsi="Arial"/>
                <w:sz w:val="16"/>
                <w:szCs w:val="16"/>
                <w:color w:val="auto"/>
              </w:rPr>
              <w:t>Consumer</w:t>
            </w:r>
          </w:p>
        </w:tc>
        <w:tc>
          <w:tcPr>
            <w:tcW w:w="1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6,760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8,362</w:t>
            </w:r>
          </w:p>
        </w:tc>
        <w:tc>
          <w:tcPr>
            <w:tcW w:w="0" w:type="dxa"/>
            <w:vAlign w:val="bottom"/>
          </w:tcPr>
          <w:p>
            <w:pPr>
              <w:spacing w:after="0"/>
              <w:rPr>
                <w:sz w:val="1"/>
                <w:szCs w:val="1"/>
                <w:color w:val="auto"/>
              </w:rPr>
            </w:pPr>
          </w:p>
        </w:tc>
      </w:tr>
      <w:tr>
        <w:trPr>
          <w:trHeight w:val="206"/>
        </w:trPr>
        <w:tc>
          <w:tcPr>
            <w:tcW w:w="100" w:type="dxa"/>
            <w:vAlign w:val="bottom"/>
          </w:tcPr>
          <w:p>
            <w:pPr>
              <w:spacing w:after="0"/>
              <w:rPr>
                <w:sz w:val="17"/>
                <w:szCs w:val="17"/>
                <w:color w:val="auto"/>
              </w:rPr>
            </w:pPr>
          </w:p>
        </w:tc>
        <w:tc>
          <w:tcPr>
            <w:tcW w:w="5740" w:type="dxa"/>
            <w:vAlign w:val="bottom"/>
            <w:tcBorders>
              <w:bottom w:val="single" w:sz="8" w:color="CCEEFF"/>
            </w:tcBorders>
            <w:gridSpan w:val="4"/>
          </w:tcPr>
          <w:p>
            <w:pPr>
              <w:ind w:left="240"/>
              <w:spacing w:after="0"/>
              <w:rPr>
                <w:sz w:val="20"/>
                <w:szCs w:val="20"/>
                <w:color w:val="auto"/>
              </w:rPr>
            </w:pPr>
            <w:r>
              <w:rPr>
                <w:rFonts w:ascii="Arial" w:cs="Arial" w:eastAsia="Arial" w:hAnsi="Arial"/>
                <w:sz w:val="16"/>
                <w:szCs w:val="16"/>
                <w:color w:val="auto"/>
              </w:rPr>
              <w:t>Total retail consumer loans</w:t>
            </w:r>
          </w:p>
        </w:tc>
        <w:tc>
          <w:tcPr>
            <w:tcW w:w="15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666,699</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765,232</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74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Total loans, net of deferred loan fees and costs</w:t>
            </w: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2,699,538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2,733,267</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740" w:type="dxa"/>
            <w:vAlign w:val="bottom"/>
            <w:tcBorders>
              <w:bottom w:val="single" w:sz="8" w:color="CCEEFF"/>
            </w:tcBorders>
            <w:gridSpan w:val="4"/>
          </w:tcPr>
          <w:p>
            <w:pPr>
              <w:ind w:left="40"/>
              <w:spacing w:after="0"/>
              <w:rPr>
                <w:sz w:val="20"/>
                <w:szCs w:val="20"/>
                <w:color w:val="auto"/>
              </w:rPr>
            </w:pPr>
            <w:r>
              <w:rPr>
                <w:rFonts w:ascii="Arial" w:cs="Arial" w:eastAsia="Arial" w:hAnsi="Arial"/>
                <w:sz w:val="16"/>
                <w:szCs w:val="16"/>
                <w:color w:val="auto"/>
              </w:rPr>
              <w:t>Allowance for credit losses on loans</w:t>
            </w:r>
          </w:p>
        </w:tc>
        <w:tc>
          <w:tcPr>
            <w:tcW w:w="15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(31,034)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(35,468)</w:t>
            </w:r>
          </w:p>
        </w:tc>
        <w:tc>
          <w:tcPr>
            <w:tcW w:w="0" w:type="dxa"/>
            <w:vAlign w:val="bottom"/>
          </w:tcPr>
          <w:p>
            <w:pPr>
              <w:spacing w:after="0"/>
              <w:rPr>
                <w:sz w:val="1"/>
                <w:szCs w:val="1"/>
                <w:color w:val="auto"/>
              </w:rPr>
            </w:pPr>
          </w:p>
        </w:tc>
      </w:tr>
      <w:tr>
        <w:trPr>
          <w:trHeight w:val="233"/>
        </w:trPr>
        <w:tc>
          <w:tcPr>
            <w:tcW w:w="100" w:type="dxa"/>
            <w:vAlign w:val="bottom"/>
          </w:tcPr>
          <w:p>
            <w:pPr>
              <w:spacing w:after="0"/>
              <w:rPr>
                <w:sz w:val="20"/>
                <w:szCs w:val="20"/>
                <w:color w:val="auto"/>
              </w:rPr>
            </w:pPr>
          </w:p>
        </w:tc>
        <w:tc>
          <w:tcPr>
            <w:tcW w:w="5740" w:type="dxa"/>
            <w:vAlign w:val="bottom"/>
            <w:gridSpan w:val="4"/>
            <w:shd w:val="clear" w:color="auto" w:fill="CCEEFF"/>
          </w:tcPr>
          <w:p>
            <w:pPr>
              <w:ind w:left="240"/>
              <w:spacing w:after="0"/>
              <w:rPr>
                <w:sz w:val="20"/>
                <w:szCs w:val="20"/>
                <w:color w:val="auto"/>
              </w:rPr>
            </w:pPr>
            <w:r>
              <w:rPr>
                <w:rFonts w:ascii="Arial" w:cs="Arial" w:eastAsia="Arial" w:hAnsi="Arial"/>
                <w:sz w:val="16"/>
                <w:szCs w:val="16"/>
                <w:color w:val="auto"/>
              </w:rPr>
              <w:t>Loans, net</w:t>
            </w:r>
          </w:p>
        </w:tc>
        <w:tc>
          <w:tcPr>
            <w:tcW w:w="20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5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2,668,504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2,697,799</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-4036695</wp:posOffset>
            </wp:positionV>
            <wp:extent cx="692658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145415"/>
                    </a:xfrm>
                    <a:prstGeom prst="rect">
                      <a:avLst/>
                    </a:prstGeom>
                    <a:noFill/>
                  </pic:spPr>
                </pic:pic>
              </a:graphicData>
            </a:graphic>
          </wp:anchor>
        </w:drawing>
      </w:r>
    </w:p>
    <w:p>
      <w:pPr>
        <w:spacing w:after="0" w:line="47" w:lineRule="exact"/>
        <w:rPr>
          <w:sz w:val="20"/>
          <w:szCs w:val="20"/>
          <w:color w:val="auto"/>
        </w:rPr>
      </w:pPr>
    </w:p>
    <w:p>
      <w:pPr>
        <w:ind w:left="100"/>
        <w:spacing w:after="0"/>
        <w:rPr>
          <w:sz w:val="20"/>
          <w:szCs w:val="20"/>
          <w:color w:val="auto"/>
        </w:rPr>
      </w:pPr>
      <w:r>
        <w:rPr>
          <w:rFonts w:ascii="Arial" w:cs="Arial" w:eastAsia="Arial" w:hAnsi="Arial"/>
          <w:sz w:val="13"/>
          <w:szCs w:val="13"/>
          <w:color w:val="auto"/>
        </w:rPr>
        <w:t>_________________________________________________________________</w:t>
      </w:r>
    </w:p>
    <w:p>
      <w:pPr>
        <w:spacing w:after="0" w:line="40" w:lineRule="exact"/>
        <w:rPr>
          <w:sz w:val="20"/>
          <w:szCs w:val="20"/>
          <w:color w:val="auto"/>
        </w:rPr>
      </w:pPr>
    </w:p>
    <w:p>
      <w:pPr>
        <w:ind w:left="100"/>
        <w:spacing w:after="0"/>
        <w:rPr>
          <w:sz w:val="20"/>
          <w:szCs w:val="20"/>
          <w:color w:val="auto"/>
        </w:rPr>
      </w:pPr>
      <w:r>
        <w:rPr>
          <w:rFonts w:ascii="Arial" w:cs="Arial" w:eastAsia="Arial" w:hAnsi="Arial"/>
          <w:sz w:val="13"/>
          <w:szCs w:val="13"/>
          <w:color w:val="auto"/>
        </w:rPr>
        <w:t>(1) At March 31, 2022 and June 30, 2021 accrued interest receivable of $7,427 and $7,339 was accounted for separately from the amortized cost basis.</w:t>
      </w:r>
    </w:p>
    <w:p>
      <w:pPr>
        <w:spacing w:after="0" w:line="111" w:lineRule="exact"/>
        <w:rPr>
          <w:sz w:val="20"/>
          <w:szCs w:val="20"/>
          <w:color w:val="auto"/>
        </w:rPr>
      </w:pPr>
    </w:p>
    <w:p>
      <w:pPr>
        <w:ind w:left="100"/>
        <w:spacing w:after="0" w:line="275" w:lineRule="auto"/>
        <w:rPr>
          <w:sz w:val="20"/>
          <w:szCs w:val="20"/>
          <w:color w:val="auto"/>
        </w:rPr>
      </w:pPr>
      <w:r>
        <w:rPr>
          <w:rFonts w:ascii="Arial" w:cs="Arial" w:eastAsia="Arial" w:hAnsi="Arial"/>
          <w:sz w:val="16"/>
          <w:szCs w:val="16"/>
          <w:color w:val="auto"/>
        </w:rPr>
        <w:t>All qualifying one-to-four family first mortgage loans, HELOCs, commercial real estate loans, and FHLB of Atlanta stock are pledged as collateral by a blanket pledge to secure any outstanding FHLB advances.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30" w:right="3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Loans are monitored for credit quality on a recurring basis and the composition of the loans outstanding by credit quality indicator is provided below. Loan credit quality indicators are developed through review of individual borrowers on an ongoing basis. Generally, loans are monitored for performance on a quarterly basis with the credit quality indicators adjusted as needed. The indicators represent the rating for loans as of the date presented based on the most recent assessment performed. These credit quality indicators are defined as follows:</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16"/>
          <w:szCs w:val="16"/>
          <w:u w:val="single" w:color="auto"/>
          <w:color w:val="auto"/>
        </w:rPr>
        <w:t>Pass</w:t>
      </w:r>
      <w:r>
        <w:rPr>
          <w:rFonts w:ascii="Arial" w:cs="Arial" w:eastAsia="Arial" w:hAnsi="Arial"/>
          <w:sz w:val="16"/>
          <w:szCs w:val="16"/>
          <w:color w:val="auto"/>
        </w:rPr>
        <w:t>—A pass rated asset is not adversely classified because it does not display any of the characteristics for adverse classification.</w:t>
      </w:r>
    </w:p>
    <w:p>
      <w:pPr>
        <w:spacing w:after="0" w:line="167"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u w:val="single" w:color="auto"/>
          <w:color w:val="auto"/>
        </w:rPr>
        <w:t>Special Mention</w:t>
      </w:r>
      <w:r>
        <w:rPr>
          <w:rFonts w:ascii="Arial" w:cs="Arial" w:eastAsia="Arial" w:hAnsi="Arial"/>
          <w:sz w:val="16"/>
          <w:szCs w:val="16"/>
          <w:color w:val="auto"/>
        </w:rPr>
        <w:t>—A special mention asset has potential weaknesses that deserve management’s close attention. If left uncorrected, such potential weaknesses may result in deterioration of the repayment prospects or collateral position at some future date. Special mention assets are not adversely classified and do not warrant adverse classification.</w:t>
      </w:r>
    </w:p>
    <w:p>
      <w:pPr>
        <w:spacing w:after="0" w:line="129"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u w:val="single" w:color="auto"/>
          <w:color w:val="auto"/>
        </w:rPr>
        <w:t>Substandard</w:t>
      </w:r>
      <w:r>
        <w:rPr>
          <w:rFonts w:ascii="Arial" w:cs="Arial" w:eastAsia="Arial" w:hAnsi="Arial"/>
          <w:sz w:val="16"/>
          <w:szCs w:val="16"/>
          <w:color w:val="auto"/>
        </w:rPr>
        <w:t>—A substandard asset is inadequately protected by the current net worth and paying capacity of the obligor, or of the collateral pledged, if any. Assets classified as substandard generally have a well-defined weakness, or weaknesses, that jeopardize the liquidation of the debt. These assets are characterized by the distinct possibility of loss if the deficiencies are not corrected.</w:t>
      </w:r>
    </w:p>
    <w:p>
      <w:pPr>
        <w:spacing w:after="0" w:line="129" w:lineRule="exact"/>
        <w:rPr>
          <w:sz w:val="20"/>
          <w:szCs w:val="20"/>
          <w:color w:val="auto"/>
        </w:rPr>
      </w:pPr>
    </w:p>
    <w:p>
      <w:pPr>
        <w:jc w:val="both"/>
        <w:ind w:left="660" w:right="20"/>
        <w:spacing w:after="0" w:line="275" w:lineRule="auto"/>
        <w:rPr>
          <w:sz w:val="20"/>
          <w:szCs w:val="20"/>
          <w:color w:val="auto"/>
        </w:rPr>
      </w:pPr>
      <w:r>
        <w:rPr>
          <w:rFonts w:ascii="Arial" w:cs="Arial" w:eastAsia="Arial" w:hAnsi="Arial"/>
          <w:sz w:val="16"/>
          <w:szCs w:val="16"/>
          <w:u w:val="single" w:color="auto"/>
          <w:color w:val="auto"/>
        </w:rPr>
        <w:t>Doubtful</w:t>
      </w:r>
      <w:r>
        <w:rPr>
          <w:rFonts w:ascii="Arial" w:cs="Arial" w:eastAsia="Arial" w:hAnsi="Arial"/>
          <w:sz w:val="16"/>
          <w:szCs w:val="16"/>
          <w:color w:val="auto"/>
        </w:rPr>
        <w:t>—An asset classified doubtful has all the weaknesses inherent in an asset classified substandard with the added characteristic that the weaknesses make collection or liquidation in full highly questionable and improbable, on the basis of currently existing facts, conditions, and values.</w:t>
      </w:r>
    </w:p>
    <w:p>
      <w:pPr>
        <w:spacing w:after="0" w:line="118" w:lineRule="exact"/>
        <w:rPr>
          <w:sz w:val="20"/>
          <w:szCs w:val="20"/>
          <w:color w:val="auto"/>
        </w:rPr>
      </w:pPr>
    </w:p>
    <w:p>
      <w:pPr>
        <w:jc w:val="both"/>
        <w:ind w:left="660"/>
        <w:spacing w:after="0" w:line="261" w:lineRule="auto"/>
        <w:rPr>
          <w:sz w:val="20"/>
          <w:szCs w:val="20"/>
          <w:color w:val="auto"/>
        </w:rPr>
      </w:pPr>
      <w:r>
        <w:rPr>
          <w:rFonts w:ascii="Arial" w:cs="Arial" w:eastAsia="Arial" w:hAnsi="Arial"/>
          <w:sz w:val="16"/>
          <w:szCs w:val="16"/>
          <w:u w:val="single" w:color="auto"/>
          <w:color w:val="auto"/>
        </w:rPr>
        <w:t>Loss</w:t>
      </w:r>
      <w:r>
        <w:rPr>
          <w:rFonts w:ascii="Arial" w:cs="Arial" w:eastAsia="Arial" w:hAnsi="Arial"/>
          <w:sz w:val="16"/>
          <w:szCs w:val="16"/>
          <w:color w:val="auto"/>
        </w:rPr>
        <w:t>—Assets classified loss are considered uncollectible and of such little value that their continuing to be carried as an asset is not warranted. This classification is not necessarily equivalent to no potential for recovery or salvage value, but rather that it is not appropriate to defer a full write-off even though partial recovery may be effected in the future.</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table presents the credit risk profile by risk grade for commercial loans by origination year:</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Term Loans By Origination Fiscal Year</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8"/>
        </w:trPr>
        <w:tc>
          <w:tcPr>
            <w:tcW w:w="20" w:type="dxa"/>
            <w:vAlign w:val="bottom"/>
          </w:tcPr>
          <w:p>
            <w:pPr>
              <w:spacing w:after="0"/>
              <w:rPr>
                <w:sz w:val="16"/>
                <w:szCs w:val="16"/>
                <w:color w:val="auto"/>
              </w:rPr>
            </w:pPr>
          </w:p>
        </w:tc>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March 31, 2022</w:t>
            </w: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Revolving</w:t>
            </w:r>
          </w:p>
        </w:tc>
        <w:tc>
          <w:tcPr>
            <w:tcW w:w="200" w:type="dxa"/>
            <w:vAlign w:val="bottom"/>
          </w:tcPr>
          <w:p>
            <w:pPr>
              <w:spacing w:after="0"/>
              <w:rPr>
                <w:sz w:val="16"/>
                <w:szCs w:val="16"/>
                <w:color w:val="auto"/>
              </w:rPr>
            </w:pPr>
          </w:p>
        </w:tc>
        <w:tc>
          <w:tcPr>
            <w:tcW w:w="74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r>
      <w:tr>
        <w:trPr>
          <w:trHeight w:val="170"/>
        </w:trPr>
        <w:tc>
          <w:tcPr>
            <w:tcW w:w="20" w:type="dxa"/>
            <w:vAlign w:val="bottom"/>
          </w:tcPr>
          <w:p>
            <w:pPr>
              <w:spacing w:after="0"/>
              <w:rPr>
                <w:sz w:val="14"/>
                <w:szCs w:val="14"/>
                <w:color w:val="auto"/>
              </w:rPr>
            </w:pPr>
          </w:p>
        </w:tc>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20"/>
              <w:spacing w:after="0"/>
              <w:rPr>
                <w:sz w:val="20"/>
                <w:szCs w:val="20"/>
                <w:color w:val="auto"/>
              </w:rPr>
            </w:pPr>
            <w:r>
              <w:rPr>
                <w:rFonts w:ascii="Arial" w:cs="Arial" w:eastAsia="Arial" w:hAnsi="Arial"/>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135,883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218,034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162,102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115,537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119,739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293,512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1,068,045</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432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13,410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30,350</w:t>
            </w: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3,789</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Total commercial real estate</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136,613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218,034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162,503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115,969</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135,708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309,722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23,635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1,102,184</w:t>
            </w:r>
          </w:p>
        </w:tc>
      </w:tr>
      <w:tr>
        <w:trPr>
          <w:trHeight w:val="46"/>
        </w:trPr>
        <w:tc>
          <w:tcPr>
            <w:tcW w:w="20" w:type="dxa"/>
            <w:vAlign w:val="bottom"/>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6"/>
        </w:trPr>
        <w:tc>
          <w:tcPr>
            <w:tcW w:w="20" w:type="dxa"/>
            <w:vAlign w:val="bottom"/>
          </w:tcPr>
          <w:p>
            <w:pPr>
              <w:spacing w:after="0"/>
              <w:rPr>
                <w:sz w:val="16"/>
                <w:szCs w:val="16"/>
                <w:color w:val="auto"/>
              </w:rPr>
            </w:pPr>
          </w:p>
        </w:tc>
        <w:tc>
          <w:tcPr>
            <w:tcW w:w="312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Construction and development</w:t>
            </w: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4"/>
                <w:szCs w:val="14"/>
                <w:color w:val="auto"/>
              </w:rPr>
              <w:t>Risk rating:</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Pass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26,859</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15,907</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2,241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2,687</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4,530</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5,932</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187,373</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245,529</w:t>
            </w: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4,901</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1,238</w:t>
            </w: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Loss</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20" w:type="dxa"/>
            <w:vAlign w:val="bottom"/>
          </w:tcPr>
          <w:p>
            <w:pPr>
              <w:spacing w:after="0"/>
              <w:rPr>
                <w:sz w:val="17"/>
                <w:szCs w:val="17"/>
                <w:color w:val="auto"/>
              </w:rPr>
            </w:pPr>
          </w:p>
        </w:tc>
        <w:tc>
          <w:tcPr>
            <w:tcW w:w="3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Total construction and development</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27,765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15,907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4,530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192,088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251,668</w:t>
            </w:r>
          </w:p>
        </w:tc>
      </w:tr>
      <w:tr>
        <w:trPr>
          <w:trHeight w:val="21"/>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20"/>
              <w:spacing w:after="0"/>
              <w:rPr>
                <w:sz w:val="20"/>
                <w:szCs w:val="20"/>
                <w:color w:val="auto"/>
              </w:rPr>
            </w:pPr>
            <w:r>
              <w:rPr>
                <w:rFonts w:ascii="Arial" w:cs="Arial" w:eastAsia="Arial" w:hAnsi="Arial"/>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43,193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21,537</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11,960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22,202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43,889</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161,562</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5,485</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Total commercial and industrial</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43,193</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22,311</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12,307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12,505</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7,136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22,349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47,541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167,342</w:t>
            </w:r>
          </w:p>
        </w:tc>
      </w:tr>
      <w:tr>
        <w:trPr>
          <w:trHeight w:val="46"/>
        </w:trPr>
        <w:tc>
          <w:tcPr>
            <w:tcW w:w="20" w:type="dxa"/>
            <w:vAlign w:val="bottom"/>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8"/>
        </w:trPr>
        <w:tc>
          <w:tcPr>
            <w:tcW w:w="20" w:type="dxa"/>
            <w:vAlign w:val="bottom"/>
          </w:tcPr>
          <w:p>
            <w:pPr>
              <w:spacing w:after="0"/>
              <w:rPr>
                <w:sz w:val="16"/>
                <w:szCs w:val="16"/>
                <w:color w:val="auto"/>
              </w:rPr>
            </w:pPr>
          </w:p>
        </w:tc>
        <w:tc>
          <w:tcPr>
            <w:tcW w:w="312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Equipment finance</w:t>
            </w: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rating:</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Pass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142,026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125,396</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75,126</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32,142</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2,278</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376,968</w:t>
            </w: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1,306</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Loss</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20" w:type="dxa"/>
            <w:vAlign w:val="bottom"/>
          </w:tcPr>
          <w:p>
            <w:pPr>
              <w:spacing w:after="0"/>
              <w:rPr>
                <w:sz w:val="17"/>
                <w:szCs w:val="17"/>
                <w:color w:val="auto"/>
              </w:rPr>
            </w:pPr>
          </w:p>
        </w:tc>
        <w:tc>
          <w:tcPr>
            <w:tcW w:w="3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Total equipment finance</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142,392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125,470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75,747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32,742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378,629</w:t>
            </w: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Municipal leases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20"/>
              <w:spacing w:after="0"/>
              <w:rPr>
                <w:sz w:val="20"/>
                <w:szCs w:val="20"/>
                <w:color w:val="auto"/>
              </w:rPr>
            </w:pPr>
            <w:r>
              <w:rPr>
                <w:rFonts w:ascii="Arial" w:cs="Arial" w:eastAsia="Arial" w:hAnsi="Arial"/>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24,550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130,223</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9"/>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Total municipal leases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16,684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24,587</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9,262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11,768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14,370</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42,005</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11,584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130,260</w:t>
            </w:r>
          </w:p>
        </w:tc>
      </w:tr>
      <w:tr>
        <w:trPr>
          <w:trHeight w:val="46"/>
        </w:trPr>
        <w:tc>
          <w:tcPr>
            <w:tcW w:w="20" w:type="dxa"/>
            <w:vAlign w:val="bottom"/>
          </w:tcPr>
          <w:p>
            <w:pPr>
              <w:spacing w:after="0"/>
              <w:rPr>
                <w:sz w:val="3"/>
                <w:szCs w:val="3"/>
                <w:color w:val="auto"/>
              </w:rPr>
            </w:pPr>
          </w:p>
        </w:tc>
        <w:tc>
          <w:tcPr>
            <w:tcW w:w="3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r>
      <w:tr>
        <w:trPr>
          <w:trHeight w:val="188"/>
        </w:trPr>
        <w:tc>
          <w:tcPr>
            <w:tcW w:w="20" w:type="dxa"/>
            <w:vAlign w:val="bottom"/>
          </w:tcPr>
          <w:p>
            <w:pPr>
              <w:spacing w:after="0"/>
              <w:rPr>
                <w:sz w:val="16"/>
                <w:szCs w:val="16"/>
                <w:color w:val="auto"/>
              </w:rPr>
            </w:pPr>
          </w:p>
        </w:tc>
        <w:tc>
          <w:tcPr>
            <w:tcW w:w="3120" w:type="dxa"/>
            <w:vAlign w:val="bottom"/>
            <w:tcBorders>
              <w:top w:val="single" w:sz="8" w:color="CCEEFF"/>
            </w:tcBorders>
          </w:tcPr>
          <w:p>
            <w:pPr>
              <w:ind w:left="20"/>
              <w:spacing w:after="0"/>
              <w:rPr>
                <w:sz w:val="20"/>
                <w:szCs w:val="20"/>
                <w:color w:val="auto"/>
              </w:rPr>
            </w:pPr>
            <w:r>
              <w:rPr>
                <w:rFonts w:ascii="Arial" w:cs="Arial" w:eastAsia="Arial" w:hAnsi="Arial"/>
                <w:sz w:val="14"/>
                <w:szCs w:val="14"/>
                <w:b w:val="1"/>
                <w:bCs w:val="1"/>
                <w:color w:val="auto"/>
              </w:rPr>
              <w:t>PPP loans</w:t>
            </w: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Risk rating:</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Pass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2,255</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2,756</w:t>
            </w: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Loss</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20" w:type="dxa"/>
            <w:vAlign w:val="bottom"/>
          </w:tcPr>
          <w:p>
            <w:pPr>
              <w:spacing w:after="0"/>
              <w:rPr>
                <w:sz w:val="17"/>
                <w:szCs w:val="17"/>
                <w:color w:val="auto"/>
              </w:rPr>
            </w:pPr>
          </w:p>
        </w:tc>
        <w:tc>
          <w:tcPr>
            <w:tcW w:w="31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4"/>
                <w:szCs w:val="14"/>
                <w:b w:val="1"/>
                <w:bCs w:val="1"/>
                <w:color w:val="auto"/>
              </w:rPr>
              <w:t>Total PPP loans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2,756</w:t>
            </w: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3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89"/>
        </w:trPr>
        <w:tc>
          <w:tcPr>
            <w:tcW w:w="20" w:type="dxa"/>
            <w:vAlign w:val="bottom"/>
          </w:tcPr>
          <w:p>
            <w:pPr>
              <w:spacing w:after="0"/>
              <w:rPr>
                <w:sz w:val="16"/>
                <w:szCs w:val="16"/>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commercial loans</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3120" w:type="dxa"/>
            <w:vAlign w:val="bottom"/>
          </w:tcPr>
          <w:p>
            <w:pPr>
              <w:ind w:left="20"/>
              <w:spacing w:after="0"/>
              <w:rPr>
                <w:sz w:val="20"/>
                <w:szCs w:val="20"/>
                <w:color w:val="auto"/>
              </w:rPr>
            </w:pPr>
            <w:r>
              <w:rPr>
                <w:rFonts w:ascii="Arial" w:cs="Arial" w:eastAsia="Arial" w:hAnsi="Arial"/>
                <w:sz w:val="14"/>
                <w:szCs w:val="14"/>
                <w:color w:val="auto"/>
              </w:rPr>
              <w:t>Risk rating:</w:t>
            </w: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364,645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407,679</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261,192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173,779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148,053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363,651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266,084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1,985,083</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15,377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13,690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4,812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36,889</w:t>
            </w:r>
          </w:p>
        </w:tc>
      </w:tr>
      <w:tr>
        <w:trPr>
          <w:trHeight w:val="192"/>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670</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10,717</w:t>
            </w:r>
          </w:p>
        </w:tc>
      </w:tr>
      <w:tr>
        <w:trPr>
          <w:trHeight w:val="186"/>
        </w:trPr>
        <w:tc>
          <w:tcPr>
            <w:tcW w:w="20" w:type="dxa"/>
            <w:vAlign w:val="bottom"/>
          </w:tcPr>
          <w:p>
            <w:pPr>
              <w:spacing w:after="0"/>
              <w:rPr>
                <w:sz w:val="16"/>
                <w:szCs w:val="16"/>
                <w:color w:val="auto"/>
              </w:rPr>
            </w:pPr>
          </w:p>
        </w:tc>
        <w:tc>
          <w:tcPr>
            <w:tcW w:w="3120" w:type="dxa"/>
            <w:vAlign w:val="bottom"/>
          </w:tcPr>
          <w:p>
            <w:pPr>
              <w:ind w:left="140"/>
              <w:spacing w:after="0"/>
              <w:rPr>
                <w:sz w:val="20"/>
                <w:szCs w:val="20"/>
                <w:color w:val="auto"/>
              </w:rPr>
            </w:pPr>
            <w:r>
              <w:rPr>
                <w:rFonts w:ascii="Arial" w:cs="Arial" w:eastAsia="Arial" w:hAnsi="Arial"/>
                <w:sz w:val="14"/>
                <w:szCs w:val="14"/>
                <w:color w:val="auto"/>
              </w:rPr>
              <w:t>Doubtful</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150</w:t>
            </w:r>
          </w:p>
        </w:tc>
      </w:tr>
      <w:tr>
        <w:trPr>
          <w:trHeight w:val="189"/>
        </w:trPr>
        <w:tc>
          <w:tcPr>
            <w:tcW w:w="20" w:type="dxa"/>
            <w:vAlign w:val="bottom"/>
          </w:tcPr>
          <w:p>
            <w:pPr>
              <w:spacing w:after="0"/>
              <w:rPr>
                <w:sz w:val="16"/>
                <w:szCs w:val="16"/>
                <w:color w:val="auto"/>
              </w:rPr>
            </w:pPr>
          </w:p>
        </w:tc>
        <w:tc>
          <w:tcPr>
            <w:tcW w:w="31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0" w:type="dxa"/>
            <w:vAlign w:val="bottom"/>
          </w:tcPr>
          <w:p>
            <w:pPr>
              <w:spacing w:after="0"/>
              <w:rPr>
                <w:sz w:val="16"/>
                <w:szCs w:val="16"/>
                <w:color w:val="auto"/>
              </w:rPr>
            </w:pPr>
          </w:p>
        </w:tc>
        <w:tc>
          <w:tcPr>
            <w:tcW w:w="3120" w:type="dxa"/>
            <w:vAlign w:val="bottom"/>
          </w:tcPr>
          <w:p>
            <w:pPr>
              <w:ind w:left="240"/>
              <w:spacing w:after="0"/>
              <w:rPr>
                <w:sz w:val="20"/>
                <w:szCs w:val="20"/>
                <w:color w:val="auto"/>
              </w:rPr>
            </w:pPr>
            <w:r>
              <w:rPr>
                <w:rFonts w:ascii="Arial" w:cs="Arial" w:eastAsia="Arial" w:hAnsi="Arial"/>
                <w:sz w:val="14"/>
                <w:szCs w:val="14"/>
                <w:b w:val="1"/>
                <w:bCs w:val="1"/>
                <w:color w:val="auto"/>
              </w:rPr>
              <w:t>Total commercial loans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366,647</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408,564</w:t>
            </w:r>
          </w:p>
        </w:tc>
        <w:tc>
          <w:tcPr>
            <w:tcW w:w="8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262,561</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175,671</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164,022</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380,526</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274,848</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2,032,839</w:t>
            </w: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30"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the credit risk profile by risk grade for retail consumer loans by origination year: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9"/>
          </w:tcPr>
          <w:p>
            <w:pPr>
              <w:ind w:left="600"/>
              <w:spacing w:after="0"/>
              <w:rPr>
                <w:sz w:val="20"/>
                <w:szCs w:val="20"/>
                <w:color w:val="auto"/>
              </w:rPr>
            </w:pPr>
            <w:r>
              <w:rPr>
                <w:rFonts w:ascii="Arial" w:cs="Arial" w:eastAsia="Arial" w:hAnsi="Arial"/>
                <w:sz w:val="14"/>
                <w:szCs w:val="14"/>
                <w:b w:val="1"/>
                <w:bCs w:val="1"/>
                <w:color w:val="auto"/>
                <w:w w:val="93"/>
              </w:rPr>
              <w:t>Term Loans By Origination Fiscal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8"/>
        </w:trPr>
        <w:tc>
          <w:tcPr>
            <w:tcW w:w="2580" w:type="dxa"/>
            <w:vAlign w:val="bottom"/>
          </w:tcPr>
          <w:p>
            <w:pPr>
              <w:ind w:left="140"/>
              <w:spacing w:after="0"/>
              <w:rPr>
                <w:sz w:val="20"/>
                <w:szCs w:val="20"/>
                <w:color w:val="auto"/>
              </w:rPr>
            </w:pPr>
            <w:r>
              <w:rPr>
                <w:rFonts w:ascii="Arial" w:cs="Arial" w:eastAsia="Arial" w:hAnsi="Arial"/>
                <w:sz w:val="14"/>
                <w:szCs w:val="14"/>
                <w:b w:val="1"/>
                <w:bCs w:val="1"/>
                <w:color w:val="auto"/>
              </w:rPr>
              <w:t>March 31, 2022</w:t>
            </w:r>
          </w:p>
        </w:tc>
        <w:tc>
          <w:tcPr>
            <w:tcW w:w="30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Revolving</w:t>
            </w:r>
          </w:p>
        </w:tc>
        <w:tc>
          <w:tcPr>
            <w:tcW w:w="30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70"/>
        </w:trPr>
        <w:tc>
          <w:tcPr>
            <w:tcW w:w="25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One-to-four family</w:t>
            </w:r>
          </w:p>
        </w:tc>
        <w:tc>
          <w:tcPr>
            <w:tcW w:w="3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40,621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68,486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48,195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31,537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25,273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123,383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340,265</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858</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6,358</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89"/>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r>
      <w:tr>
        <w:trPr>
          <w:trHeight w:val="186"/>
        </w:trPr>
        <w:tc>
          <w:tcPr>
            <w:tcW w:w="2580" w:type="dxa"/>
            <w:vAlign w:val="bottom"/>
          </w:tcPr>
          <w:p>
            <w:pPr>
              <w:ind w:left="360"/>
              <w:spacing w:after="0"/>
              <w:rPr>
                <w:sz w:val="20"/>
                <w:szCs w:val="20"/>
                <w:color w:val="auto"/>
              </w:rPr>
            </w:pPr>
            <w:r>
              <w:rPr>
                <w:rFonts w:ascii="Arial" w:cs="Arial" w:eastAsia="Arial" w:hAnsi="Arial"/>
                <w:sz w:val="14"/>
                <w:szCs w:val="14"/>
                <w:b w:val="1"/>
                <w:bCs w:val="1"/>
                <w:color w:val="auto"/>
              </w:rPr>
              <w:t>Total one-to-four family</w:t>
            </w: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40,749</w:t>
            </w: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68,486</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49,208</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32,077</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25,707</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128,948</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2,770</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347,945</w:t>
            </w:r>
          </w:p>
        </w:tc>
      </w:tr>
      <w:tr>
        <w:trPr>
          <w:trHeight w:val="46"/>
        </w:trPr>
        <w:tc>
          <w:tcPr>
            <w:tcW w:w="25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8"/>
        </w:trPr>
        <w:tc>
          <w:tcPr>
            <w:tcW w:w="258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HELOCs - originated</w:t>
            </w:r>
          </w:p>
        </w:tc>
        <w:tc>
          <w:tcPr>
            <w:tcW w:w="3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r>
      <w:tr>
        <w:trPr>
          <w:trHeight w:val="190"/>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Risk rating:</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Pass</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627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997</w:t>
            </w:r>
          </w:p>
        </w:tc>
        <w:tc>
          <w:tcPr>
            <w:tcW w:w="100" w:type="dxa"/>
            <w:vAlign w:val="bottom"/>
          </w:tcPr>
          <w:p>
            <w:pPr>
              <w:spacing w:after="0"/>
              <w:rPr>
                <w:sz w:val="16"/>
                <w:szCs w:val="16"/>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286</w:t>
            </w:r>
          </w:p>
        </w:tc>
        <w:tc>
          <w:tcPr>
            <w:tcW w:w="80" w:type="dxa"/>
            <w:vAlign w:val="bottom"/>
          </w:tcPr>
          <w:p>
            <w:pPr>
              <w:spacing w:after="0"/>
              <w:rPr>
                <w:sz w:val="16"/>
                <w:szCs w:val="16"/>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1,229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Pr>
          <w:p>
            <w:pPr>
              <w:spacing w:after="0"/>
              <w:rPr>
                <w:sz w:val="16"/>
                <w:szCs w:val="16"/>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7,901</w:t>
            </w:r>
          </w:p>
        </w:tc>
        <w:tc>
          <w:tcPr>
            <w:tcW w:w="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116,176</w:t>
            </w:r>
          </w:p>
        </w:tc>
        <w:tc>
          <w:tcPr>
            <w:tcW w:w="100" w:type="dxa"/>
            <w:vAlign w:val="bottom"/>
          </w:tcPr>
          <w:p>
            <w:pPr>
              <w:spacing w:after="0"/>
              <w:rPr>
                <w:sz w:val="16"/>
                <w:szCs w:val="16"/>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127,443</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993</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Loss</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2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HELOCs - originated</w:t>
            </w: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8,837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116,226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128,445</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HELOCs - purchased</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26,278</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633</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580" w:type="dxa"/>
            <w:vAlign w:val="bottom"/>
          </w:tcPr>
          <w:p>
            <w:pPr>
              <w:ind w:left="360"/>
              <w:spacing w:after="0"/>
              <w:rPr>
                <w:sz w:val="20"/>
                <w:szCs w:val="20"/>
                <w:color w:val="auto"/>
              </w:rPr>
            </w:pPr>
            <w:r>
              <w:rPr>
                <w:rFonts w:ascii="Arial" w:cs="Arial" w:eastAsia="Arial" w:hAnsi="Arial"/>
                <w:sz w:val="14"/>
                <w:szCs w:val="14"/>
                <w:b w:val="1"/>
                <w:bCs w:val="1"/>
                <w:color w:val="auto"/>
              </w:rPr>
              <w:t>Total HELOCs - purchased</w:t>
            </w: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26,911</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26,911</w:t>
            </w:r>
          </w:p>
        </w:tc>
      </w:tr>
      <w:tr>
        <w:trPr>
          <w:trHeight w:val="46"/>
        </w:trPr>
        <w:tc>
          <w:tcPr>
            <w:tcW w:w="25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8"/>
        </w:trPr>
        <w:tc>
          <w:tcPr>
            <w:tcW w:w="258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Construction and land/lots</w:t>
            </w:r>
          </w:p>
        </w:tc>
        <w:tc>
          <w:tcPr>
            <w:tcW w:w="3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r>
      <w:tr>
        <w:trPr>
          <w:trHeight w:val="190"/>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Risk rating:</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Pass</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1,373</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13,510</w:t>
            </w:r>
          </w:p>
        </w:tc>
        <w:tc>
          <w:tcPr>
            <w:tcW w:w="100" w:type="dxa"/>
            <w:vAlign w:val="bottom"/>
          </w:tcPr>
          <w:p>
            <w:pPr>
              <w:spacing w:after="0"/>
              <w:rPr>
                <w:sz w:val="16"/>
                <w:szCs w:val="16"/>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1,691</w:t>
            </w:r>
          </w:p>
        </w:tc>
        <w:tc>
          <w:tcPr>
            <w:tcW w:w="80" w:type="dxa"/>
            <w:vAlign w:val="bottom"/>
          </w:tcPr>
          <w:p>
            <w:pPr>
              <w:spacing w:after="0"/>
              <w:rPr>
                <w:sz w:val="16"/>
                <w:szCs w:val="16"/>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1,967</w:t>
            </w:r>
          </w:p>
        </w:tc>
        <w:tc>
          <w:tcPr>
            <w:tcW w:w="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53,757</w:t>
            </w:r>
          </w:p>
        </w:tc>
        <w:tc>
          <w:tcPr>
            <w:tcW w:w="100" w:type="dxa"/>
            <w:vAlign w:val="bottom"/>
          </w:tcPr>
          <w:p>
            <w:pPr>
              <w:spacing w:after="0"/>
              <w:rPr>
                <w:sz w:val="16"/>
                <w:szCs w:val="16"/>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72,351</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384</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Loss</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2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construction and land/lots</w:t>
            </w: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1,373</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13,510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72,735</w:t>
            </w:r>
          </w:p>
        </w:tc>
      </w:tr>
      <w:tr>
        <w:trPr>
          <w:trHeight w:val="21"/>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89"/>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Indirect auto finance</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19,476</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22,276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17,783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82,824</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00" w:type="dxa"/>
            <w:vAlign w:val="bottom"/>
          </w:tcPr>
          <w:p>
            <w:pPr>
              <w:spacing w:after="0"/>
              <w:rPr>
                <w:sz w:val="16"/>
                <w:szCs w:val="16"/>
                <w:color w:val="auto"/>
              </w:rPr>
            </w:pPr>
          </w:p>
        </w:tc>
        <w:tc>
          <w:tcPr>
            <w:tcW w:w="940" w:type="dxa"/>
            <w:vAlign w:val="bottom"/>
            <w:gridSpan w:val="3"/>
          </w:tcPr>
          <w:p>
            <w:pPr>
              <w:ind w:left="460"/>
              <w:spacing w:after="0"/>
              <w:rPr>
                <w:sz w:val="20"/>
                <w:szCs w:val="20"/>
                <w:color w:val="auto"/>
              </w:rPr>
            </w:pPr>
            <w:r>
              <w:rPr>
                <w:rFonts w:ascii="Arial" w:cs="Arial" w:eastAsia="Arial" w:hAnsi="Arial"/>
                <w:sz w:val="14"/>
                <w:szCs w:val="14"/>
                <w:color w:val="auto"/>
              </w:rPr>
              <w:t>—   0</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1,079</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580" w:type="dxa"/>
            <w:vAlign w:val="bottom"/>
          </w:tcPr>
          <w:p>
            <w:pPr>
              <w:ind w:left="360"/>
              <w:spacing w:after="0"/>
              <w:rPr>
                <w:sz w:val="20"/>
                <w:szCs w:val="20"/>
                <w:color w:val="auto"/>
              </w:rPr>
            </w:pPr>
            <w:r>
              <w:rPr>
                <w:rFonts w:ascii="Arial" w:cs="Arial" w:eastAsia="Arial" w:hAnsi="Arial"/>
                <w:sz w:val="14"/>
                <w:szCs w:val="14"/>
                <w:b w:val="1"/>
                <w:bCs w:val="1"/>
                <w:color w:val="auto"/>
              </w:rPr>
              <w:t>Total indirect auto finance</w:t>
            </w: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19,538</w:t>
            </w:r>
          </w:p>
        </w:tc>
        <w:tc>
          <w:tcPr>
            <w:tcW w:w="20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22,471</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18,104</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9,658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10,488</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3,644</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83,903</w:t>
            </w:r>
          </w:p>
        </w:tc>
      </w:tr>
      <w:tr>
        <w:trPr>
          <w:trHeight w:val="46"/>
        </w:trPr>
        <w:tc>
          <w:tcPr>
            <w:tcW w:w="25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8"/>
        </w:trPr>
        <w:tc>
          <w:tcPr>
            <w:tcW w:w="258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Consumer</w:t>
            </w:r>
          </w:p>
        </w:tc>
        <w:tc>
          <w:tcPr>
            <w:tcW w:w="30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r>
      <w:tr>
        <w:trPr>
          <w:trHeight w:val="190"/>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Risk rating:</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Pass</w:t>
            </w: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572</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954</w:t>
            </w:r>
          </w:p>
        </w:tc>
        <w:tc>
          <w:tcPr>
            <w:tcW w:w="100" w:type="dxa"/>
            <w:vAlign w:val="bottom"/>
          </w:tcPr>
          <w:p>
            <w:pPr>
              <w:spacing w:after="0"/>
              <w:rPr>
                <w:sz w:val="16"/>
                <w:szCs w:val="16"/>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653</w:t>
            </w:r>
          </w:p>
        </w:tc>
        <w:tc>
          <w:tcPr>
            <w:tcW w:w="80" w:type="dxa"/>
            <w:vAlign w:val="bottom"/>
          </w:tcPr>
          <w:p>
            <w:pPr>
              <w:spacing w:after="0"/>
              <w:rPr>
                <w:sz w:val="16"/>
                <w:szCs w:val="16"/>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4,036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3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6"/>
                <w:szCs w:val="16"/>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6,691</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Loss</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25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consumer</w:t>
            </w: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4,055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6,760</w:t>
            </w: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retail consumer loans</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62,669</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68,608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35,856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136,881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199,238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655,852</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867</w:t>
            </w:r>
          </w:p>
        </w:tc>
      </w:tr>
      <w:tr>
        <w:trPr>
          <w:trHeight w:val="192"/>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9,516</w:t>
            </w:r>
          </w:p>
        </w:tc>
      </w:tr>
      <w:tr>
        <w:trPr>
          <w:trHeight w:val="186"/>
        </w:trPr>
        <w:tc>
          <w:tcPr>
            <w:tcW w:w="258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00" w:type="dxa"/>
            <w:vAlign w:val="bottom"/>
          </w:tcPr>
          <w:p>
            <w:pPr>
              <w:spacing w:after="0"/>
              <w:rPr>
                <w:sz w:val="16"/>
                <w:szCs w:val="16"/>
                <w:color w:val="auto"/>
              </w:rPr>
            </w:pPr>
          </w:p>
        </w:tc>
        <w:tc>
          <w:tcPr>
            <w:tcW w:w="940" w:type="dxa"/>
            <w:vAlign w:val="bottom"/>
            <w:gridSpan w:val="3"/>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8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157</w:t>
            </w:r>
          </w:p>
        </w:tc>
      </w:tr>
      <w:tr>
        <w:trPr>
          <w:trHeight w:val="189"/>
        </w:trPr>
        <w:tc>
          <w:tcPr>
            <w:tcW w:w="25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00" w:type="dxa"/>
            <w:vAlign w:val="bottom"/>
            <w:shd w:val="clear" w:color="auto" w:fill="CCEEFF"/>
          </w:tcPr>
          <w:p>
            <w:pPr>
              <w:spacing w:after="0"/>
              <w:rPr>
                <w:sz w:val="16"/>
                <w:szCs w:val="16"/>
                <w:color w:val="auto"/>
              </w:rPr>
            </w:pPr>
          </w:p>
        </w:tc>
        <w:tc>
          <w:tcPr>
            <w:tcW w:w="940" w:type="dxa"/>
            <w:vAlign w:val="bottom"/>
            <w:gridSpan w:val="3"/>
            <w:shd w:val="clear" w:color="auto" w:fill="CCEEFF"/>
          </w:tcPr>
          <w:p>
            <w:pPr>
              <w:jc w:val="right"/>
              <w:ind w:right="3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88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w:t>
            </w:r>
          </w:p>
        </w:tc>
      </w:tr>
      <w:tr>
        <w:trPr>
          <w:trHeight w:val="186"/>
        </w:trPr>
        <w:tc>
          <w:tcPr>
            <w:tcW w:w="2580" w:type="dxa"/>
            <w:vAlign w:val="bottom"/>
          </w:tcPr>
          <w:p>
            <w:pPr>
              <w:ind w:left="360"/>
              <w:spacing w:after="0"/>
              <w:rPr>
                <w:sz w:val="20"/>
                <w:szCs w:val="20"/>
                <w:color w:val="auto"/>
              </w:rPr>
            </w:pPr>
            <w:r>
              <w:rPr>
                <w:rFonts w:ascii="Arial" w:cs="Arial" w:eastAsia="Arial" w:hAnsi="Arial"/>
                <w:sz w:val="14"/>
                <w:szCs w:val="14"/>
                <w:b w:val="1"/>
                <w:bCs w:val="1"/>
                <w:color w:val="auto"/>
              </w:rPr>
              <w:t>Total retail consumer loans</w:t>
            </w: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62,859</w:t>
            </w:r>
          </w:p>
        </w:tc>
        <w:tc>
          <w:tcPr>
            <w:tcW w:w="20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106,442</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69,942</w:t>
            </w:r>
          </w:p>
        </w:tc>
        <w:tc>
          <w:tcPr>
            <w:tcW w:w="80" w:type="dxa"/>
            <w:vAlign w:val="bottom"/>
          </w:tcPr>
          <w:p>
            <w:pPr>
              <w:spacing w:after="0"/>
              <w:rPr>
                <w:sz w:val="16"/>
                <w:szCs w:val="16"/>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47,072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36,550</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143,899</w:t>
            </w: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199,935</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666,699</w:t>
            </w:r>
          </w:p>
        </w:tc>
      </w:tr>
      <w:tr>
        <w:trPr>
          <w:trHeight w:val="20"/>
        </w:trPr>
        <w:tc>
          <w:tcPr>
            <w:tcW w:w="2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7" w:name="page18"/>
    <w:bookmarkEnd w:id="17"/>
    <w:p>
      <w:pPr>
        <w:jc w:val="center"/>
        <w:ind w:right="-19"/>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4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The following table presents the credit risk profile by risk grade for commercial loans by origination year: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9"/>
          </w:tcPr>
          <w:p>
            <w:pPr>
              <w:ind w:left="20"/>
              <w:spacing w:after="0"/>
              <w:rPr>
                <w:sz w:val="20"/>
                <w:szCs w:val="20"/>
                <w:color w:val="auto"/>
              </w:rPr>
            </w:pPr>
            <w:r>
              <w:rPr>
                <w:rFonts w:ascii="Arial" w:cs="Arial" w:eastAsia="Arial" w:hAnsi="Arial"/>
                <w:sz w:val="14"/>
                <w:szCs w:val="14"/>
                <w:b w:val="1"/>
                <w:bCs w:val="1"/>
                <w:color w:val="auto"/>
                <w:w w:val="93"/>
              </w:rPr>
              <w:t>Term Loans By Origination Fiscal Year</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Revolving</w:t>
            </w:r>
          </w:p>
        </w:tc>
        <w:tc>
          <w:tcPr>
            <w:tcW w:w="300" w:type="dxa"/>
            <w:vAlign w:val="bottom"/>
          </w:tcPr>
          <w:p>
            <w:pPr>
              <w:spacing w:after="0"/>
              <w:rPr>
                <w:sz w:val="16"/>
                <w:szCs w:val="16"/>
                <w:color w:val="auto"/>
              </w:rPr>
            </w:pPr>
          </w:p>
        </w:tc>
        <w:tc>
          <w:tcPr>
            <w:tcW w:w="740" w:type="dxa"/>
            <w:vAlign w:val="bottom"/>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Commercial real estate</w:t>
            </w:r>
          </w:p>
        </w:tc>
        <w:tc>
          <w:tcPr>
            <w:tcW w:w="3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227,850</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177,691</w:t>
            </w:r>
          </w:p>
        </w:tc>
        <w:tc>
          <w:tcPr>
            <w:tcW w:w="4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142,407</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158,147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158,525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220,834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1,111,314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16,951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3,092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21,299</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3,642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9,663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tcPr>
          <w:p>
            <w:pPr>
              <w:ind w:left="360"/>
              <w:spacing w:after="0"/>
              <w:rPr>
                <w:sz w:val="20"/>
                <w:szCs w:val="20"/>
                <w:color w:val="auto"/>
              </w:rPr>
            </w:pPr>
            <w:r>
              <w:rPr>
                <w:rFonts w:ascii="Arial" w:cs="Arial" w:eastAsia="Arial" w:hAnsi="Arial"/>
                <w:sz w:val="14"/>
                <w:szCs w:val="14"/>
                <w:b w:val="1"/>
                <w:bCs w:val="1"/>
                <w:color w:val="auto"/>
              </w:rPr>
              <w:t>Total commercial real estate</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227,850</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177,691</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142,407</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175,728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164,774</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227,568</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26,258</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1,142,276</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Construction and development</w:t>
            </w:r>
          </w:p>
        </w:tc>
        <w:tc>
          <w:tcPr>
            <w:tcW w:w="3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4"/>
                <w:szCs w:val="14"/>
                <w:color w:val="auto"/>
              </w:rPr>
              <w:t>Risk rating:</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Pass</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18,262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6,523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10,349</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6,008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2,693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7,153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123,843</w:t>
            </w:r>
          </w:p>
        </w:tc>
        <w:tc>
          <w:tcPr>
            <w:tcW w:w="100" w:type="dxa"/>
            <w:vAlign w:val="bottom"/>
          </w:tcPr>
          <w:p>
            <w:pPr>
              <w:spacing w:after="0"/>
              <w:rPr>
                <w:sz w:val="16"/>
                <w:szCs w:val="16"/>
                <w:color w:val="auto"/>
              </w:rPr>
            </w:pP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174,831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4,113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482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Loss</w:t>
            </w: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40" w:type="dxa"/>
            <w:vAlign w:val="bottom"/>
            <w:shd w:val="clear" w:color="auto" w:fill="CCEEFF"/>
          </w:tcPr>
          <w:p>
            <w:pPr>
              <w:ind w:left="360"/>
              <w:spacing w:after="0" w:line="119" w:lineRule="exact"/>
              <w:rPr>
                <w:sz w:val="20"/>
                <w:szCs w:val="20"/>
                <w:color w:val="auto"/>
              </w:rPr>
            </w:pPr>
            <w:r>
              <w:rPr>
                <w:rFonts w:ascii="Arial" w:cs="Arial" w:eastAsia="Arial" w:hAnsi="Arial"/>
                <w:sz w:val="13"/>
                <w:szCs w:val="13"/>
                <w:b w:val="1"/>
                <w:bCs w:val="1"/>
                <w:color w:val="auto"/>
              </w:rPr>
              <w:t>Total construction and</w:t>
            </w:r>
          </w:p>
        </w:tc>
        <w:tc>
          <w:tcPr>
            <w:tcW w:w="3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18,262</w:t>
            </w:r>
          </w:p>
        </w:tc>
        <w:tc>
          <w:tcPr>
            <w:tcW w:w="10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6,523</w:t>
            </w:r>
          </w:p>
        </w:tc>
        <w:tc>
          <w:tcPr>
            <w:tcW w:w="440" w:type="dxa"/>
            <w:vAlign w:val="bottom"/>
            <w:gridSpan w:val="3"/>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10,349</w:t>
            </w:r>
          </w:p>
        </w:tc>
        <w:tc>
          <w:tcPr>
            <w:tcW w:w="80" w:type="dxa"/>
            <w:vAlign w:val="bottom"/>
            <w:shd w:val="clear" w:color="auto" w:fill="CCEEFF"/>
          </w:tcPr>
          <w:p>
            <w:pPr>
              <w:spacing w:after="0"/>
              <w:rPr>
                <w:sz w:val="10"/>
                <w:szCs w:val="10"/>
                <w:color w:val="auto"/>
              </w:rPr>
            </w:pPr>
          </w:p>
        </w:tc>
        <w:tc>
          <w:tcPr>
            <w:tcW w:w="3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6,008</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2,693</w:t>
            </w: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7,922</w:t>
            </w:r>
          </w:p>
        </w:tc>
        <w:tc>
          <w:tcPr>
            <w:tcW w:w="8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127,670</w:t>
            </w:r>
          </w:p>
        </w:tc>
        <w:tc>
          <w:tcPr>
            <w:tcW w:w="10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179,427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540" w:type="dxa"/>
            <w:vAlign w:val="bottom"/>
            <w:shd w:val="clear" w:color="auto" w:fill="CCEEFF"/>
          </w:tcPr>
          <w:p>
            <w:pPr>
              <w:ind w:left="240"/>
              <w:spacing w:after="0"/>
              <w:rPr>
                <w:sz w:val="20"/>
                <w:szCs w:val="20"/>
                <w:color w:val="auto"/>
              </w:rPr>
            </w:pPr>
            <w:r>
              <w:rPr>
                <w:rFonts w:ascii="Arial" w:cs="Arial" w:eastAsia="Arial" w:hAnsi="Arial"/>
                <w:sz w:val="14"/>
                <w:szCs w:val="14"/>
                <w:b w:val="1"/>
                <w:bCs w:val="1"/>
                <w:color w:val="auto"/>
              </w:rPr>
              <w:t>development</w:t>
            </w:r>
          </w:p>
        </w:tc>
        <w:tc>
          <w:tcPr>
            <w:tcW w:w="32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440" w:type="dxa"/>
            <w:vAlign w:val="bottom"/>
            <w:gridSpan w:val="3"/>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7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Commercial and industrial</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29,606</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18,826</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10,589</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36,165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135,301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125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5,276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tcPr>
          <w:p>
            <w:pPr>
              <w:ind w:left="360"/>
              <w:spacing w:after="0"/>
              <w:rPr>
                <w:sz w:val="20"/>
                <w:szCs w:val="20"/>
                <w:color w:val="auto"/>
              </w:rPr>
            </w:pPr>
            <w:r>
              <w:rPr>
                <w:rFonts w:ascii="Arial" w:cs="Arial" w:eastAsia="Arial" w:hAnsi="Arial"/>
                <w:sz w:val="14"/>
                <w:szCs w:val="14"/>
                <w:b w:val="1"/>
                <w:bCs w:val="1"/>
                <w:color w:val="auto"/>
              </w:rPr>
              <w:t>Total commercial and industrial</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29,637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14,064</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19,564</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10,869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15,378</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10,798</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41,031</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141,341</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Equipment finance</w:t>
            </w:r>
          </w:p>
        </w:tc>
        <w:tc>
          <w:tcPr>
            <w:tcW w:w="3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Pass</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154,685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104,681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53,178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4,773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317,317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Loss</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2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equipment finance</w:t>
            </w: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154,685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104,681</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53,781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Municipal leases</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23,358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19,240</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14,005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9,738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47,144</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140,164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257</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tcPr>
          <w:p>
            <w:pPr>
              <w:ind w:left="360"/>
              <w:spacing w:after="0"/>
              <w:rPr>
                <w:sz w:val="20"/>
                <w:szCs w:val="20"/>
                <w:color w:val="auto"/>
              </w:rPr>
            </w:pPr>
            <w:r>
              <w:rPr>
                <w:rFonts w:ascii="Arial" w:cs="Arial" w:eastAsia="Arial" w:hAnsi="Arial"/>
                <w:sz w:val="14"/>
                <w:szCs w:val="14"/>
                <w:b w:val="1"/>
                <w:bCs w:val="1"/>
                <w:color w:val="auto"/>
              </w:rPr>
              <w:t>Total municipal leases</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23,358</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19,240</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14,005</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17,979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9,738</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47,401</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8,700</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140,421</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54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PPP loans</w:t>
            </w:r>
          </w:p>
        </w:tc>
        <w:tc>
          <w:tcPr>
            <w:tcW w:w="3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Pass</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29,667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16,983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46,650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Loss</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7"/>
                <w:szCs w:val="17"/>
                <w:color w:val="auto"/>
              </w:rPr>
            </w:pPr>
          </w:p>
        </w:tc>
        <w:tc>
          <w:tcPr>
            <w:tcW w:w="25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PPP loans</w:t>
            </w: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16,983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commercial loans</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483,428</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339,128</w:t>
            </w:r>
          </w:p>
        </w:tc>
        <w:tc>
          <w:tcPr>
            <w:tcW w:w="4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238,765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186,302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285,720</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194,568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1,925,577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438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17,061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3,760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3,864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26,432</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623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4,207</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15,744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54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280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540" w:type="dxa"/>
            <w:vAlign w:val="bottom"/>
          </w:tcPr>
          <w:p>
            <w:pPr>
              <w:ind w:left="360"/>
              <w:spacing w:after="0"/>
              <w:rPr>
                <w:sz w:val="20"/>
                <w:szCs w:val="20"/>
                <w:color w:val="auto"/>
              </w:rPr>
            </w:pPr>
            <w:r>
              <w:rPr>
                <w:rFonts w:ascii="Arial" w:cs="Arial" w:eastAsia="Arial" w:hAnsi="Arial"/>
                <w:sz w:val="14"/>
                <w:szCs w:val="14"/>
                <w:b w:val="1"/>
                <w:bCs w:val="1"/>
                <w:color w:val="auto"/>
              </w:rPr>
              <w:t>Total commercial loans</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483,459</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339,182</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240,106</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215,357</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192,583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293,689</w:t>
            </w:r>
          </w:p>
        </w:tc>
        <w:tc>
          <w:tcPr>
            <w:tcW w:w="8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203,659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1,968,035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0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00" w:top="130"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presents the credit risk profile by risk grade for retail consumer loans by origination year: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9"/>
          </w:tcPr>
          <w:p>
            <w:pPr>
              <w:jc w:val="right"/>
              <w:ind w:right="88"/>
              <w:spacing w:after="0"/>
              <w:rPr>
                <w:sz w:val="20"/>
                <w:szCs w:val="20"/>
                <w:color w:val="auto"/>
              </w:rPr>
            </w:pPr>
            <w:r>
              <w:rPr>
                <w:rFonts w:ascii="Arial" w:cs="Arial" w:eastAsia="Arial" w:hAnsi="Arial"/>
                <w:sz w:val="14"/>
                <w:szCs w:val="14"/>
                <w:b w:val="1"/>
                <w:bCs w:val="1"/>
                <w:color w:val="auto"/>
                <w:w w:val="93"/>
              </w:rPr>
              <w:t>Term Loans By Origination Fiscal Year</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8"/>
        </w:trPr>
        <w:tc>
          <w:tcPr>
            <w:tcW w:w="2600" w:type="dxa"/>
            <w:vAlign w:val="bottom"/>
          </w:tcPr>
          <w:p>
            <w:pPr>
              <w:ind w:left="140"/>
              <w:spacing w:after="0"/>
              <w:rPr>
                <w:sz w:val="20"/>
                <w:szCs w:val="20"/>
                <w:color w:val="auto"/>
              </w:rPr>
            </w:pPr>
            <w:r>
              <w:rPr>
                <w:rFonts w:ascii="Arial" w:cs="Arial" w:eastAsia="Arial" w:hAnsi="Arial"/>
                <w:sz w:val="14"/>
                <w:szCs w:val="14"/>
                <w:b w:val="1"/>
                <w:bCs w:val="1"/>
                <w:color w:val="auto"/>
              </w:rPr>
              <w:t>June 30, 2021</w:t>
            </w:r>
          </w:p>
        </w:tc>
        <w:tc>
          <w:tcPr>
            <w:tcW w:w="320" w:type="dxa"/>
            <w:vAlign w:val="bottom"/>
          </w:tcPr>
          <w:p>
            <w:pPr>
              <w:spacing w:after="0"/>
              <w:rPr>
                <w:sz w:val="16"/>
                <w:szCs w:val="16"/>
                <w:color w:val="auto"/>
              </w:rPr>
            </w:pPr>
          </w:p>
        </w:tc>
        <w:tc>
          <w:tcPr>
            <w:tcW w:w="680" w:type="dxa"/>
            <w:vAlign w:val="bottom"/>
          </w:tcPr>
          <w:p>
            <w:pPr>
              <w:jc w:val="right"/>
              <w:ind w:right="2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Prior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Revolving</w:t>
            </w:r>
          </w:p>
        </w:tc>
        <w:tc>
          <w:tcPr>
            <w:tcW w:w="320" w:type="dxa"/>
            <w:vAlign w:val="bottom"/>
          </w:tcPr>
          <w:p>
            <w:pPr>
              <w:spacing w:after="0"/>
              <w:rPr>
                <w:sz w:val="16"/>
                <w:szCs w:val="16"/>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Total</w:t>
            </w:r>
          </w:p>
        </w:tc>
      </w:tr>
      <w:tr>
        <w:trPr>
          <w:trHeight w:val="170"/>
        </w:trPr>
        <w:tc>
          <w:tcPr>
            <w:tcW w:w="260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One-to-four family</w:t>
            </w:r>
          </w:p>
        </w:tc>
        <w:tc>
          <w:tcPr>
            <w:tcW w:w="3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52,987</w:t>
            </w:r>
          </w:p>
        </w:tc>
        <w:tc>
          <w:tcPr>
            <w:tcW w:w="4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46,958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40,461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143,531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4,345</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398,366</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1,111</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6,566</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r>
      <w:tr>
        <w:trPr>
          <w:trHeight w:val="183"/>
        </w:trPr>
        <w:tc>
          <w:tcPr>
            <w:tcW w:w="2600" w:type="dxa"/>
            <w:vAlign w:val="bottom"/>
          </w:tcPr>
          <w:p>
            <w:pPr>
              <w:ind w:left="360"/>
              <w:spacing w:after="0"/>
              <w:rPr>
                <w:sz w:val="20"/>
                <w:szCs w:val="20"/>
                <w:color w:val="auto"/>
              </w:rPr>
            </w:pPr>
            <w:r>
              <w:rPr>
                <w:rFonts w:ascii="Arial" w:cs="Arial" w:eastAsia="Arial" w:hAnsi="Arial"/>
                <w:sz w:val="14"/>
                <w:szCs w:val="14"/>
                <w:b w:val="1"/>
                <w:bCs w:val="1"/>
                <w:color w:val="auto"/>
              </w:rPr>
              <w:t>Total one-to-four family</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72,969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53,968</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46,958</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40,677</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37,474</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150,158</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4,345</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406,549</w:t>
            </w:r>
          </w:p>
        </w:tc>
      </w:tr>
      <w:tr>
        <w:trPr>
          <w:trHeight w:val="46"/>
        </w:trPr>
        <w:tc>
          <w:tcPr>
            <w:tcW w:w="26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8"/>
        </w:trPr>
        <w:tc>
          <w:tcPr>
            <w:tcW w:w="260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HELOCs - originated</w:t>
            </w:r>
          </w:p>
        </w:tc>
        <w:tc>
          <w:tcPr>
            <w:tcW w:w="3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r>
      <w:tr>
        <w:trPr>
          <w:trHeight w:val="190"/>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Pass</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2,767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9,469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114,048</w:t>
            </w:r>
          </w:p>
        </w:tc>
        <w:tc>
          <w:tcPr>
            <w:tcW w:w="80" w:type="dxa"/>
            <w:vAlign w:val="bottom"/>
          </w:tcPr>
          <w:p>
            <w:pPr>
              <w:spacing w:after="0"/>
              <w:rPr>
                <w:sz w:val="16"/>
                <w:szCs w:val="16"/>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128,976</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1,237</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Loss</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2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HELOCs - originated</w:t>
            </w: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114,153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130,225</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HELOCs - purchased</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38,523</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453</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2600" w:type="dxa"/>
            <w:vAlign w:val="bottom"/>
          </w:tcPr>
          <w:p>
            <w:pPr>
              <w:ind w:left="360"/>
              <w:spacing w:after="0"/>
              <w:rPr>
                <w:sz w:val="20"/>
                <w:szCs w:val="20"/>
                <w:color w:val="auto"/>
              </w:rPr>
            </w:pPr>
            <w:r>
              <w:rPr>
                <w:rFonts w:ascii="Arial" w:cs="Arial" w:eastAsia="Arial" w:hAnsi="Arial"/>
                <w:sz w:val="14"/>
                <w:szCs w:val="14"/>
                <w:b w:val="1"/>
                <w:bCs w:val="1"/>
                <w:color w:val="auto"/>
              </w:rPr>
              <w:t>Total HELOCs - purchased</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38,976</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38,976</w:t>
            </w:r>
          </w:p>
        </w:tc>
      </w:tr>
      <w:tr>
        <w:trPr>
          <w:trHeight w:val="46"/>
        </w:trPr>
        <w:tc>
          <w:tcPr>
            <w:tcW w:w="26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8"/>
        </w:trPr>
        <w:tc>
          <w:tcPr>
            <w:tcW w:w="260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Construction and land/lots</w:t>
            </w:r>
          </w:p>
        </w:tc>
        <w:tc>
          <w:tcPr>
            <w:tcW w:w="3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r>
      <w:tr>
        <w:trPr>
          <w:trHeight w:val="190"/>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Pass</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4,244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12,133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2,357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3,558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42,267</w:t>
            </w:r>
          </w:p>
        </w:tc>
        <w:tc>
          <w:tcPr>
            <w:tcW w:w="80" w:type="dxa"/>
            <w:vAlign w:val="bottom"/>
          </w:tcPr>
          <w:p>
            <w:pPr>
              <w:spacing w:after="0"/>
              <w:rPr>
                <w:sz w:val="16"/>
                <w:szCs w:val="16"/>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65,515</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512</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Loss</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1"/>
        </w:trPr>
        <w:tc>
          <w:tcPr>
            <w:tcW w:w="2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construction and land/lots</w:t>
            </w: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42,267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66,027</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Indirect auto finance</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27,134</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18,853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113,961</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415</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1,130</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3"/>
        </w:trPr>
        <w:tc>
          <w:tcPr>
            <w:tcW w:w="2600" w:type="dxa"/>
            <w:vAlign w:val="bottom"/>
          </w:tcPr>
          <w:p>
            <w:pPr>
              <w:ind w:left="360"/>
              <w:spacing w:after="0"/>
              <w:rPr>
                <w:sz w:val="20"/>
                <w:szCs w:val="20"/>
                <w:color w:val="auto"/>
              </w:rPr>
            </w:pPr>
            <w:r>
              <w:rPr>
                <w:rFonts w:ascii="Arial" w:cs="Arial" w:eastAsia="Arial" w:hAnsi="Arial"/>
                <w:sz w:val="14"/>
                <w:szCs w:val="14"/>
                <w:b w:val="1"/>
                <w:bCs w:val="1"/>
                <w:color w:val="auto"/>
              </w:rPr>
              <w:t>Total indirect auto finance</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42,159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27,549</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16,419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19,126</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7,704</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115,093</w:t>
            </w:r>
          </w:p>
        </w:tc>
      </w:tr>
      <w:tr>
        <w:trPr>
          <w:trHeight w:val="46"/>
        </w:trPr>
        <w:tc>
          <w:tcPr>
            <w:tcW w:w="26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8"/>
        </w:trPr>
        <w:tc>
          <w:tcPr>
            <w:tcW w:w="2600" w:type="dxa"/>
            <w:vAlign w:val="bottom"/>
            <w:tcBorders>
              <w:top w:val="single" w:sz="8" w:color="CCEEFF"/>
            </w:tcBorders>
          </w:tcPr>
          <w:p>
            <w:pPr>
              <w:ind w:left="140"/>
              <w:spacing w:after="0"/>
              <w:rPr>
                <w:sz w:val="20"/>
                <w:szCs w:val="20"/>
                <w:color w:val="auto"/>
              </w:rPr>
            </w:pPr>
            <w:r>
              <w:rPr>
                <w:rFonts w:ascii="Arial" w:cs="Arial" w:eastAsia="Arial" w:hAnsi="Arial"/>
                <w:sz w:val="14"/>
                <w:szCs w:val="14"/>
                <w:b w:val="1"/>
                <w:bCs w:val="1"/>
                <w:color w:val="auto"/>
              </w:rPr>
              <w:t>Consumer</w:t>
            </w:r>
          </w:p>
        </w:tc>
        <w:tc>
          <w:tcPr>
            <w:tcW w:w="32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700" w:type="dxa"/>
            <w:vAlign w:val="bottom"/>
            <w:tcBorders>
              <w:top w:val="single" w:sz="8" w:color="CCEEFF"/>
            </w:tcBorders>
          </w:tcPr>
          <w:p>
            <w:pPr>
              <w:spacing w:after="0"/>
              <w:rPr>
                <w:sz w:val="16"/>
                <w:szCs w:val="16"/>
                <w:color w:val="auto"/>
              </w:rPr>
            </w:pPr>
          </w:p>
        </w:tc>
      </w:tr>
      <w:tr>
        <w:trPr>
          <w:trHeight w:val="190"/>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Pass</w:t>
            </w:r>
          </w:p>
        </w:tc>
        <w:tc>
          <w:tcPr>
            <w:tcW w:w="3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1,019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w:t>
            </w:r>
          </w:p>
        </w:tc>
        <w:tc>
          <w:tcPr>
            <w:tcW w:w="80" w:type="dxa"/>
            <w:vAlign w:val="bottom"/>
          </w:tcPr>
          <w:p>
            <w:pPr>
              <w:spacing w:after="0"/>
              <w:rPr>
                <w:sz w:val="16"/>
                <w:szCs w:val="16"/>
                <w:color w:val="auto"/>
              </w:rPr>
            </w:pPr>
          </w:p>
        </w:tc>
        <w:tc>
          <w:tcPr>
            <w:tcW w:w="3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8,288</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Loss</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11"/>
        </w:trPr>
        <w:tc>
          <w:tcPr>
            <w:tcW w:w="2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4"/>
                <w:szCs w:val="14"/>
                <w:b w:val="1"/>
                <w:bCs w:val="1"/>
                <w:color w:val="auto"/>
              </w:rPr>
              <w:t>Total consumer</w:t>
            </w: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1,344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1,023</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5,224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8,362</w:t>
            </w: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Total retail consumer loans</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Risk rating:</w:t>
            </w: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Pass</w:t>
            </w: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123,206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93,738</w:t>
            </w:r>
          </w:p>
        </w:tc>
        <w:tc>
          <w:tcPr>
            <w:tcW w:w="44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72,037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60,739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45,728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158,710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199,471</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753,629</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Special mention</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1,137</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Substandard</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9,956</w:t>
            </w:r>
          </w:p>
        </w:tc>
      </w:tr>
      <w:tr>
        <w:trPr>
          <w:trHeight w:val="186"/>
        </w:trPr>
        <w:tc>
          <w:tcPr>
            <w:tcW w:w="2600" w:type="dxa"/>
            <w:vAlign w:val="bottom"/>
          </w:tcPr>
          <w:p>
            <w:pPr>
              <w:ind w:left="140"/>
              <w:spacing w:after="0"/>
              <w:rPr>
                <w:sz w:val="20"/>
                <w:szCs w:val="20"/>
                <w:color w:val="auto"/>
              </w:rPr>
            </w:pPr>
            <w:r>
              <w:rPr>
                <w:rFonts w:ascii="Arial" w:cs="Arial" w:eastAsia="Arial" w:hAnsi="Arial"/>
                <w:sz w:val="14"/>
                <w:szCs w:val="14"/>
                <w:color w:val="auto"/>
              </w:rPr>
              <w:t>Doubtful</w:t>
            </w:r>
          </w:p>
        </w:tc>
        <w:tc>
          <w:tcPr>
            <w:tcW w:w="3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192"/>
        </w:trPr>
        <w:tc>
          <w:tcPr>
            <w:tcW w:w="26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3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r>
      <w:tr>
        <w:trPr>
          <w:trHeight w:val="183"/>
        </w:trPr>
        <w:tc>
          <w:tcPr>
            <w:tcW w:w="2600" w:type="dxa"/>
            <w:vAlign w:val="bottom"/>
          </w:tcPr>
          <w:p>
            <w:pPr>
              <w:ind w:left="360"/>
              <w:spacing w:after="0"/>
              <w:rPr>
                <w:sz w:val="20"/>
                <w:szCs w:val="20"/>
                <w:color w:val="auto"/>
              </w:rPr>
            </w:pPr>
            <w:r>
              <w:rPr>
                <w:rFonts w:ascii="Arial" w:cs="Arial" w:eastAsia="Arial" w:hAnsi="Arial"/>
                <w:sz w:val="14"/>
                <w:szCs w:val="14"/>
                <w:b w:val="1"/>
                <w:bCs w:val="1"/>
                <w:color w:val="auto"/>
              </w:rPr>
              <w:t>Total retail consumer loans</w:t>
            </w: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123,483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95,138</w:t>
            </w:r>
          </w:p>
        </w:tc>
        <w:tc>
          <w:tcPr>
            <w:tcW w:w="4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72,411</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61,349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46,026</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166,785</w:t>
            </w:r>
          </w:p>
        </w:tc>
        <w:tc>
          <w:tcPr>
            <w:tcW w:w="10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200,040</w:t>
            </w:r>
          </w:p>
        </w:tc>
        <w:tc>
          <w:tcPr>
            <w:tcW w:w="8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765,232</w:t>
            </w:r>
          </w:p>
        </w:tc>
      </w:tr>
      <w:tr>
        <w:trPr>
          <w:trHeight w:val="20"/>
        </w:trPr>
        <w:tc>
          <w:tcPr>
            <w:tcW w:w="2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9" w:name="page20"/>
    <w:bookmarkEnd w:id="19"/>
    <w:p>
      <w:pPr>
        <w:jc w:val="center"/>
        <w:ind w:right="60"/>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aging analysis of past due loans (includes nonaccrual loans) by segment and class for the periods indicated below:</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6"/>
                <w:szCs w:val="16"/>
                <w:b w:val="1"/>
                <w:bCs w:val="1"/>
                <w:color w:val="auto"/>
              </w:rPr>
              <w:t>Past Due</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13"/>
        </w:trPr>
        <w:tc>
          <w:tcPr>
            <w:tcW w:w="4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30-89 Days</w:t>
            </w:r>
          </w:p>
        </w:tc>
        <w:tc>
          <w:tcPr>
            <w:tcW w:w="22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90 Days+</w:t>
            </w:r>
          </w:p>
        </w:tc>
        <w:tc>
          <w:tcPr>
            <w:tcW w:w="300" w:type="dxa"/>
            <w:vAlign w:val="bottom"/>
          </w:tcPr>
          <w:p>
            <w:pPr>
              <w:spacing w:after="0"/>
              <w:rPr>
                <w:sz w:val="18"/>
                <w:szCs w:val="18"/>
                <w:color w:val="auto"/>
              </w:rPr>
            </w:pPr>
          </w:p>
        </w:tc>
        <w:tc>
          <w:tcPr>
            <w:tcW w:w="1040" w:type="dxa"/>
            <w:vAlign w:val="bottom"/>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ind w:left="140"/>
              <w:spacing w:after="0"/>
              <w:rPr>
                <w:sz w:val="20"/>
                <w:szCs w:val="20"/>
                <w:color w:val="auto"/>
              </w:rPr>
            </w:pPr>
            <w:r>
              <w:rPr>
                <w:rFonts w:ascii="Arial" w:cs="Arial" w:eastAsia="Arial" w:hAnsi="Arial"/>
                <w:sz w:val="16"/>
                <w:szCs w:val="16"/>
                <w:b w:val="1"/>
                <w:bCs w:val="1"/>
                <w:color w:val="auto"/>
              </w:rPr>
              <w:t>Current</w:t>
            </w:r>
          </w:p>
        </w:tc>
        <w:tc>
          <w:tcPr>
            <w:tcW w:w="280" w:type="dxa"/>
            <w:vAlign w:val="bottom"/>
          </w:tcPr>
          <w:p>
            <w:pPr>
              <w:spacing w:after="0"/>
              <w:rPr>
                <w:sz w:val="18"/>
                <w:szCs w:val="18"/>
                <w:color w:val="auto"/>
              </w:rPr>
            </w:pPr>
          </w:p>
        </w:tc>
        <w:tc>
          <w:tcPr>
            <w:tcW w:w="1060" w:type="dxa"/>
            <w:vAlign w:val="bottom"/>
          </w:tcPr>
          <w:p>
            <w:pPr>
              <w:jc w:val="right"/>
              <w:ind w:right="379"/>
              <w:spacing w:after="0"/>
              <w:rPr>
                <w:sz w:val="20"/>
                <w:szCs w:val="20"/>
                <w:color w:val="auto"/>
              </w:rPr>
            </w:pPr>
            <w:r>
              <w:rPr>
                <w:rFonts w:ascii="Arial" w:cs="Arial" w:eastAsia="Arial" w:hAnsi="Arial"/>
                <w:sz w:val="16"/>
                <w:szCs w:val="16"/>
                <w:b w:val="1"/>
                <w:bCs w:val="1"/>
                <w:color w:val="auto"/>
              </w:rPr>
              <w:t>Loans</w:t>
            </w:r>
          </w:p>
        </w:tc>
      </w:tr>
      <w:tr>
        <w:trPr>
          <w:trHeight w:val="199"/>
        </w:trPr>
        <w:tc>
          <w:tcPr>
            <w:tcW w:w="4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2022</w:t>
            </w:r>
          </w:p>
        </w:tc>
        <w:tc>
          <w:tcPr>
            <w:tcW w:w="18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3"/>
        </w:trPr>
        <w:tc>
          <w:tcPr>
            <w:tcW w:w="4180" w:type="dxa"/>
            <w:vAlign w:val="bottom"/>
          </w:tcPr>
          <w:p>
            <w:pPr>
              <w:ind w:left="20"/>
              <w:spacing w:after="0"/>
              <w:rPr>
                <w:sz w:val="20"/>
                <w:szCs w:val="20"/>
                <w:color w:val="auto"/>
              </w:rPr>
            </w:pPr>
            <w:r>
              <w:rPr>
                <w:rFonts w:ascii="Arial" w:cs="Arial" w:eastAsia="Arial" w:hAnsi="Arial"/>
                <w:sz w:val="16"/>
                <w:szCs w:val="16"/>
                <w:b w:val="1"/>
                <w:bCs w:val="1"/>
                <w:color w:val="auto"/>
              </w:rPr>
              <w:t>Commercial loans: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real estate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1,102,184</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Construction and development</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251,422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251,668</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167,275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167,342</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Equipment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378,531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378,629</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Municipal finance</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130,260</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PPP loans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2,756</w:t>
            </w:r>
          </w:p>
        </w:tc>
      </w:tr>
      <w:tr>
        <w:trPr>
          <w:trHeight w:val="219"/>
        </w:trPr>
        <w:tc>
          <w:tcPr>
            <w:tcW w:w="4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Retail consumer loans: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One-to-four family</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346,269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347,945</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HELOCs - originated</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128,445</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HELOCs - purchased</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26,769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26,911</w:t>
            </w:r>
          </w:p>
        </w:tc>
      </w:tr>
      <w:tr>
        <w:trPr>
          <w:trHeight w:val="219"/>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 and land/lots</w:t>
            </w:r>
          </w:p>
        </w:tc>
        <w:tc>
          <w:tcPr>
            <w:tcW w:w="1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72,735</w:t>
            </w:r>
          </w:p>
        </w:tc>
      </w:tr>
      <w:tr>
        <w:trPr>
          <w:trHeight w:val="213"/>
        </w:trPr>
        <w:tc>
          <w:tcPr>
            <w:tcW w:w="4180" w:type="dxa"/>
            <w:vAlign w:val="bottom"/>
          </w:tcPr>
          <w:p>
            <w:pPr>
              <w:ind w:left="140"/>
              <w:spacing w:after="0"/>
              <w:rPr>
                <w:sz w:val="20"/>
                <w:szCs w:val="20"/>
                <w:color w:val="auto"/>
              </w:rPr>
            </w:pPr>
            <w:r>
              <w:rPr>
                <w:rFonts w:ascii="Arial" w:cs="Arial" w:eastAsia="Arial" w:hAnsi="Arial"/>
                <w:sz w:val="16"/>
                <w:szCs w:val="16"/>
                <w:color w:val="auto"/>
              </w:rPr>
              <w:t>Indirect auto finance</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307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83,440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83,903</w:t>
            </w:r>
          </w:p>
        </w:tc>
      </w:tr>
      <w:tr>
        <w:trPr>
          <w:trHeight w:val="216"/>
        </w:trPr>
        <w:tc>
          <w:tcPr>
            <w:tcW w:w="4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6,698</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6,760</w:t>
            </w:r>
          </w:p>
        </w:tc>
      </w:tr>
      <w:tr>
        <w:trPr>
          <w:trHeight w:val="212"/>
        </w:trPr>
        <w:tc>
          <w:tcPr>
            <w:tcW w:w="4180" w:type="dxa"/>
            <w:vAlign w:val="bottom"/>
          </w:tcPr>
          <w:p>
            <w:pPr>
              <w:ind w:left="240"/>
              <w:spacing w:after="0"/>
              <w:rPr>
                <w:sz w:val="20"/>
                <w:szCs w:val="20"/>
                <w:color w:val="auto"/>
              </w:rPr>
            </w:pPr>
            <w:r>
              <w:rPr>
                <w:rFonts w:ascii="Arial" w:cs="Arial" w:eastAsia="Arial" w:hAnsi="Arial"/>
                <w:sz w:val="16"/>
                <w:szCs w:val="16"/>
                <w:b w:val="1"/>
                <w:bCs w:val="1"/>
                <w:color w:val="auto"/>
              </w:rPr>
              <w:t>Total loans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2,696,191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2,699,538</w:t>
            </w:r>
          </w:p>
        </w:tc>
      </w:tr>
      <w:tr>
        <w:trPr>
          <w:trHeight w:val="21"/>
        </w:trPr>
        <w:tc>
          <w:tcPr>
            <w:tcW w:w="4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tbl>
      <w:tblPr>
        <w:tblLayout w:type="fixed"/>
        <w:tblInd w:w="120" w:type="dxa"/>
        <w:tblCellMar>
          <w:top w:w="0" w:type="dxa"/>
          <w:left w:w="0" w:type="dxa"/>
          <w:bottom w:w="0" w:type="dxa"/>
          <w:right w:w="0" w:type="dxa"/>
        </w:tblCellMar>
      </w:tblPr>
      <w:tr>
        <w:trPr>
          <w:trHeight w:val="210"/>
        </w:trPr>
        <w:tc>
          <w:tcPr>
            <w:tcW w:w="37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6"/>
                <w:szCs w:val="16"/>
                <w:b w:val="1"/>
                <w:bCs w:val="1"/>
                <w:color w:val="auto"/>
              </w:rPr>
              <w:t>Past Due</w:t>
            </w: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ind w:right="399"/>
              <w:spacing w:after="0"/>
              <w:rPr>
                <w:sz w:val="20"/>
                <w:szCs w:val="20"/>
                <w:color w:val="auto"/>
              </w:rPr>
            </w:pPr>
            <w:r>
              <w:rPr>
                <w:rFonts w:ascii="Arial" w:cs="Arial" w:eastAsia="Arial" w:hAnsi="Arial"/>
                <w:sz w:val="16"/>
                <w:szCs w:val="16"/>
                <w:b w:val="1"/>
                <w:bCs w:val="1"/>
                <w:color w:val="auto"/>
              </w:rPr>
              <w:t>Total</w:t>
            </w:r>
          </w:p>
        </w:tc>
      </w:tr>
      <w:tr>
        <w:trPr>
          <w:trHeight w:val="213"/>
        </w:trPr>
        <w:tc>
          <w:tcPr>
            <w:tcW w:w="3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30-89 Days</w:t>
            </w:r>
          </w:p>
        </w:tc>
        <w:tc>
          <w:tcPr>
            <w:tcW w:w="32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90 Days+</w:t>
            </w:r>
          </w:p>
        </w:tc>
        <w:tc>
          <w:tcPr>
            <w:tcW w:w="400" w:type="dxa"/>
            <w:vAlign w:val="bottom"/>
          </w:tcPr>
          <w:p>
            <w:pPr>
              <w:spacing w:after="0"/>
              <w:rPr>
                <w:sz w:val="18"/>
                <w:szCs w:val="18"/>
                <w:color w:val="auto"/>
              </w:rPr>
            </w:pPr>
          </w:p>
        </w:tc>
        <w:tc>
          <w:tcPr>
            <w:tcW w:w="98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ind w:left="140"/>
              <w:spacing w:after="0"/>
              <w:rPr>
                <w:sz w:val="20"/>
                <w:szCs w:val="20"/>
                <w:color w:val="auto"/>
              </w:rPr>
            </w:pPr>
            <w:r>
              <w:rPr>
                <w:rFonts w:ascii="Arial" w:cs="Arial" w:eastAsia="Arial" w:hAnsi="Arial"/>
                <w:sz w:val="16"/>
                <w:szCs w:val="16"/>
                <w:b w:val="1"/>
                <w:bCs w:val="1"/>
                <w:color w:val="auto"/>
              </w:rPr>
              <w:t>Current</w:t>
            </w:r>
          </w:p>
        </w:tc>
        <w:tc>
          <w:tcPr>
            <w:tcW w:w="38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Loans</w:t>
            </w:r>
          </w:p>
        </w:tc>
      </w:tr>
      <w:tr>
        <w:trPr>
          <w:trHeight w:val="199"/>
        </w:trPr>
        <w:tc>
          <w:tcPr>
            <w:tcW w:w="378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June 30, 2021</w:t>
            </w:r>
          </w:p>
        </w:tc>
        <w:tc>
          <w:tcPr>
            <w:tcW w:w="3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r>
      <w:tr>
        <w:trPr>
          <w:trHeight w:val="213"/>
        </w:trPr>
        <w:tc>
          <w:tcPr>
            <w:tcW w:w="3780" w:type="dxa"/>
            <w:vAlign w:val="bottom"/>
          </w:tcPr>
          <w:p>
            <w:pPr>
              <w:ind w:left="140"/>
              <w:spacing w:after="0"/>
              <w:rPr>
                <w:sz w:val="20"/>
                <w:szCs w:val="20"/>
                <w:color w:val="auto"/>
              </w:rPr>
            </w:pPr>
            <w:r>
              <w:rPr>
                <w:rFonts w:ascii="Arial" w:cs="Arial" w:eastAsia="Arial" w:hAnsi="Arial"/>
                <w:sz w:val="16"/>
                <w:szCs w:val="16"/>
                <w:b w:val="1"/>
                <w:bCs w:val="1"/>
                <w:color w:val="auto"/>
              </w:rPr>
              <w:t>Commercial loans: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real estate</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1,140,200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1,142,276</w:t>
            </w:r>
          </w:p>
        </w:tc>
      </w:tr>
      <w:tr>
        <w:trPr>
          <w:trHeight w:val="213"/>
        </w:trPr>
        <w:tc>
          <w:tcPr>
            <w:tcW w:w="3780" w:type="dxa"/>
            <w:vAlign w:val="bottom"/>
          </w:tcPr>
          <w:p>
            <w:pPr>
              <w:ind w:left="280"/>
              <w:spacing w:after="0"/>
              <w:rPr>
                <w:sz w:val="20"/>
                <w:szCs w:val="20"/>
                <w:color w:val="auto"/>
              </w:rPr>
            </w:pPr>
            <w:r>
              <w:rPr>
                <w:rFonts w:ascii="Arial" w:cs="Arial" w:eastAsia="Arial" w:hAnsi="Arial"/>
                <w:sz w:val="16"/>
                <w:szCs w:val="16"/>
                <w:color w:val="auto"/>
              </w:rPr>
              <w:t>Construction and development</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179,390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179,427</w:t>
            </w:r>
          </w:p>
        </w:tc>
      </w:tr>
      <w:tr>
        <w:trPr>
          <w:trHeight w:val="219"/>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Commercial and industrial</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140,688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141,341</w:t>
            </w:r>
          </w:p>
        </w:tc>
      </w:tr>
      <w:tr>
        <w:trPr>
          <w:trHeight w:val="213"/>
        </w:trPr>
        <w:tc>
          <w:tcPr>
            <w:tcW w:w="3780" w:type="dxa"/>
            <w:vAlign w:val="bottom"/>
          </w:tcPr>
          <w:p>
            <w:pPr>
              <w:ind w:left="280"/>
              <w:spacing w:after="0"/>
              <w:rPr>
                <w:sz w:val="20"/>
                <w:szCs w:val="20"/>
                <w:color w:val="auto"/>
              </w:rPr>
            </w:pPr>
            <w:r>
              <w:rPr>
                <w:rFonts w:ascii="Arial" w:cs="Arial" w:eastAsia="Arial" w:hAnsi="Arial"/>
                <w:sz w:val="16"/>
                <w:szCs w:val="16"/>
                <w:color w:val="auto"/>
              </w:rPr>
              <w:t>Equipment finance</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347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317,573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317,920</w:t>
            </w:r>
          </w:p>
        </w:tc>
      </w:tr>
      <w:tr>
        <w:trPr>
          <w:trHeight w:val="219"/>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Municipal finance</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140,421</w:t>
            </w:r>
          </w:p>
        </w:tc>
      </w:tr>
      <w:tr>
        <w:trPr>
          <w:trHeight w:val="213"/>
        </w:trPr>
        <w:tc>
          <w:tcPr>
            <w:tcW w:w="3780" w:type="dxa"/>
            <w:vAlign w:val="bottom"/>
          </w:tcPr>
          <w:p>
            <w:pPr>
              <w:ind w:left="280"/>
              <w:spacing w:after="0"/>
              <w:rPr>
                <w:sz w:val="20"/>
                <w:szCs w:val="20"/>
                <w:color w:val="auto"/>
              </w:rPr>
            </w:pPr>
            <w:r>
              <w:rPr>
                <w:rFonts w:ascii="Arial" w:cs="Arial" w:eastAsia="Arial" w:hAnsi="Arial"/>
                <w:sz w:val="16"/>
                <w:szCs w:val="16"/>
                <w:color w:val="auto"/>
              </w:rPr>
              <w:t>PPP loans</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46,650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46,650</w:t>
            </w:r>
          </w:p>
        </w:tc>
      </w:tr>
      <w:tr>
        <w:trPr>
          <w:trHeight w:val="219"/>
        </w:trPr>
        <w:tc>
          <w:tcPr>
            <w:tcW w:w="37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Retail consumer loans: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13"/>
        </w:trPr>
        <w:tc>
          <w:tcPr>
            <w:tcW w:w="3780" w:type="dxa"/>
            <w:vAlign w:val="bottom"/>
          </w:tcPr>
          <w:p>
            <w:pPr>
              <w:ind w:left="280"/>
              <w:spacing w:after="0"/>
              <w:rPr>
                <w:sz w:val="20"/>
                <w:szCs w:val="20"/>
                <w:color w:val="auto"/>
              </w:rPr>
            </w:pPr>
            <w:r>
              <w:rPr>
                <w:rFonts w:ascii="Arial" w:cs="Arial" w:eastAsia="Arial" w:hAnsi="Arial"/>
                <w:sz w:val="16"/>
                <w:szCs w:val="16"/>
                <w:color w:val="auto"/>
              </w:rPr>
              <w:t>One-to-four family</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404,313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406,549</w:t>
            </w:r>
          </w:p>
        </w:tc>
      </w:tr>
      <w:tr>
        <w:trPr>
          <w:trHeight w:val="219"/>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HELOCs - originated</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129,749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130,225</w:t>
            </w:r>
          </w:p>
        </w:tc>
      </w:tr>
      <w:tr>
        <w:trPr>
          <w:trHeight w:val="213"/>
        </w:trPr>
        <w:tc>
          <w:tcPr>
            <w:tcW w:w="3780" w:type="dxa"/>
            <w:vAlign w:val="bottom"/>
          </w:tcPr>
          <w:p>
            <w:pPr>
              <w:ind w:left="280"/>
              <w:spacing w:after="0"/>
              <w:rPr>
                <w:sz w:val="20"/>
                <w:szCs w:val="20"/>
                <w:color w:val="auto"/>
              </w:rPr>
            </w:pPr>
            <w:r>
              <w:rPr>
                <w:rFonts w:ascii="Arial" w:cs="Arial" w:eastAsia="Arial" w:hAnsi="Arial"/>
                <w:sz w:val="16"/>
                <w:szCs w:val="16"/>
                <w:color w:val="auto"/>
              </w:rPr>
              <w:t>HELOCs - purchased</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277</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38,699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38,976</w:t>
            </w:r>
          </w:p>
        </w:tc>
      </w:tr>
      <w:tr>
        <w:trPr>
          <w:trHeight w:val="219"/>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Construction and land/lots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66,027</w:t>
            </w:r>
          </w:p>
        </w:tc>
      </w:tr>
      <w:tr>
        <w:trPr>
          <w:trHeight w:val="213"/>
        </w:trPr>
        <w:tc>
          <w:tcPr>
            <w:tcW w:w="3780" w:type="dxa"/>
            <w:vAlign w:val="bottom"/>
          </w:tcPr>
          <w:p>
            <w:pPr>
              <w:ind w:left="280"/>
              <w:spacing w:after="0"/>
              <w:rPr>
                <w:sz w:val="20"/>
                <w:szCs w:val="20"/>
                <w:color w:val="auto"/>
              </w:rPr>
            </w:pPr>
            <w:r>
              <w:rPr>
                <w:rFonts w:ascii="Arial" w:cs="Arial" w:eastAsia="Arial" w:hAnsi="Arial"/>
                <w:sz w:val="16"/>
                <w:szCs w:val="16"/>
                <w:color w:val="auto"/>
              </w:rPr>
              <w:t>Indirect auto finance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114,535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115,093</w:t>
            </w:r>
          </w:p>
        </w:tc>
      </w:tr>
      <w:tr>
        <w:trPr>
          <w:trHeight w:val="216"/>
        </w:trPr>
        <w:tc>
          <w:tcPr>
            <w:tcW w:w="3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Consumer</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7,948</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8,362</w:t>
            </w:r>
          </w:p>
        </w:tc>
      </w:tr>
      <w:tr>
        <w:trPr>
          <w:trHeight w:val="213"/>
        </w:trPr>
        <w:tc>
          <w:tcPr>
            <w:tcW w:w="3780" w:type="dxa"/>
            <w:vAlign w:val="bottom"/>
          </w:tcPr>
          <w:p>
            <w:pPr>
              <w:ind w:left="360"/>
              <w:spacing w:after="0"/>
              <w:rPr>
                <w:sz w:val="20"/>
                <w:szCs w:val="20"/>
                <w:color w:val="auto"/>
              </w:rPr>
            </w:pPr>
            <w:r>
              <w:rPr>
                <w:rFonts w:ascii="Arial" w:cs="Arial" w:eastAsia="Arial" w:hAnsi="Arial"/>
                <w:sz w:val="16"/>
                <w:szCs w:val="16"/>
                <w:b w:val="1"/>
                <w:bCs w:val="1"/>
                <w:color w:val="auto"/>
              </w:rPr>
              <w:t>Total loans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2,726,152</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2,733,267</w:t>
            </w:r>
          </w:p>
        </w:tc>
      </w:tr>
      <w:tr>
        <w:trPr>
          <w:trHeight w:val="20"/>
        </w:trPr>
        <w:tc>
          <w:tcPr>
            <w:tcW w:w="3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 w:right="27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following table presents recorded investment in loans on nonaccrual status, by segment and class, including restructured loans. It also includes interest income recognized on nonaccrual loans for the nine months ended March 31, 2022.</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90 Days + &amp;</w:t>
            </w:r>
          </w:p>
        </w:tc>
        <w:tc>
          <w:tcPr>
            <w:tcW w:w="16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Nonaccrual With No</w:t>
            </w:r>
          </w:p>
        </w:tc>
        <w:tc>
          <w:tcPr>
            <w:tcW w:w="140" w:type="dxa"/>
            <w:vAlign w:val="bottom"/>
          </w:tcPr>
          <w:p>
            <w:pPr>
              <w:spacing w:after="0"/>
              <w:rPr>
                <w:sz w:val="16"/>
                <w:szCs w:val="16"/>
                <w:color w:val="auto"/>
              </w:rPr>
            </w:pPr>
          </w:p>
        </w:tc>
        <w:tc>
          <w:tcPr>
            <w:tcW w:w="128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2"/>
              </w:rPr>
              <w:t>Interest Income</w:t>
            </w:r>
          </w:p>
        </w:tc>
        <w:tc>
          <w:tcPr>
            <w:tcW w:w="0" w:type="dxa"/>
            <w:vAlign w:val="bottom"/>
          </w:tcPr>
          <w:p>
            <w:pPr>
              <w:spacing w:after="0"/>
              <w:rPr>
                <w:sz w:val="1"/>
                <w:szCs w:val="1"/>
                <w:color w:val="auto"/>
              </w:rPr>
            </w:pPr>
          </w:p>
        </w:tc>
      </w:t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2022</w:t>
            </w:r>
          </w:p>
        </w:tc>
        <w:tc>
          <w:tcPr>
            <w:tcW w:w="1160" w:type="dxa"/>
            <w:vAlign w:val="bottom"/>
            <w:gridSpan w:val="3"/>
            <w:vMerge w:val="restart"/>
          </w:tcPr>
          <w:p>
            <w:pPr>
              <w:ind w:left="80"/>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1"/>
              </w:rPr>
              <w:t>Still Accruing as of</w:t>
            </w:r>
          </w:p>
        </w:tc>
        <w:tc>
          <w:tcPr>
            <w:tcW w:w="160" w:type="dxa"/>
            <w:vAlign w:val="bottom"/>
          </w:tcPr>
          <w:p>
            <w:pPr>
              <w:spacing w:after="0"/>
              <w:rPr>
                <w:sz w:val="14"/>
                <w:szCs w:val="14"/>
                <w:color w:val="auto"/>
              </w:rPr>
            </w:pPr>
          </w:p>
        </w:tc>
        <w:tc>
          <w:tcPr>
            <w:tcW w:w="14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9"/>
              </w:rPr>
              <w:t>Allowance as of</w:t>
            </w: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1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2022</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March 31, 2022</w:t>
            </w:r>
          </w:p>
        </w:tc>
        <w:tc>
          <w:tcPr>
            <w:tcW w:w="14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Arial" w:cs="Arial" w:eastAsia="Arial" w:hAnsi="Arial"/>
                <w:sz w:val="16"/>
                <w:szCs w:val="16"/>
                <w:b w:val="1"/>
                <w:bCs w:val="1"/>
                <w:color w:val="auto"/>
              </w:rPr>
              <w:t>Recognized</w:t>
            </w:r>
          </w:p>
        </w:tc>
        <w:tc>
          <w:tcPr>
            <w:tcW w:w="0" w:type="dxa"/>
            <w:vAlign w:val="bottom"/>
          </w:tcPr>
          <w:p>
            <w:pPr>
              <w:spacing w:after="0"/>
              <w:rPr>
                <w:sz w:val="1"/>
                <w:szCs w:val="1"/>
                <w:color w:val="auto"/>
              </w:rPr>
            </w:pPr>
          </w:p>
        </w:tc>
      </w:tr>
      <w:tr>
        <w:trPr>
          <w:trHeight w:val="199"/>
        </w:trPr>
        <w:tc>
          <w:tcPr>
            <w:tcW w:w="3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loans:</w:t>
            </w: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Arial" w:cs="Arial" w:eastAsia="Arial" w:hAnsi="Arial"/>
                <w:sz w:val="16"/>
                <w:szCs w:val="16"/>
                <w:color w:val="auto"/>
              </w:rPr>
              <w:t>Commercial real estate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1,033</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7,015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 and development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Arial" w:cs="Arial" w:eastAsia="Arial" w:hAnsi="Arial"/>
                <w:sz w:val="16"/>
                <w:szCs w:val="16"/>
                <w:color w:val="auto"/>
              </w:rPr>
              <w:t>Commercial and industrial</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Arial" w:cs="Arial" w:eastAsia="Arial" w:hAnsi="Arial"/>
                <w:sz w:val="16"/>
                <w:szCs w:val="16"/>
                <w:b w:val="1"/>
                <w:bCs w:val="1"/>
                <w:color w:val="auto"/>
              </w:rPr>
              <w:t>Retail consumer loans:</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One-to-four family</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Arial" w:cs="Arial" w:eastAsia="Arial" w:hAnsi="Arial"/>
                <w:sz w:val="16"/>
                <w:szCs w:val="16"/>
                <w:color w:val="auto"/>
              </w:rPr>
              <w:t>HELOCs - originated</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HELOCs - purchased</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13"/>
        </w:trPr>
        <w:tc>
          <w:tcPr>
            <w:tcW w:w="3740" w:type="dxa"/>
            <w:vAlign w:val="bottom"/>
          </w:tcPr>
          <w:p>
            <w:pPr>
              <w:ind w:left="140"/>
              <w:spacing w:after="0"/>
              <w:rPr>
                <w:sz w:val="20"/>
                <w:szCs w:val="20"/>
                <w:color w:val="auto"/>
              </w:rPr>
            </w:pPr>
            <w:r>
              <w:rPr>
                <w:rFonts w:ascii="Arial" w:cs="Arial" w:eastAsia="Arial" w:hAnsi="Arial"/>
                <w:sz w:val="16"/>
                <w:szCs w:val="16"/>
                <w:color w:val="auto"/>
              </w:rPr>
              <w:t>Construction and land/lots</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1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Indirect auto finance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3"/>
        </w:trPr>
        <w:tc>
          <w:tcPr>
            <w:tcW w:w="37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120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3"/>
        </w:trPr>
        <w:tc>
          <w:tcPr>
            <w:tcW w:w="3740" w:type="dxa"/>
            <w:vAlign w:val="bottom"/>
            <w:shd w:val="clear" w:color="auto" w:fill="CCEEFF"/>
          </w:tcPr>
          <w:p>
            <w:pPr>
              <w:ind w:left="240"/>
              <w:spacing w:after="0"/>
              <w:rPr>
                <w:sz w:val="20"/>
                <w:szCs w:val="20"/>
                <w:color w:val="auto"/>
              </w:rPr>
            </w:pPr>
            <w:r>
              <w:rPr>
                <w:rFonts w:ascii="Arial" w:cs="Arial" w:eastAsia="Arial" w:hAnsi="Arial"/>
                <w:sz w:val="16"/>
                <w:szCs w:val="16"/>
                <w:b w:val="1"/>
                <w:bCs w:val="1"/>
                <w:color w:val="auto"/>
              </w:rPr>
              <w:t>Total loans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5,811</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The decrease in the nonaccrual balance in the above schedule, compared to June 30, 2021, is mainly due to the payoff of two commercial real estate loan relationships totaling $5.1 million during the nine month period.</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TDRs are loans which have renegotiated loan terms to assist borrowers who are unable to meet the original terms of their loans. Such modifications to loan terms may include a lower interest rate, a reduction in principal, and/or a longer term to maturity. The above table excludes $10,691 and $11,088 of TDRs that were performing under their restructured payment terms as of March 31, 2022 and June 30, 2021,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breakdown of the provision (benefit) for credit losses included in our Consolidated Statements of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220" w:type="dxa"/>
            <w:vAlign w:val="bottom"/>
          </w:tcPr>
          <w:p>
            <w:pPr>
              <w:spacing w:after="0"/>
              <w:rPr>
                <w:sz w:val="18"/>
                <w:szCs w:val="18"/>
                <w:color w:val="auto"/>
              </w:rPr>
            </w:pPr>
          </w:p>
        </w:tc>
        <w:tc>
          <w:tcPr>
            <w:tcW w:w="24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4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219"/>
        </w:trPr>
        <w:tc>
          <w:tcPr>
            <w:tcW w:w="522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ind w:right="459"/>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9"/>
                <w:szCs w:val="19"/>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2022</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r>
      <w:tr>
        <w:trPr>
          <w:trHeight w:val="199"/>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Provision (benefit) for credit losses:</w:t>
            </w:r>
          </w:p>
        </w:tc>
        <w:tc>
          <w:tcPr>
            <w:tcW w:w="9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Loans</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4"/>
              </w:rPr>
              <w:t>(3,970)</w:t>
            </w:r>
          </w:p>
        </w:tc>
        <w:tc>
          <w:tcPr>
            <w:tcW w:w="8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(4,415)</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(6,370)</w:t>
            </w:r>
          </w:p>
        </w:tc>
      </w:tr>
      <w:tr>
        <w:trPr>
          <w:trHeight w:val="219"/>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Off-balance-sheet credit exposure</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13"/>
        </w:trPr>
        <w:tc>
          <w:tcPr>
            <w:tcW w:w="5220" w:type="dxa"/>
            <w:vAlign w:val="bottom"/>
          </w:tcPr>
          <w:p>
            <w:pPr>
              <w:ind w:left="140"/>
              <w:spacing w:after="0"/>
              <w:rPr>
                <w:sz w:val="20"/>
                <w:szCs w:val="20"/>
                <w:color w:val="auto"/>
              </w:rPr>
            </w:pPr>
            <w:r>
              <w:rPr>
                <w:rFonts w:ascii="Arial" w:cs="Arial" w:eastAsia="Arial" w:hAnsi="Arial"/>
                <w:sz w:val="16"/>
                <w:szCs w:val="16"/>
                <w:color w:val="auto"/>
              </w:rPr>
              <w:t>Commercial paper</w:t>
            </w:r>
          </w:p>
        </w:tc>
        <w:tc>
          <w:tcPr>
            <w:tcW w:w="9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2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180</w:t>
            </w:r>
          </w:p>
        </w:tc>
      </w:tr>
      <w:tr>
        <w:trPr>
          <w:trHeight w:val="234"/>
        </w:trPr>
        <w:tc>
          <w:tcPr>
            <w:tcW w:w="52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6"/>
                <w:szCs w:val="16"/>
                <w:b w:val="1"/>
                <w:bCs w:val="1"/>
                <w:color w:val="auto"/>
              </w:rPr>
              <w:t>Total provision (benefit) for credit losses</w:t>
            </w: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(4,100)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(6,180)</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analyses of the ACL on loans by segment for the periods indicated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6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3"/>
              </w:rPr>
              <w:t>Three Months Ended</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Nine Months Ended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4"/>
              </w:rPr>
              <w:t>March 31, 2022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4"/>
              </w:rPr>
              <w:t>March 31, 2022</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3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3"/>
              </w:rPr>
              <w:t>Commercial</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6"/>
              </w:rPr>
              <w:t>Retail</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3"/>
              </w:rPr>
              <w:t>Commercial</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6"/>
              </w:rPr>
              <w:t>Retail</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Consumer</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0"/>
              </w:rPr>
              <w:t>Consumer</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22,968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24,746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10,722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35,468</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Provision (benefit) for credit losses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(1,295)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(2,058)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(4,415)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Charge-offs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w:t>
            </w:r>
          </w:p>
        </w:tc>
        <w:tc>
          <w:tcPr>
            <w:tcW w:w="0" w:type="dxa"/>
            <w:vAlign w:val="bottom"/>
          </w:tcPr>
          <w:p>
            <w:pPr>
              <w:spacing w:after="0"/>
              <w:rPr>
                <w:sz w:val="1"/>
                <w:szCs w:val="1"/>
                <w:color w:val="auto"/>
              </w:rPr>
            </w:pPr>
          </w:p>
        </w:tc>
      </w:tr>
      <w:tr>
        <w:trPr>
          <w:trHeight w:val="213"/>
        </w:trPr>
        <w:tc>
          <w:tcPr>
            <w:tcW w:w="37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Recoveries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2,171</w:t>
            </w:r>
          </w:p>
        </w:tc>
        <w:tc>
          <w:tcPr>
            <w:tcW w:w="0" w:type="dxa"/>
            <w:vAlign w:val="bottom"/>
          </w:tcPr>
          <w:p>
            <w:pPr>
              <w:spacing w:after="0"/>
              <w:rPr>
                <w:sz w:val="1"/>
                <w:szCs w:val="1"/>
                <w:color w:val="auto"/>
              </w:rPr>
            </w:pPr>
          </w:p>
        </w:tc>
      </w:tr>
      <w:tr>
        <w:trPr>
          <w:trHeight w:val="213"/>
        </w:trPr>
        <w:tc>
          <w:tcPr>
            <w:tcW w:w="37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Net (charge-offs) recoveries</w:t>
            </w: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6"/>
        </w:trPr>
        <w:tc>
          <w:tcPr>
            <w:tcW w:w="3700" w:type="dxa"/>
            <w:vAlign w:val="bottom"/>
          </w:tcPr>
          <w:p>
            <w:pPr>
              <w:ind w:left="140"/>
              <w:spacing w:after="0"/>
              <w:rPr>
                <w:sz w:val="20"/>
                <w:szCs w:val="20"/>
                <w:color w:val="auto"/>
              </w:rPr>
            </w:pPr>
            <w:r>
              <w:rPr>
                <w:rFonts w:ascii="Arial" w:cs="Arial" w:eastAsia="Arial" w:hAnsi="Arial"/>
                <w:sz w:val="16"/>
                <w:szCs w:val="16"/>
                <w:b w:val="1"/>
                <w:bCs w:val="1"/>
                <w:color w:val="auto"/>
              </w:rPr>
              <w:t>Balance at end of period</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22,322</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8,712</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31,034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22,322</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8,712</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31,034</w:t>
            </w: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9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Balance at beginning of period</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Impact of adoption ASU 2016-13</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14"/>
          <w:szCs w:val="14"/>
          <w:color w:val="auto"/>
        </w:rPr>
        <w:t>Provision (benefit) for credit losses</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Charge-offs</w:t>
      </w:r>
    </w:p>
    <w:p>
      <w:pPr>
        <w:spacing w:after="0" w:line="32" w:lineRule="exact"/>
        <w:rPr>
          <w:sz w:val="20"/>
          <w:szCs w:val="20"/>
          <w:color w:val="auto"/>
        </w:rPr>
      </w:pPr>
    </w:p>
    <w:p>
      <w:pPr>
        <w:ind w:left="140"/>
        <w:spacing w:after="0"/>
        <w:rPr>
          <w:sz w:val="20"/>
          <w:szCs w:val="20"/>
          <w:color w:val="auto"/>
        </w:rPr>
      </w:pPr>
      <w:r>
        <w:rPr>
          <w:rFonts w:ascii="Arial" w:cs="Arial" w:eastAsia="Arial" w:hAnsi="Arial"/>
          <w:sz w:val="16"/>
          <w:szCs w:val="16"/>
          <w:color w:val="auto"/>
        </w:rPr>
        <w:t>Recoveries</w:t>
      </w:r>
    </w:p>
    <w:p>
      <w:pPr>
        <w:spacing w:after="0" w:line="20" w:lineRule="exact"/>
        <w:rPr>
          <w:sz w:val="20"/>
          <w:szCs w:val="20"/>
          <w:color w:val="auto"/>
        </w:rPr>
      </w:pPr>
      <w:r>
        <w:rPr>
          <w:sz w:val="20"/>
          <w:szCs w:val="20"/>
          <w:color w:val="auto"/>
        </w:rPr>
        <w:br w:type="column"/>
      </w:r>
    </w:p>
    <w:p>
      <w:pPr>
        <w:jc w:val="center"/>
        <w:ind w:right="3660"/>
        <w:spacing w:after="0"/>
        <w:rPr>
          <w:sz w:val="20"/>
          <w:szCs w:val="20"/>
          <w:color w:val="auto"/>
        </w:rPr>
      </w:pPr>
      <w:r>
        <w:rPr>
          <w:rFonts w:ascii="Arial" w:cs="Arial" w:eastAsia="Arial" w:hAnsi="Arial"/>
          <w:sz w:val="15"/>
          <w:szCs w:val="15"/>
          <w:color w:val="auto"/>
        </w:rPr>
        <w:t>HOMETRUST BANCSHARES, INC. AND SUBSIDIARY</w:t>
      </w:r>
    </w:p>
    <w:p>
      <w:pPr>
        <w:spacing w:after="0" w:line="3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40" w:type="dxa"/>
            <w:vAlign w:val="bottom"/>
          </w:tcPr>
          <w:p>
            <w:pPr>
              <w:spacing w:after="0"/>
              <w:rPr>
                <w:sz w:val="18"/>
                <w:szCs w:val="18"/>
                <w:color w:val="auto"/>
              </w:rPr>
            </w:pPr>
          </w:p>
        </w:tc>
        <w:tc>
          <w:tcPr>
            <w:tcW w:w="2640" w:type="dxa"/>
            <w:vAlign w:val="bottom"/>
            <w:gridSpan w:val="6"/>
          </w:tcPr>
          <w:p>
            <w:pPr>
              <w:jc w:val="center"/>
              <w:ind w:left="699"/>
              <w:spacing w:after="0"/>
              <w:rPr>
                <w:sz w:val="20"/>
                <w:szCs w:val="20"/>
                <w:color w:val="auto"/>
              </w:rPr>
            </w:pPr>
            <w:r>
              <w:rPr>
                <w:rFonts w:ascii="Arial" w:cs="Arial" w:eastAsia="Arial" w:hAnsi="Arial"/>
                <w:sz w:val="16"/>
                <w:szCs w:val="16"/>
                <w:b w:val="1"/>
                <w:bCs w:val="1"/>
                <w:color w:val="auto"/>
                <w:w w:val="92"/>
              </w:rPr>
              <w:t>Three Months Ended</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gridSpan w:val="5"/>
          </w:tcPr>
          <w:p>
            <w:pPr>
              <w:jc w:val="center"/>
              <w:spacing w:after="0"/>
              <w:rPr>
                <w:sz w:val="20"/>
                <w:szCs w:val="20"/>
                <w:color w:val="auto"/>
              </w:rPr>
            </w:pPr>
            <w:r>
              <w:rPr>
                <w:rFonts w:ascii="Arial" w:cs="Arial" w:eastAsia="Arial" w:hAnsi="Arial"/>
                <w:sz w:val="16"/>
                <w:szCs w:val="16"/>
                <w:b w:val="1"/>
                <w:bCs w:val="1"/>
                <w:color w:val="auto"/>
                <w:w w:val="92"/>
              </w:rPr>
              <w:t>Nine Months Ended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March 31, 2021</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w w:val="94"/>
              </w:rPr>
              <w:t>March 31, 2021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140" w:type="dxa"/>
            <w:vAlign w:val="bottom"/>
          </w:tcPr>
          <w:p>
            <w:pPr>
              <w:spacing w:after="0"/>
              <w:rPr>
                <w:sz w:val="13"/>
                <w:szCs w:val="13"/>
                <w:color w:val="auto"/>
              </w:rPr>
            </w:pPr>
          </w:p>
        </w:tc>
        <w:tc>
          <w:tcPr>
            <w:tcW w:w="1040" w:type="dxa"/>
            <w:vAlign w:val="bottom"/>
            <w:vMerge w:val="restart"/>
          </w:tcPr>
          <w:p>
            <w:pPr>
              <w:jc w:val="right"/>
              <w:ind w:right="79"/>
              <w:spacing w:after="0"/>
              <w:rPr>
                <w:sz w:val="20"/>
                <w:szCs w:val="20"/>
                <w:color w:val="auto"/>
              </w:rPr>
            </w:pPr>
            <w:r>
              <w:rPr>
                <w:rFonts w:ascii="Arial" w:cs="Arial" w:eastAsia="Arial" w:hAnsi="Arial"/>
                <w:sz w:val="16"/>
                <w:szCs w:val="16"/>
                <w:b w:val="1"/>
                <w:bCs w:val="1"/>
                <w:color w:val="auto"/>
                <w:w w:val="93"/>
              </w:rPr>
              <w:t>Commercial</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6"/>
              </w:rPr>
              <w:t>Retail</w:t>
            </w:r>
          </w:p>
        </w:tc>
        <w:tc>
          <w:tcPr>
            <w:tcW w:w="240" w:type="dxa"/>
            <w:vAlign w:val="bottom"/>
          </w:tcPr>
          <w:p>
            <w:pPr>
              <w:spacing w:after="0"/>
              <w:rPr>
                <w:sz w:val="13"/>
                <w:szCs w:val="13"/>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w w:val="93"/>
              </w:rPr>
              <w:t>Commercial</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1"/>
              </w:rPr>
              <w:t>Retail</w:t>
            </w:r>
          </w:p>
        </w:tc>
        <w:tc>
          <w:tcPr>
            <w:tcW w:w="260" w:type="dxa"/>
            <w:vAlign w:val="bottom"/>
          </w:tcPr>
          <w:p>
            <w:pPr>
              <w:spacing w:after="0"/>
              <w:rPr>
                <w:sz w:val="13"/>
                <w:szCs w:val="13"/>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8"/>
              </w:rPr>
              <w:t>Consumer</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0"/>
              </w:rPr>
              <w:t>Consumer</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24,899</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14,945</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39,844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21,116</w:t>
            </w:r>
          </w:p>
        </w:tc>
        <w:tc>
          <w:tcPr>
            <w:tcW w:w="3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6,956</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28,072</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4,073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10,736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14,809</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(1,750)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(6,370)</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(1,253)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(2,763)</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2,311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-690245</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-407035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-2331085</wp:posOffset>
            </wp:positionH>
            <wp:positionV relativeFrom="paragraph">
              <wp:posOffset>-132715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960" w:space="720"/>
            <w:col w:w="7560"/>
          </w:cols>
          <w:pgMar w:left="320" w:top="130" w:right="339" w:bottom="1440" w:gutter="0" w:footer="0" w:header="0"/>
        </w:sectPr>
      </w:pPr>
    </w:p>
    <w:tbl>
      <w:tblPr>
        <w:tblLayout w:type="fixed"/>
        <w:tblInd w:w="0" w:type="dxa"/>
        <w:tblCellMar>
          <w:top w:w="0" w:type="dxa"/>
          <w:left w:w="0" w:type="dxa"/>
          <w:bottom w:w="0" w:type="dxa"/>
          <w:right w:w="0" w:type="dxa"/>
        </w:tblCellMar>
      </w:tblPr>
      <w:tr>
        <w:trPr>
          <w:trHeight w:val="215"/>
        </w:trPr>
        <w:tc>
          <w:tcPr>
            <w:tcW w:w="37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(charge-offs) recoveries</w:t>
            </w: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249</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(452)</w:t>
            </w:r>
          </w:p>
        </w:tc>
      </w:tr>
      <w:tr>
        <w:trPr>
          <w:trHeight w:val="232"/>
        </w:trPr>
        <w:tc>
          <w:tcPr>
            <w:tcW w:w="3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Balance at end of period</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23,398</w:t>
            </w: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12,661</w:t>
            </w:r>
          </w:p>
        </w:tc>
        <w:tc>
          <w:tcPr>
            <w:tcW w:w="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36,059</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23,398</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12,661</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36,059</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ending balances of loans and the related ACL, by segment and class for the periods indicated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619"/>
              <w:spacing w:after="0"/>
              <w:rPr>
                <w:sz w:val="20"/>
                <w:szCs w:val="20"/>
                <w:color w:val="auto"/>
              </w:rPr>
            </w:pPr>
            <w:r>
              <w:rPr>
                <w:rFonts w:ascii="Arial" w:cs="Arial" w:eastAsia="Arial" w:hAnsi="Arial"/>
                <w:sz w:val="16"/>
                <w:szCs w:val="16"/>
                <w:b w:val="1"/>
                <w:bCs w:val="1"/>
                <w:color w:val="auto"/>
                <w:w w:val="90"/>
              </w:rPr>
              <w:t>Allowance for Credit Losses</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w w:val="89"/>
              </w:rPr>
              <w:t>Total Loans Receivable</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Loans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Loans</w:t>
            </w: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Loans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Loans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Individually</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Collectively</w:t>
            </w:r>
          </w:p>
        </w:tc>
        <w:tc>
          <w:tcPr>
            <w:tcW w:w="340" w:type="dxa"/>
            <w:vAlign w:val="bottom"/>
          </w:tcPr>
          <w:p>
            <w:pPr>
              <w:spacing w:after="0"/>
              <w:rPr>
                <w:sz w:val="14"/>
                <w:szCs w:val="14"/>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Individually</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Collectively</w:t>
            </w:r>
          </w:p>
        </w:tc>
        <w:tc>
          <w:tcPr>
            <w:tcW w:w="260" w:type="dxa"/>
            <w:vAlign w:val="bottom"/>
          </w:tcPr>
          <w:p>
            <w:pPr>
              <w:spacing w:after="0"/>
              <w:rPr>
                <w:sz w:val="14"/>
                <w:szCs w:val="14"/>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Evaluated</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Evaluated</w:t>
            </w:r>
          </w:p>
        </w:tc>
        <w:tc>
          <w:tcPr>
            <w:tcW w:w="3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Evaluated</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Evaluated</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2022</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Commercial loans: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1,102,184</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Construction and development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3,680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251,668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251,668</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165,192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167,342</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Equipment finance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6,284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378,629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378,629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Municipal finance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130,260</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PPP loans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Retail consumer loans: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One-to-four family</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345,452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347,945</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HELOCs - originated</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128,445</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HELOCs - purchased</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26,911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26,911</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 and land/lots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72,735</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Indirect auto finance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83,903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83,903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6,760</w:t>
            </w: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29,723</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31,034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2,694,611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2,699,538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center"/>
              <w:ind w:left="639"/>
              <w:spacing w:after="0"/>
              <w:rPr>
                <w:sz w:val="20"/>
                <w:szCs w:val="20"/>
                <w:color w:val="auto"/>
              </w:rPr>
            </w:pPr>
            <w:r>
              <w:rPr>
                <w:rFonts w:ascii="Arial" w:cs="Arial" w:eastAsia="Arial" w:hAnsi="Arial"/>
                <w:sz w:val="16"/>
                <w:szCs w:val="16"/>
                <w:b w:val="1"/>
                <w:bCs w:val="1"/>
                <w:color w:val="auto"/>
                <w:w w:val="89"/>
              </w:rPr>
              <w:t>Allowance for Loan Losses</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center"/>
              <w:ind w:left="699"/>
              <w:spacing w:after="0"/>
              <w:rPr>
                <w:sz w:val="20"/>
                <w:szCs w:val="20"/>
                <w:color w:val="auto"/>
              </w:rPr>
            </w:pPr>
            <w:r>
              <w:rPr>
                <w:rFonts w:ascii="Arial" w:cs="Arial" w:eastAsia="Arial" w:hAnsi="Arial"/>
                <w:sz w:val="16"/>
                <w:szCs w:val="16"/>
                <w:b w:val="1"/>
                <w:bCs w:val="1"/>
                <w:color w:val="auto"/>
                <w:w w:val="89"/>
              </w:rPr>
              <w:t>Total Loans Receivable</w:t>
            </w:r>
          </w:p>
        </w:tc>
        <w:tc>
          <w:tcPr>
            <w:tcW w:w="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Loans</w:t>
            </w:r>
          </w:p>
        </w:tc>
        <w:tc>
          <w:tcPr>
            <w:tcW w:w="140" w:type="dxa"/>
            <w:vAlign w:val="bottom"/>
          </w:tcPr>
          <w:p>
            <w:pPr>
              <w:spacing w:after="0"/>
              <w:rPr>
                <w:sz w:val="13"/>
                <w:szCs w:val="13"/>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89"/>
              </w:rPr>
              <w:t>Loans</w:t>
            </w: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93"/>
              </w:rPr>
              <w:t>Loans</w:t>
            </w:r>
          </w:p>
        </w:tc>
        <w:tc>
          <w:tcPr>
            <w:tcW w:w="140" w:type="dxa"/>
            <w:vAlign w:val="bottom"/>
          </w:tcPr>
          <w:p>
            <w:pPr>
              <w:spacing w:after="0"/>
              <w:rPr>
                <w:sz w:val="13"/>
                <w:szCs w:val="13"/>
                <w:color w:val="auto"/>
              </w:rPr>
            </w:pPr>
          </w:p>
        </w:tc>
        <w:tc>
          <w:tcPr>
            <w:tcW w:w="1140" w:type="dxa"/>
            <w:vAlign w:val="bottom"/>
            <w:gridSpan w:val="2"/>
          </w:tcPr>
          <w:p>
            <w:pPr>
              <w:jc w:val="center"/>
              <w:ind w:right="240"/>
              <w:spacing w:after="0" w:line="158" w:lineRule="exact"/>
              <w:rPr>
                <w:sz w:val="20"/>
                <w:szCs w:val="20"/>
                <w:color w:val="auto"/>
              </w:rPr>
            </w:pPr>
            <w:r>
              <w:rPr>
                <w:rFonts w:ascii="Arial" w:cs="Arial" w:eastAsia="Arial" w:hAnsi="Arial"/>
                <w:sz w:val="16"/>
                <w:szCs w:val="16"/>
                <w:b w:val="1"/>
                <w:bCs w:val="1"/>
                <w:color w:val="auto"/>
                <w:w w:val="89"/>
              </w:rPr>
              <w:t>Loans</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Individually</w:t>
            </w:r>
          </w:p>
        </w:tc>
        <w:tc>
          <w:tcPr>
            <w:tcW w:w="140" w:type="dxa"/>
            <w:vAlign w:val="bottom"/>
          </w:tcPr>
          <w:p>
            <w:pPr>
              <w:spacing w:after="0"/>
              <w:rPr>
                <w:sz w:val="14"/>
                <w:szCs w:val="14"/>
                <w:color w:val="auto"/>
              </w:rPr>
            </w:pPr>
          </w:p>
        </w:tc>
        <w:tc>
          <w:tcPr>
            <w:tcW w:w="11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9"/>
              </w:rPr>
              <w:t>Collectively</w:t>
            </w:r>
          </w:p>
        </w:tc>
        <w:tc>
          <w:tcPr>
            <w:tcW w:w="320" w:type="dxa"/>
            <w:vAlign w:val="bottom"/>
          </w:tcPr>
          <w:p>
            <w:pPr>
              <w:spacing w:after="0"/>
              <w:rPr>
                <w:sz w:val="14"/>
                <w:szCs w:val="14"/>
                <w:color w:val="auto"/>
              </w:rPr>
            </w:pPr>
          </w:p>
        </w:tc>
        <w:tc>
          <w:tcPr>
            <w:tcW w:w="96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Total</w:t>
            </w:r>
          </w:p>
        </w:tc>
        <w:tc>
          <w:tcPr>
            <w:tcW w:w="120" w:type="dxa"/>
            <w:vAlign w:val="bottom"/>
          </w:tcPr>
          <w:p>
            <w:pPr>
              <w:spacing w:after="0"/>
              <w:rPr>
                <w:sz w:val="14"/>
                <w:szCs w:val="14"/>
                <w:color w:val="auto"/>
              </w:rPr>
            </w:pPr>
          </w:p>
        </w:tc>
        <w:tc>
          <w:tcPr>
            <w:tcW w:w="11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Individually</w:t>
            </w:r>
          </w:p>
        </w:tc>
        <w:tc>
          <w:tcPr>
            <w:tcW w:w="140" w:type="dxa"/>
            <w:vAlign w:val="bottom"/>
          </w:tcPr>
          <w:p>
            <w:pPr>
              <w:spacing w:after="0"/>
              <w:rPr>
                <w:sz w:val="14"/>
                <w:szCs w:val="14"/>
                <w:color w:val="auto"/>
              </w:rPr>
            </w:pPr>
          </w:p>
        </w:tc>
        <w:tc>
          <w:tcPr>
            <w:tcW w:w="11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Collectively</w:t>
            </w:r>
          </w:p>
        </w:tc>
        <w:tc>
          <w:tcPr>
            <w:tcW w:w="260" w:type="dxa"/>
            <w:vAlign w:val="bottom"/>
          </w:tcPr>
          <w:p>
            <w:pPr>
              <w:spacing w:after="0"/>
              <w:rPr>
                <w:sz w:val="14"/>
                <w:szCs w:val="14"/>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Evaluated</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Evaluated</w:t>
            </w:r>
          </w:p>
        </w:tc>
        <w:tc>
          <w:tcPr>
            <w:tcW w:w="3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Evaluated</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Evaluated</w:t>
            </w:r>
          </w:p>
        </w:tc>
        <w:tc>
          <w:tcPr>
            <w:tcW w:w="2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2021</w:t>
            </w: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20"/>
              <w:spacing w:after="0"/>
              <w:rPr>
                <w:sz w:val="20"/>
                <w:szCs w:val="20"/>
                <w:color w:val="auto"/>
              </w:rPr>
            </w:pPr>
            <w:r>
              <w:rPr>
                <w:rFonts w:ascii="Arial" w:cs="Arial" w:eastAsia="Arial" w:hAnsi="Arial"/>
                <w:sz w:val="16"/>
                <w:szCs w:val="16"/>
                <w:b w:val="1"/>
                <w:bCs w:val="1"/>
                <w:color w:val="auto"/>
              </w:rPr>
              <w:t>Commercial loans: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real estate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1,136,547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1,142,276</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Construction and development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179,347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179,427</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141,341</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Equipment finance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317,645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317,920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Municipal finance</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140,421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140,421</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PPP loans</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46,650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46,650</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Retail consumer loans: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One-to-four family</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5,407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404,572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406,549</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HELOCs - originated</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130,225</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HELOCs - purchased</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38,976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38,976</w:t>
            </w:r>
          </w:p>
        </w:tc>
        <w:tc>
          <w:tcPr>
            <w:tcW w:w="0" w:type="dxa"/>
            <w:vAlign w:val="bottom"/>
          </w:tcPr>
          <w:p>
            <w:pPr>
              <w:spacing w:after="0"/>
              <w:rPr>
                <w:sz w:val="1"/>
                <w:szCs w:val="1"/>
                <w:color w:val="auto"/>
              </w:rPr>
            </w:pPr>
          </w:p>
        </w:tc>
      </w:tr>
      <w:tr>
        <w:trPr>
          <w:trHeight w:val="219"/>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 and land/lots</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66,027</w:t>
            </w:r>
          </w:p>
        </w:tc>
        <w:tc>
          <w:tcPr>
            <w:tcW w:w="0" w:type="dxa"/>
            <w:vAlign w:val="bottom"/>
          </w:tcPr>
          <w:p>
            <w:pPr>
              <w:spacing w:after="0"/>
              <w:rPr>
                <w:sz w:val="1"/>
                <w:szCs w:val="1"/>
                <w:color w:val="auto"/>
              </w:rPr>
            </w:pPr>
          </w:p>
        </w:tc>
      </w:tr>
      <w:tr>
        <w:trPr>
          <w:trHeight w:val="213"/>
        </w:trPr>
        <w:tc>
          <w:tcPr>
            <w:tcW w:w="3700" w:type="dxa"/>
            <w:vAlign w:val="bottom"/>
          </w:tcPr>
          <w:p>
            <w:pPr>
              <w:ind w:left="140"/>
              <w:spacing w:after="0"/>
              <w:rPr>
                <w:sz w:val="20"/>
                <w:szCs w:val="20"/>
                <w:color w:val="auto"/>
              </w:rPr>
            </w:pPr>
            <w:r>
              <w:rPr>
                <w:rFonts w:ascii="Arial" w:cs="Arial" w:eastAsia="Arial" w:hAnsi="Arial"/>
                <w:sz w:val="16"/>
                <w:szCs w:val="16"/>
                <w:color w:val="auto"/>
              </w:rPr>
              <w:t>Indirect auto finance</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115,093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115,093</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Consumer</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8,362</w:t>
            </w:r>
          </w:p>
        </w:tc>
        <w:tc>
          <w:tcPr>
            <w:tcW w:w="0" w:type="dxa"/>
            <w:vAlign w:val="bottom"/>
          </w:tcPr>
          <w:p>
            <w:pPr>
              <w:spacing w:after="0"/>
              <w:rPr>
                <w:sz w:val="1"/>
                <w:szCs w:val="1"/>
                <w:color w:val="auto"/>
              </w:rPr>
            </w:pPr>
          </w:p>
        </w:tc>
      </w:tr>
      <w:tr>
        <w:trPr>
          <w:trHeight w:val="213"/>
        </w:trPr>
        <w:tc>
          <w:tcPr>
            <w:tcW w:w="3700" w:type="dxa"/>
            <w:vAlign w:val="bottom"/>
          </w:tcPr>
          <w:p>
            <w:pPr>
              <w:ind w:left="2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35,001</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35,468</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8,821</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2,724,446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2,733,267</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estimating ECL, ASC 326 prescribes that if foreclosure is probable, a CDA is required to be measured at the fair value of collateral, but as a practical expedient, if foreclosure is not probable, fair value measurement is optional. For those CDA loans measured at the fair value of collateral, a credit loss expense is recorded for loan amounts in excess of fair value. The following tables provide a breakdown between loans identified as CDAs and non-CDAs, by segment and class, and securing collateral, as well as collateral coverage for those loans for the periods indicated below:</w:t>
      </w:r>
    </w:p>
    <w:p>
      <w:pPr>
        <w:spacing w:after="0" w:line="166" w:lineRule="exact"/>
        <w:rPr>
          <w:sz w:val="20"/>
          <w:szCs w:val="20"/>
          <w:color w:val="auto"/>
        </w:rPr>
      </w:pPr>
    </w:p>
    <w:p>
      <w:pPr>
        <w:jc w:val="center"/>
        <w:ind w:left="1520"/>
        <w:spacing w:after="0"/>
        <w:rPr>
          <w:sz w:val="20"/>
          <w:szCs w:val="20"/>
          <w:color w:val="auto"/>
        </w:rPr>
      </w:pPr>
      <w:r>
        <w:rPr>
          <w:rFonts w:ascii="Arial" w:cs="Arial" w:eastAsia="Arial" w:hAnsi="Arial"/>
          <w:sz w:val="16"/>
          <w:szCs w:val="16"/>
          <w:b w:val="1"/>
          <w:bCs w:val="1"/>
          <w:color w:val="auto"/>
        </w:rPr>
        <w:t>Type of Collateral and Extent to Which Collateral Secures Financial</w:t>
      </w:r>
    </w:p>
    <w:p>
      <w:pPr>
        <w:jc w:val="center"/>
        <w:ind w:left="1520"/>
        <w:spacing w:after="0"/>
        <w:rPr>
          <w:sz w:val="20"/>
          <w:szCs w:val="20"/>
          <w:color w:val="auto"/>
        </w:rPr>
      </w:pPr>
      <w:r>
        <w:rPr>
          <w:rFonts w:ascii="Arial" w:cs="Arial" w:eastAsia="Arial" w:hAnsi="Arial"/>
          <w:sz w:val="16"/>
          <w:szCs w:val="16"/>
          <w:b w:val="1"/>
          <w:bCs w:val="1"/>
          <w:color w:val="auto"/>
        </w:rPr>
        <w:t>Assets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5"/>
              </w:rPr>
              <w:t>Financial</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Assets Not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Residential</w:t>
            </w:r>
          </w:p>
        </w:tc>
        <w:tc>
          <w:tcPr>
            <w:tcW w:w="140" w:type="dxa"/>
            <w:vAlign w:val="bottom"/>
          </w:tcPr>
          <w:p>
            <w:pPr>
              <w:spacing w:after="0"/>
              <w:rPr>
                <w:sz w:val="14"/>
                <w:szCs w:val="14"/>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Investment</w:t>
            </w:r>
          </w:p>
        </w:tc>
        <w:tc>
          <w:tcPr>
            <w:tcW w:w="14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Commercial</w:t>
            </w:r>
          </w:p>
        </w:tc>
        <w:tc>
          <w:tcPr>
            <w:tcW w:w="160" w:type="dxa"/>
            <w:vAlign w:val="bottom"/>
          </w:tcPr>
          <w:p>
            <w:pPr>
              <w:spacing w:after="0"/>
              <w:rPr>
                <w:sz w:val="14"/>
                <w:szCs w:val="14"/>
                <w:color w:val="auto"/>
              </w:rPr>
            </w:pPr>
          </w:p>
        </w:tc>
        <w:tc>
          <w:tcPr>
            <w:tcW w:w="90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89"/>
              </w:rPr>
              <w:t>Business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Considered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March 31, 2022</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Collateral</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Property</w:t>
            </w:r>
          </w:p>
        </w:tc>
        <w:tc>
          <w:tcPr>
            <w:tcW w:w="1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Property</w:t>
            </w:r>
          </w:p>
        </w:tc>
        <w:tc>
          <w:tcPr>
            <w:tcW w:w="16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Dependent</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loans: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1,101,902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1,102,184</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 and development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251,668</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Commercial and industrial</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166,031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167,342</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378,629</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Municipal finance</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130,260</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PPP loans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Retail consumer loans: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One-to-four family</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346,598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347,945</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HELOCs - originated</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128,445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128,445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HELOCs - purchased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26,911</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Construction and land/lots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72,735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72,735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Indirect auto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83,903</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7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6,760</w:t>
            </w:r>
          </w:p>
        </w:tc>
        <w:tc>
          <w:tcPr>
            <w:tcW w:w="0" w:type="dxa"/>
            <w:vAlign w:val="bottom"/>
          </w:tcPr>
          <w:p>
            <w:pPr>
              <w:spacing w:after="0"/>
              <w:rPr>
                <w:sz w:val="1"/>
                <w:szCs w:val="1"/>
                <w:color w:val="auto"/>
              </w:rPr>
            </w:pPr>
          </w:p>
        </w:tc>
      </w:tr>
      <w:tr>
        <w:trPr>
          <w:trHeight w:val="233"/>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b w:val="1"/>
                <w:bCs w:val="1"/>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2,696,598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2,699,538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40" w:type="dxa"/>
            <w:vAlign w:val="bottom"/>
          </w:tcPr>
          <w:p>
            <w:pPr>
              <w:ind w:left="220"/>
              <w:spacing w:after="0"/>
              <w:rPr>
                <w:sz w:val="20"/>
                <w:szCs w:val="20"/>
                <w:color w:val="auto"/>
              </w:rPr>
            </w:pPr>
            <w:r>
              <w:rPr>
                <w:rFonts w:ascii="Arial" w:cs="Arial" w:eastAsia="Arial" w:hAnsi="Arial"/>
                <w:sz w:val="16"/>
                <w:szCs w:val="16"/>
                <w:b w:val="1"/>
                <w:bCs w:val="1"/>
                <w:color w:val="auto"/>
              </w:rPr>
              <w:t>Total Collateral Value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2,285</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ind w:left="7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91" w:lineRule="exact"/>
        <w:rPr>
          <w:sz w:val="20"/>
          <w:szCs w:val="20"/>
          <w:color w:val="auto"/>
        </w:rPr>
      </w:pPr>
    </w:p>
    <w:p>
      <w:pPr>
        <w:jc w:val="center"/>
        <w:ind w:left="1520"/>
        <w:spacing w:after="0"/>
        <w:rPr>
          <w:sz w:val="20"/>
          <w:szCs w:val="20"/>
          <w:color w:val="auto"/>
        </w:rPr>
      </w:pPr>
      <w:r>
        <w:rPr>
          <w:rFonts w:ascii="Arial" w:cs="Arial" w:eastAsia="Arial" w:hAnsi="Arial"/>
          <w:sz w:val="16"/>
          <w:szCs w:val="16"/>
          <w:b w:val="1"/>
          <w:bCs w:val="1"/>
          <w:color w:val="auto"/>
        </w:rPr>
        <w:t>Type of Collateral and Extent to Which Collateral Secures Financial</w:t>
      </w:r>
    </w:p>
    <w:p>
      <w:pPr>
        <w:jc w:val="center"/>
        <w:ind w:left="1520"/>
        <w:spacing w:after="0"/>
        <w:rPr>
          <w:sz w:val="20"/>
          <w:szCs w:val="20"/>
          <w:color w:val="auto"/>
        </w:rPr>
      </w:pPr>
      <w:r>
        <w:rPr>
          <w:rFonts w:ascii="Arial" w:cs="Arial" w:eastAsia="Arial" w:hAnsi="Arial"/>
          <w:sz w:val="16"/>
          <w:szCs w:val="16"/>
          <w:b w:val="1"/>
          <w:bCs w:val="1"/>
          <w:color w:val="auto"/>
        </w:rPr>
        <w:t>Assets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9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8" w:lineRule="exact"/>
              <w:rPr>
                <w:sz w:val="20"/>
                <w:szCs w:val="20"/>
                <w:color w:val="auto"/>
              </w:rPr>
            </w:pPr>
            <w:r>
              <w:rPr>
                <w:rFonts w:ascii="Arial" w:cs="Arial" w:eastAsia="Arial" w:hAnsi="Arial"/>
                <w:sz w:val="16"/>
                <w:szCs w:val="16"/>
                <w:b w:val="1"/>
                <w:bCs w:val="1"/>
                <w:color w:val="auto"/>
                <w:w w:val="95"/>
              </w:rPr>
              <w:t>Financial</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Assets Not</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1"/>
              </w:rPr>
              <w:t>Residential</w:t>
            </w:r>
          </w:p>
        </w:tc>
        <w:tc>
          <w:tcPr>
            <w:tcW w:w="140" w:type="dxa"/>
            <w:vAlign w:val="bottom"/>
          </w:tcPr>
          <w:p>
            <w:pPr>
              <w:spacing w:after="0"/>
              <w:rPr>
                <w:sz w:val="14"/>
                <w:szCs w:val="14"/>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Investment</w:t>
            </w:r>
          </w:p>
        </w:tc>
        <w:tc>
          <w:tcPr>
            <w:tcW w:w="140" w:type="dxa"/>
            <w:vAlign w:val="bottom"/>
          </w:tcPr>
          <w:p>
            <w:pPr>
              <w:spacing w:after="0"/>
              <w:rPr>
                <w:sz w:val="14"/>
                <w:szCs w:val="14"/>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3"/>
              </w:rPr>
              <w:t>Commercial</w:t>
            </w:r>
          </w:p>
        </w:tc>
        <w:tc>
          <w:tcPr>
            <w:tcW w:w="160" w:type="dxa"/>
            <w:vAlign w:val="bottom"/>
          </w:tcPr>
          <w:p>
            <w:pPr>
              <w:spacing w:after="0"/>
              <w:rPr>
                <w:sz w:val="14"/>
                <w:szCs w:val="14"/>
                <w:color w:val="auto"/>
              </w:rPr>
            </w:pPr>
          </w:p>
        </w:tc>
        <w:tc>
          <w:tcPr>
            <w:tcW w:w="900" w:type="dxa"/>
            <w:vAlign w:val="bottom"/>
            <w:vMerge w:val="restart"/>
          </w:tcPr>
          <w:p>
            <w:pPr>
              <w:ind w:left="80"/>
              <w:spacing w:after="0"/>
              <w:rPr>
                <w:sz w:val="20"/>
                <w:szCs w:val="20"/>
                <w:color w:val="auto"/>
              </w:rPr>
            </w:pPr>
            <w:r>
              <w:rPr>
                <w:rFonts w:ascii="Arial" w:cs="Arial" w:eastAsia="Arial" w:hAnsi="Arial"/>
                <w:sz w:val="16"/>
                <w:szCs w:val="16"/>
                <w:b w:val="1"/>
                <w:bCs w:val="1"/>
                <w:color w:val="auto"/>
              </w:rPr>
              <w:t>Business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Considered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June 30, 2021</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5"/>
              </w:rPr>
              <w:t>Collateral</w:t>
            </w:r>
          </w:p>
        </w:tc>
        <w:tc>
          <w:tcPr>
            <w:tcW w:w="240" w:type="dxa"/>
            <w:vAlign w:val="bottom"/>
          </w:tcPr>
          <w:p>
            <w:pPr>
              <w:spacing w:after="0"/>
              <w:rPr>
                <w:sz w:val="14"/>
                <w:szCs w:val="14"/>
                <w:color w:val="auto"/>
              </w:rPr>
            </w:pPr>
          </w:p>
        </w:tc>
        <w:tc>
          <w:tcPr>
            <w:tcW w:w="86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9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Property</w:t>
            </w: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Property</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Property</w:t>
            </w:r>
          </w:p>
        </w:tc>
        <w:tc>
          <w:tcPr>
            <w:tcW w:w="160" w:type="dxa"/>
            <w:vAlign w:val="bottom"/>
          </w:tcPr>
          <w:p>
            <w:pPr>
              <w:spacing w:after="0"/>
              <w:rPr>
                <w:sz w:val="18"/>
                <w:szCs w:val="18"/>
                <w:color w:val="auto"/>
              </w:rPr>
            </w:pPr>
          </w:p>
        </w:tc>
        <w:tc>
          <w:tcPr>
            <w:tcW w:w="900" w:type="dxa"/>
            <w:vAlign w:val="bottom"/>
          </w:tcPr>
          <w:p>
            <w:pPr>
              <w:ind w:left="160"/>
              <w:spacing w:after="0"/>
              <w:rPr>
                <w:sz w:val="20"/>
                <w:szCs w:val="20"/>
                <w:color w:val="auto"/>
              </w:rPr>
            </w:pPr>
            <w:r>
              <w:rPr>
                <w:rFonts w:ascii="Arial" w:cs="Arial" w:eastAsia="Arial" w:hAnsi="Arial"/>
                <w:sz w:val="16"/>
                <w:szCs w:val="16"/>
                <w:b w:val="1"/>
                <w:bCs w:val="1"/>
                <w:color w:val="auto"/>
              </w:rPr>
              <w:t>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Dependent</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loans:</w:t>
            </w: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Commercial real estate</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3,421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2,308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1,136,547</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1,142,276</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 and development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179,347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179,427</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Commercial and industrial</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141,316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141,341</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317,920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317,920</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Municipal finance</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140,421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140,421</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PPP loans</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46,650</w:t>
            </w:r>
          </w:p>
        </w:tc>
        <w:tc>
          <w:tcPr>
            <w:tcW w:w="0" w:type="dxa"/>
            <w:vAlign w:val="bottom"/>
          </w:tcPr>
          <w:p>
            <w:pPr>
              <w:spacing w:after="0"/>
              <w:rPr>
                <w:sz w:val="1"/>
                <w:szCs w:val="1"/>
                <w:color w:val="auto"/>
              </w:rPr>
            </w:pPr>
          </w:p>
        </w:tc>
      </w:tr>
      <w:tr>
        <w:trPr>
          <w:trHeight w:val="213"/>
        </w:trPr>
        <w:tc>
          <w:tcPr>
            <w:tcW w:w="3940" w:type="dxa"/>
            <w:vAlign w:val="bottom"/>
          </w:tcPr>
          <w:p>
            <w:pPr>
              <w:ind w:left="20"/>
              <w:spacing w:after="0"/>
              <w:rPr>
                <w:sz w:val="20"/>
                <w:szCs w:val="20"/>
                <w:color w:val="auto"/>
              </w:rPr>
            </w:pPr>
            <w:r>
              <w:rPr>
                <w:rFonts w:ascii="Arial" w:cs="Arial" w:eastAsia="Arial" w:hAnsi="Arial"/>
                <w:sz w:val="16"/>
                <w:szCs w:val="16"/>
                <w:b w:val="1"/>
                <w:bCs w:val="1"/>
                <w:color w:val="auto"/>
              </w:rPr>
              <w:t>Retail consumer loans: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One-to-four family</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405,742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406,549</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HELOCs - originated</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130,225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130,225</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HELOCs - purchased</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38,976</w:t>
            </w:r>
          </w:p>
        </w:tc>
        <w:tc>
          <w:tcPr>
            <w:tcW w:w="0" w:type="dxa"/>
            <w:vAlign w:val="bottom"/>
          </w:tcPr>
          <w:p>
            <w:pPr>
              <w:spacing w:after="0"/>
              <w:rPr>
                <w:sz w:val="1"/>
                <w:szCs w:val="1"/>
                <w:color w:val="auto"/>
              </w:rPr>
            </w:pPr>
          </w:p>
        </w:tc>
      </w:tr>
      <w:tr>
        <w:trPr>
          <w:trHeight w:val="213"/>
        </w:trPr>
        <w:tc>
          <w:tcPr>
            <w:tcW w:w="3940" w:type="dxa"/>
            <w:vAlign w:val="bottom"/>
          </w:tcPr>
          <w:p>
            <w:pPr>
              <w:ind w:left="140"/>
              <w:spacing w:after="0"/>
              <w:rPr>
                <w:sz w:val="20"/>
                <w:szCs w:val="20"/>
                <w:color w:val="auto"/>
              </w:rPr>
            </w:pPr>
            <w:r>
              <w:rPr>
                <w:rFonts w:ascii="Arial" w:cs="Arial" w:eastAsia="Arial" w:hAnsi="Arial"/>
                <w:sz w:val="16"/>
                <w:szCs w:val="16"/>
                <w:color w:val="auto"/>
              </w:rPr>
              <w:t>Construction and land/lots</w:t>
            </w:r>
          </w:p>
        </w:tc>
        <w:tc>
          <w:tcPr>
            <w:tcW w:w="14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900" w:type="dxa"/>
            <w:vAlign w:val="bottom"/>
          </w:tcPr>
          <w:p>
            <w:pPr>
              <w:ind w:left="6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66,027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66,027</w:t>
            </w:r>
          </w:p>
        </w:tc>
        <w:tc>
          <w:tcPr>
            <w:tcW w:w="0" w:type="dxa"/>
            <w:vAlign w:val="bottom"/>
          </w:tcPr>
          <w:p>
            <w:pPr>
              <w:spacing w:after="0"/>
              <w:rPr>
                <w:sz w:val="1"/>
                <w:szCs w:val="1"/>
                <w:color w:val="auto"/>
              </w:rPr>
            </w:pPr>
          </w:p>
        </w:tc>
      </w:tr>
      <w:tr>
        <w:trPr>
          <w:trHeight w:val="219"/>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Indirect auto finance</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115,093</w:t>
            </w:r>
          </w:p>
        </w:tc>
        <w:tc>
          <w:tcPr>
            <w:tcW w:w="0" w:type="dxa"/>
            <w:vAlign w:val="bottom"/>
          </w:tcPr>
          <w:p>
            <w:pPr>
              <w:spacing w:after="0"/>
              <w:rPr>
                <w:sz w:val="1"/>
                <w:szCs w:val="1"/>
                <w:color w:val="auto"/>
              </w:rPr>
            </w:pPr>
          </w:p>
        </w:tc>
      </w:tr>
      <w:tr>
        <w:trPr>
          <w:trHeight w:val="213"/>
        </w:trPr>
        <w:tc>
          <w:tcPr>
            <w:tcW w:w="3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8,362</w:t>
            </w:r>
          </w:p>
        </w:tc>
        <w:tc>
          <w:tcPr>
            <w:tcW w:w="0" w:type="dxa"/>
            <w:vAlign w:val="bottom"/>
          </w:tcPr>
          <w:p>
            <w:pPr>
              <w:spacing w:after="0"/>
              <w:rPr>
                <w:sz w:val="1"/>
                <w:szCs w:val="1"/>
                <w:color w:val="auto"/>
              </w:rPr>
            </w:pPr>
          </w:p>
        </w:tc>
      </w:tr>
      <w:tr>
        <w:trPr>
          <w:trHeight w:val="233"/>
        </w:trPr>
        <w:tc>
          <w:tcPr>
            <w:tcW w:w="394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2,726,626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2,733,267</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940" w:type="dxa"/>
            <w:vAlign w:val="bottom"/>
          </w:tcPr>
          <w:p>
            <w:pPr>
              <w:ind w:left="220"/>
              <w:spacing w:after="0"/>
              <w:rPr>
                <w:sz w:val="20"/>
                <w:szCs w:val="20"/>
                <w:color w:val="auto"/>
              </w:rPr>
            </w:pPr>
            <w:r>
              <w:rPr>
                <w:rFonts w:ascii="Arial" w:cs="Arial" w:eastAsia="Arial" w:hAnsi="Arial"/>
                <w:sz w:val="16"/>
                <w:szCs w:val="16"/>
                <w:b w:val="1"/>
                <w:bCs w:val="1"/>
                <w:color w:val="auto"/>
              </w:rPr>
              <w:t>Total Collateral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3,602</w:t>
            </w: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w:t>
            </w:r>
          </w:p>
        </w:tc>
        <w:tc>
          <w:tcPr>
            <w:tcW w:w="100" w:type="dxa"/>
            <w:vAlign w:val="bottom"/>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breakdown of the types of concessions made on TDRs by loan class for the period indicated below:</w:t>
      </w:r>
    </w:p>
    <w:p>
      <w:pPr>
        <w:spacing w:after="0" w:line="150" w:lineRule="exact"/>
        <w:rPr>
          <w:sz w:val="20"/>
          <w:szCs w:val="20"/>
          <w:color w:val="auto"/>
        </w:rPr>
      </w:pPr>
    </w:p>
    <w:p>
      <w:pPr>
        <w:ind w:left="6120"/>
        <w:spacing w:after="0"/>
        <w:rPr>
          <w:sz w:val="20"/>
          <w:szCs w:val="20"/>
          <w:color w:val="auto"/>
        </w:rPr>
      </w:pPr>
      <w:r>
        <w:rPr>
          <w:rFonts w:ascii="Arial" w:cs="Arial" w:eastAsia="Arial" w:hAnsi="Arial"/>
          <w:sz w:val="16"/>
          <w:szCs w:val="16"/>
          <w:b w:val="1"/>
          <w:bCs w:val="1"/>
          <w:color w:val="auto"/>
        </w:rPr>
        <w:t>Three Months Ended March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2"/>
              </w:rPr>
              <w:t>Pre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86"/>
              </w:rPr>
              <w:t>Post</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92"/>
              </w:rPr>
              <w:t>Pre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jc w:val="center"/>
              <w:ind w:right="140"/>
              <w:spacing w:after="0" w:line="158" w:lineRule="exact"/>
              <w:rPr>
                <w:sz w:val="20"/>
                <w:szCs w:val="20"/>
                <w:color w:val="auto"/>
              </w:rPr>
            </w:pPr>
            <w:r>
              <w:rPr>
                <w:rFonts w:ascii="Arial" w:cs="Arial" w:eastAsia="Arial" w:hAnsi="Arial"/>
                <w:sz w:val="16"/>
                <w:szCs w:val="16"/>
                <w:b w:val="1"/>
                <w:bCs w:val="1"/>
                <w:color w:val="auto"/>
                <w:w w:val="86"/>
              </w:rPr>
              <w:t>Post</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restart"/>
          </w:tcPr>
          <w:p>
            <w:pPr>
              <w:jc w:val="center"/>
              <w:ind w:left="179"/>
              <w:spacing w:after="0"/>
              <w:rPr>
                <w:sz w:val="20"/>
                <w:szCs w:val="20"/>
                <w:color w:val="auto"/>
              </w:rPr>
            </w:pPr>
            <w:r>
              <w:rPr>
                <w:rFonts w:ascii="Arial" w:cs="Arial" w:eastAsia="Arial" w:hAnsi="Arial"/>
                <w:sz w:val="16"/>
                <w:szCs w:val="16"/>
                <w:b w:val="1"/>
                <w:bCs w:val="1"/>
                <w:color w:val="auto"/>
                <w:w w:val="95"/>
              </w:rPr>
              <w:t>Number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5"/>
              </w:rPr>
              <w:t>Modification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Modification</w:t>
            </w:r>
          </w:p>
        </w:tc>
        <w:tc>
          <w:tcPr>
            <w:tcW w:w="1080" w:type="dxa"/>
            <w:vAlign w:val="bottom"/>
            <w:gridSpan w:val="2"/>
            <w:vMerge w:val="restart"/>
          </w:tcPr>
          <w:p>
            <w:pPr>
              <w:jc w:val="center"/>
              <w:ind w:right="20"/>
              <w:spacing w:after="0"/>
              <w:rPr>
                <w:sz w:val="20"/>
                <w:szCs w:val="20"/>
                <w:color w:val="auto"/>
              </w:rPr>
            </w:pPr>
            <w:r>
              <w:rPr>
                <w:rFonts w:ascii="Arial" w:cs="Arial" w:eastAsia="Arial" w:hAnsi="Arial"/>
                <w:sz w:val="16"/>
                <w:szCs w:val="16"/>
                <w:b w:val="1"/>
                <w:bCs w:val="1"/>
                <w:color w:val="auto"/>
                <w:w w:val="95"/>
              </w:rPr>
              <w:t>Number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5"/>
              </w:rPr>
              <w:t>Modification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5"/>
              </w:rPr>
              <w:t>Modification</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1"/>
              </w:rPr>
              <w:t>Outstanding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Outstanding</w:t>
            </w: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91"/>
              </w:rPr>
              <w:t>Outstanding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91"/>
              </w:rPr>
              <w:t>Outstanding</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ind w:left="179"/>
              <w:spacing w:after="0" w:line="162" w:lineRule="exact"/>
              <w:rPr>
                <w:sz w:val="20"/>
                <w:szCs w:val="20"/>
                <w:color w:val="auto"/>
              </w:rPr>
            </w:pPr>
            <w:r>
              <w:rPr>
                <w:rFonts w:ascii="Arial" w:cs="Arial" w:eastAsia="Arial" w:hAnsi="Arial"/>
                <w:sz w:val="16"/>
                <w:szCs w:val="16"/>
                <w:b w:val="1"/>
                <w:bCs w:val="1"/>
                <w:color w:val="auto"/>
                <w:w w:val="92"/>
              </w:rPr>
              <w:t>of</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Recorded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Recorded</w:t>
            </w:r>
          </w:p>
        </w:tc>
        <w:tc>
          <w:tcPr>
            <w:tcW w:w="10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79"/>
              </w:rPr>
              <w:t>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60"/>
              <w:spacing w:after="0" w:line="162" w:lineRule="exact"/>
              <w:rPr>
                <w:sz w:val="20"/>
                <w:szCs w:val="20"/>
                <w:color w:val="auto"/>
              </w:rPr>
            </w:pPr>
            <w:r>
              <w:rPr>
                <w:rFonts w:ascii="Arial" w:cs="Arial" w:eastAsia="Arial" w:hAnsi="Arial"/>
                <w:sz w:val="16"/>
                <w:szCs w:val="16"/>
                <w:b w:val="1"/>
                <w:bCs w:val="1"/>
                <w:color w:val="auto"/>
                <w:w w:val="89"/>
              </w:rPr>
              <w:t>Recorded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Recorded</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ind w:left="179"/>
              <w:spacing w:after="0"/>
              <w:rPr>
                <w:sz w:val="20"/>
                <w:szCs w:val="20"/>
                <w:color w:val="auto"/>
              </w:rPr>
            </w:pPr>
            <w:r>
              <w:rPr>
                <w:rFonts w:ascii="Arial" w:cs="Arial" w:eastAsia="Arial" w:hAnsi="Arial"/>
                <w:sz w:val="16"/>
                <w:szCs w:val="16"/>
                <w:b w:val="1"/>
                <w:bCs w:val="1"/>
                <w:color w:val="auto"/>
                <w:w w:val="89"/>
              </w:rPr>
              <w:t>Loans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Investment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Investment</w:t>
            </w:r>
          </w:p>
        </w:tc>
        <w:tc>
          <w:tcPr>
            <w:tcW w:w="108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9"/>
              </w:rPr>
              <w:t>Loans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2"/>
              </w:rPr>
              <w:t>Investment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Investment</w:t>
            </w:r>
          </w:p>
        </w:tc>
        <w:tc>
          <w:tcPr>
            <w:tcW w:w="0" w:type="dxa"/>
            <w:vAlign w:val="bottom"/>
          </w:tcPr>
          <w:p>
            <w:pPr>
              <w:spacing w:after="0"/>
              <w:rPr>
                <w:sz w:val="1"/>
                <w:szCs w:val="1"/>
                <w:color w:val="auto"/>
              </w:rPr>
            </w:pPr>
          </w:p>
        </w:tc>
      </w:tr>
      <w:tr>
        <w:trPr>
          <w:trHeight w:val="193"/>
        </w:trPr>
        <w:tc>
          <w:tcPr>
            <w:tcW w:w="32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TDRs:</w:t>
            </w:r>
          </w:p>
        </w:tc>
        <w:tc>
          <w:tcPr>
            <w:tcW w:w="8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1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3"/>
        </w:trPr>
        <w:tc>
          <w:tcPr>
            <w:tcW w:w="4040" w:type="dxa"/>
            <w:vAlign w:val="bottom"/>
            <w:gridSpan w:val="3"/>
          </w:tcPr>
          <w:p>
            <w:pPr>
              <w:ind w:left="140"/>
              <w:spacing w:after="0"/>
              <w:rPr>
                <w:sz w:val="20"/>
                <w:szCs w:val="20"/>
                <w:color w:val="auto"/>
              </w:rPr>
            </w:pPr>
            <w:r>
              <w:rPr>
                <w:rFonts w:ascii="Arial" w:cs="Arial" w:eastAsia="Arial" w:hAnsi="Arial"/>
                <w:sz w:val="16"/>
                <w:szCs w:val="16"/>
                <w:color w:val="auto"/>
              </w:rPr>
              <w:t>Commercial:</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Commercial and industrial</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9"/>
                <w:szCs w:val="19"/>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40" w:type="dxa"/>
            <w:vAlign w:val="bottom"/>
            <w:shd w:val="clear" w:color="auto" w:fill="CCEEFF"/>
          </w:tcPr>
          <w:p>
            <w:pPr>
              <w:spacing w:after="0"/>
              <w:rPr>
                <w:sz w:val="19"/>
                <w:szCs w:val="19"/>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040" w:type="dxa"/>
            <w:vAlign w:val="bottom"/>
            <w:gridSpan w:val="3"/>
          </w:tcPr>
          <w:p>
            <w:pPr>
              <w:ind w:left="140"/>
              <w:spacing w:after="0"/>
              <w:rPr>
                <w:sz w:val="20"/>
                <w:szCs w:val="20"/>
                <w:color w:val="auto"/>
              </w:rPr>
            </w:pPr>
            <w:r>
              <w:rPr>
                <w:rFonts w:ascii="Arial" w:cs="Arial" w:eastAsia="Arial" w:hAnsi="Arial"/>
                <w:sz w:val="16"/>
                <w:szCs w:val="16"/>
                <w:color w:val="auto"/>
              </w:rPr>
              <w:t>Retail consumer:</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18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One-to-four family</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gridSpan w:val="3"/>
          </w:tcPr>
          <w:p>
            <w:pPr>
              <w:ind w:left="220"/>
              <w:spacing w:after="0"/>
              <w:rPr>
                <w:sz w:val="20"/>
                <w:szCs w:val="20"/>
                <w:color w:val="auto"/>
              </w:rPr>
            </w:pPr>
            <w:r>
              <w:rPr>
                <w:rFonts w:ascii="Arial" w:cs="Arial" w:eastAsia="Arial" w:hAnsi="Arial"/>
                <w:sz w:val="16"/>
                <w:szCs w:val="16"/>
                <w:color w:val="auto"/>
              </w:rPr>
              <w:t>HELOCs - originated</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Indirect auto finance</w:t>
            </w:r>
          </w:p>
        </w:tc>
        <w:tc>
          <w:tcPr>
            <w:tcW w:w="8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00" w:type="dxa"/>
            <w:vAlign w:val="bottom"/>
            <w:gridSpan w:val="2"/>
          </w:tcPr>
          <w:p>
            <w:pPr>
              <w:ind w:left="480"/>
              <w:spacing w:after="0"/>
              <w:rPr>
                <w:sz w:val="20"/>
                <w:szCs w:val="20"/>
                <w:color w:val="auto"/>
              </w:rPr>
            </w:pPr>
            <w:r>
              <w:rPr>
                <w:rFonts w:ascii="Arial" w:cs="Arial" w:eastAsia="Arial" w:hAnsi="Arial"/>
                <w:sz w:val="16"/>
                <w:szCs w:val="16"/>
                <w:b w:val="1"/>
                <w:bCs w:val="1"/>
                <w:color w:val="auto"/>
              </w:rPr>
              <w:t>Total</w:t>
            </w:r>
          </w:p>
        </w:tc>
        <w:tc>
          <w:tcPr>
            <w:tcW w:w="8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883</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0" w:type="dxa"/>
            <w:vAlign w:val="bottom"/>
            <w:tcBorders>
              <w:bottom w:val="single" w:sz="8" w:color="auto"/>
            </w:tcBorders>
          </w:tcPr>
          <w:p>
            <w:pPr>
              <w:spacing w:after="0"/>
              <w:rPr>
                <w:sz w:val="17"/>
                <w:szCs w:val="17"/>
                <w:color w:val="auto"/>
              </w:rPr>
            </w:pPr>
          </w:p>
        </w:tc>
        <w:tc>
          <w:tcPr>
            <w:tcW w:w="12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w:t>
            </w:r>
          </w:p>
        </w:tc>
        <w:tc>
          <w:tcPr>
            <w:tcW w:w="40" w:type="dxa"/>
            <w:vAlign w:val="bottom"/>
            <w:tcBorders>
              <w:bottom w:val="single" w:sz="8" w:color="auto"/>
            </w:tcBorders>
          </w:tcPr>
          <w:p>
            <w:pPr>
              <w:spacing w:after="0"/>
              <w:rPr>
                <w:sz w:val="17"/>
                <w:szCs w:val="17"/>
                <w:color w:val="auto"/>
              </w:rPr>
            </w:pPr>
          </w:p>
        </w:tc>
        <w:tc>
          <w:tcPr>
            <w:tcW w:w="100" w:type="dxa"/>
            <w:vAlign w:val="bottom"/>
            <w:gridSpan w:val="2"/>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318</w:t>
            </w: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28"/>
        </w:trPr>
        <w:tc>
          <w:tcPr>
            <w:tcW w:w="3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ind w:left="140"/>
              <w:spacing w:after="0"/>
              <w:rPr>
                <w:sz w:val="20"/>
                <w:szCs w:val="20"/>
                <w:color w:val="auto"/>
              </w:rPr>
            </w:pPr>
            <w:r>
              <w:rPr>
                <w:rFonts w:ascii="Arial" w:cs="Arial" w:eastAsia="Arial" w:hAnsi="Arial"/>
                <w:sz w:val="16"/>
                <w:szCs w:val="16"/>
                <w:b w:val="1"/>
                <w:bCs w:val="1"/>
                <w:color w:val="auto"/>
                <w:w w:val="97"/>
              </w:rPr>
              <w:t>Nine Months Ended March 31,</w:t>
            </w: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2"/>
              </w:rPr>
              <w:t>Pre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86"/>
              </w:rPr>
              <w:t>Post</w:t>
            </w:r>
          </w:p>
        </w:tc>
        <w:tc>
          <w:tcPr>
            <w:tcW w:w="10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2"/>
              </w:rPr>
              <w:t>Pre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jc w:val="center"/>
              <w:ind w:right="99"/>
              <w:spacing w:after="0" w:line="158" w:lineRule="exact"/>
              <w:rPr>
                <w:sz w:val="20"/>
                <w:szCs w:val="20"/>
                <w:color w:val="auto"/>
              </w:rPr>
            </w:pPr>
            <w:r>
              <w:rPr>
                <w:rFonts w:ascii="Arial" w:cs="Arial" w:eastAsia="Arial" w:hAnsi="Arial"/>
                <w:sz w:val="16"/>
                <w:szCs w:val="16"/>
                <w:b w:val="1"/>
                <w:bCs w:val="1"/>
                <w:color w:val="auto"/>
                <w:w w:val="86"/>
              </w:rPr>
              <w:t>Post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restart"/>
          </w:tcPr>
          <w:p>
            <w:pPr>
              <w:jc w:val="center"/>
              <w:ind w:left="139"/>
              <w:spacing w:after="0"/>
              <w:rPr>
                <w:sz w:val="20"/>
                <w:szCs w:val="20"/>
                <w:color w:val="auto"/>
              </w:rPr>
            </w:pPr>
            <w:r>
              <w:rPr>
                <w:rFonts w:ascii="Arial" w:cs="Arial" w:eastAsia="Arial" w:hAnsi="Arial"/>
                <w:sz w:val="16"/>
                <w:szCs w:val="16"/>
                <w:b w:val="1"/>
                <w:bCs w:val="1"/>
                <w:color w:val="auto"/>
                <w:w w:val="95"/>
              </w:rPr>
              <w:t>Number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Modification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right="320"/>
              <w:spacing w:after="0" w:line="162" w:lineRule="exact"/>
              <w:rPr>
                <w:sz w:val="20"/>
                <w:szCs w:val="20"/>
                <w:color w:val="auto"/>
              </w:rPr>
            </w:pPr>
            <w:r>
              <w:rPr>
                <w:rFonts w:ascii="Arial" w:cs="Arial" w:eastAsia="Arial" w:hAnsi="Arial"/>
                <w:sz w:val="16"/>
                <w:szCs w:val="16"/>
                <w:b w:val="1"/>
                <w:bCs w:val="1"/>
                <w:color w:val="auto"/>
                <w:w w:val="95"/>
              </w:rPr>
              <w:t>Modification</w:t>
            </w:r>
          </w:p>
        </w:tc>
        <w:tc>
          <w:tcPr>
            <w:tcW w:w="1080" w:type="dxa"/>
            <w:vAlign w:val="bottom"/>
            <w:gridSpan w:val="2"/>
            <w:vMerge w:val="restart"/>
          </w:tcPr>
          <w:p>
            <w:pPr>
              <w:jc w:val="center"/>
              <w:ind w:right="60"/>
              <w:spacing w:after="0"/>
              <w:rPr>
                <w:sz w:val="20"/>
                <w:szCs w:val="20"/>
                <w:color w:val="auto"/>
              </w:rPr>
            </w:pPr>
            <w:r>
              <w:rPr>
                <w:rFonts w:ascii="Arial" w:cs="Arial" w:eastAsia="Arial" w:hAnsi="Arial"/>
                <w:sz w:val="16"/>
                <w:szCs w:val="16"/>
                <w:b w:val="1"/>
                <w:bCs w:val="1"/>
                <w:color w:val="auto"/>
                <w:w w:val="95"/>
              </w:rPr>
              <w:t>Number</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5"/>
              </w:rPr>
              <w:t>Modification</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3"/>
              </w:rPr>
              <w:t>Modification</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1"/>
              </w:rPr>
              <w:t>Outstanding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right="320"/>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0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1"/>
              </w:rPr>
              <w:t>Outstanding</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3"/>
              </w:rPr>
              <w:t>Outstanding</w:t>
            </w:r>
          </w:p>
        </w:tc>
        <w:tc>
          <w:tcPr>
            <w:tcW w:w="0" w:type="dxa"/>
            <w:vAlign w:val="bottom"/>
          </w:tcPr>
          <w:p>
            <w:pPr>
              <w:spacing w:after="0"/>
              <w:rPr>
                <w:sz w:val="1"/>
                <w:szCs w:val="1"/>
                <w:color w:val="auto"/>
              </w:rPr>
            </w:pPr>
          </w:p>
        </w:tc>
      </w:tr>
      <w:tr>
        <w:trPr>
          <w:trHeight w:val="162"/>
        </w:trPr>
        <w:tc>
          <w:tcPr>
            <w:tcW w:w="3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jc w:val="center"/>
              <w:ind w:left="139"/>
              <w:spacing w:after="0" w:line="162" w:lineRule="exact"/>
              <w:rPr>
                <w:sz w:val="20"/>
                <w:szCs w:val="20"/>
                <w:color w:val="auto"/>
              </w:rPr>
            </w:pPr>
            <w:r>
              <w:rPr>
                <w:rFonts w:ascii="Arial" w:cs="Arial" w:eastAsia="Arial" w:hAnsi="Arial"/>
                <w:sz w:val="16"/>
                <w:szCs w:val="16"/>
                <w:b w:val="1"/>
                <w:bCs w:val="1"/>
                <w:color w:val="auto"/>
                <w:w w:val="92"/>
              </w:rPr>
              <w:t>of</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Recorded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tcPr>
          <w:p>
            <w:pPr>
              <w:jc w:val="center"/>
              <w:ind w:right="320"/>
              <w:spacing w:after="0" w:line="162" w:lineRule="exact"/>
              <w:rPr>
                <w:sz w:val="20"/>
                <w:szCs w:val="20"/>
                <w:color w:val="auto"/>
              </w:rPr>
            </w:pPr>
            <w:r>
              <w:rPr>
                <w:rFonts w:ascii="Arial" w:cs="Arial" w:eastAsia="Arial" w:hAnsi="Arial"/>
                <w:sz w:val="16"/>
                <w:szCs w:val="16"/>
                <w:b w:val="1"/>
                <w:bCs w:val="1"/>
                <w:color w:val="auto"/>
                <w:w w:val="89"/>
              </w:rPr>
              <w:t>Recorded</w:t>
            </w:r>
          </w:p>
        </w:tc>
        <w:tc>
          <w:tcPr>
            <w:tcW w:w="1080" w:type="dxa"/>
            <w:vAlign w:val="bottom"/>
            <w:gridSpan w:val="2"/>
          </w:tcPr>
          <w:p>
            <w:pPr>
              <w:jc w:val="center"/>
              <w:ind w:right="60"/>
              <w:spacing w:after="0" w:line="162" w:lineRule="exact"/>
              <w:rPr>
                <w:sz w:val="20"/>
                <w:szCs w:val="20"/>
                <w:color w:val="auto"/>
              </w:rPr>
            </w:pPr>
            <w:r>
              <w:rPr>
                <w:rFonts w:ascii="Arial" w:cs="Arial" w:eastAsia="Arial" w:hAnsi="Arial"/>
                <w:sz w:val="16"/>
                <w:szCs w:val="16"/>
                <w:b w:val="1"/>
                <w:bCs w:val="1"/>
                <w:color w:val="auto"/>
                <w:w w:val="92"/>
              </w:rPr>
              <w:t>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89"/>
              </w:rPr>
              <w:t>Recorded</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2"/>
              </w:rPr>
              <w:t>Recorded</w:t>
            </w:r>
          </w:p>
        </w:tc>
        <w:tc>
          <w:tcPr>
            <w:tcW w:w="0" w:type="dxa"/>
            <w:vAlign w:val="bottom"/>
          </w:tcPr>
          <w:p>
            <w:pPr>
              <w:spacing w:after="0"/>
              <w:rPr>
                <w:sz w:val="1"/>
                <w:szCs w:val="1"/>
                <w:color w:val="auto"/>
              </w:rPr>
            </w:pPr>
          </w:p>
        </w:tc>
      </w:tr>
      <w:tr>
        <w:trPr>
          <w:trHeight w:val="213"/>
        </w:trPr>
        <w:tc>
          <w:tcPr>
            <w:tcW w:w="3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center"/>
              <w:ind w:left="139"/>
              <w:spacing w:after="0"/>
              <w:rPr>
                <w:sz w:val="20"/>
                <w:szCs w:val="20"/>
                <w:color w:val="auto"/>
              </w:rPr>
            </w:pPr>
            <w:r>
              <w:rPr>
                <w:rFonts w:ascii="Arial" w:cs="Arial" w:eastAsia="Arial" w:hAnsi="Arial"/>
                <w:sz w:val="16"/>
                <w:szCs w:val="16"/>
                <w:b w:val="1"/>
                <w:bCs w:val="1"/>
                <w:color w:val="auto"/>
                <w:w w:val="89"/>
              </w:rPr>
              <w:t>Loans</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Investment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Investment</w:t>
            </w:r>
          </w:p>
        </w:tc>
        <w:tc>
          <w:tcPr>
            <w:tcW w:w="10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9"/>
              </w:rPr>
              <w:t>Loans</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Investment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9"/>
              </w:rPr>
              <w:t>Investment</w:t>
            </w:r>
          </w:p>
        </w:tc>
        <w:tc>
          <w:tcPr>
            <w:tcW w:w="0" w:type="dxa"/>
            <w:vAlign w:val="bottom"/>
          </w:tcPr>
          <w:p>
            <w:pPr>
              <w:spacing w:after="0"/>
              <w:rPr>
                <w:sz w:val="1"/>
                <w:szCs w:val="1"/>
                <w:color w:val="auto"/>
              </w:rPr>
            </w:pPr>
          </w:p>
        </w:tc>
      </w:tr>
      <w:tr>
        <w:trPr>
          <w:trHeight w:val="199"/>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Below market interest rate:</w:t>
            </w:r>
          </w:p>
        </w:tc>
        <w:tc>
          <w:tcPr>
            <w:tcW w:w="860" w:type="dxa"/>
            <w:vAlign w:val="bottom"/>
            <w:tcBorders>
              <w:top w:val="single" w:sz="8" w:color="auto"/>
            </w:tcBorders>
            <w:gridSpan w:val="2"/>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040" w:type="dxa"/>
            <w:vAlign w:val="bottom"/>
            <w:gridSpan w:val="3"/>
          </w:tcPr>
          <w:p>
            <w:pPr>
              <w:ind w:left="140"/>
              <w:spacing w:after="0"/>
              <w:rPr>
                <w:sz w:val="20"/>
                <w:szCs w:val="20"/>
                <w:color w:val="auto"/>
              </w:rPr>
            </w:pPr>
            <w:r>
              <w:rPr>
                <w:rFonts w:ascii="Arial" w:cs="Arial" w:eastAsia="Arial" w:hAnsi="Arial"/>
                <w:sz w:val="16"/>
                <w:szCs w:val="16"/>
                <w:color w:val="auto"/>
              </w:rPr>
              <w:t>Retail consumer:</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One-to-four family</w:t>
            </w:r>
          </w:p>
        </w:tc>
        <w:tc>
          <w:tcPr>
            <w:tcW w:w="860" w:type="dxa"/>
            <w:vAlign w:val="bottom"/>
            <w:tcBorders>
              <w:bottom w:val="single" w:sz="8" w:color="auto"/>
            </w:tcBorders>
            <w:gridSpan w:val="2"/>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180" w:type="dxa"/>
            <w:vAlign w:val="bottom"/>
          </w:tcPr>
          <w:p>
            <w:pPr>
              <w:ind w:left="480"/>
              <w:spacing w:after="0"/>
              <w:rPr>
                <w:sz w:val="20"/>
                <w:szCs w:val="20"/>
                <w:color w:val="auto"/>
              </w:rPr>
            </w:pPr>
            <w:r>
              <w:rPr>
                <w:rFonts w:ascii="Arial" w:cs="Arial" w:eastAsia="Arial" w:hAnsi="Arial"/>
                <w:sz w:val="16"/>
                <w:szCs w:val="16"/>
                <w:b w:val="1"/>
                <w:bCs w:val="1"/>
                <w:color w:val="auto"/>
              </w:rPr>
              <w:t>Total below market interest rate</w:t>
            </w:r>
          </w:p>
        </w:tc>
        <w:tc>
          <w:tcPr>
            <w:tcW w:w="860" w:type="dxa"/>
            <w:vAlign w:val="bottom"/>
            <w:gridSpan w:val="2"/>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Extended payment terms:</w:t>
            </w:r>
          </w:p>
        </w:tc>
        <w:tc>
          <w:tcPr>
            <w:tcW w:w="860" w:type="dxa"/>
            <w:vAlign w:val="bottom"/>
            <w:tcBorders>
              <w:top w:val="single" w:sz="8" w:color="auto"/>
            </w:tcBorders>
            <w:gridSpan w:val="2"/>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180" w:type="dxa"/>
            <w:vAlign w:val="bottom"/>
            <w:shd w:val="clear" w:color="auto" w:fill="CCEEFF"/>
          </w:tcPr>
          <w:p>
            <w:pPr>
              <w:spacing w:after="0"/>
              <w:rPr>
                <w:sz w:val="6"/>
                <w:szCs w:val="6"/>
                <w:color w:val="auto"/>
              </w:rPr>
            </w:pPr>
          </w:p>
        </w:tc>
        <w:tc>
          <w:tcPr>
            <w:tcW w:w="860" w:type="dxa"/>
            <w:vAlign w:val="bottom"/>
            <w:gridSpan w:val="2"/>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040" w:type="dxa"/>
            <w:vAlign w:val="bottom"/>
            <w:gridSpan w:val="3"/>
          </w:tcPr>
          <w:p>
            <w:pPr>
              <w:ind w:left="140"/>
              <w:spacing w:after="0"/>
              <w:rPr>
                <w:sz w:val="20"/>
                <w:szCs w:val="20"/>
                <w:color w:val="auto"/>
              </w:rPr>
            </w:pPr>
            <w:r>
              <w:rPr>
                <w:rFonts w:ascii="Arial" w:cs="Arial" w:eastAsia="Arial" w:hAnsi="Arial"/>
                <w:sz w:val="16"/>
                <w:szCs w:val="16"/>
                <w:color w:val="auto"/>
              </w:rPr>
              <w:t>Retail consumer:</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18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One-to-four family</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HELOCs - originated</w:t>
            </w:r>
          </w:p>
        </w:tc>
        <w:tc>
          <w:tcPr>
            <w:tcW w:w="86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shd w:val="clear" w:color="auto" w:fill="CCEEFF"/>
          </w:tcPr>
          <w:p>
            <w:pPr>
              <w:ind w:left="480"/>
              <w:spacing w:after="0"/>
              <w:rPr>
                <w:sz w:val="20"/>
                <w:szCs w:val="20"/>
                <w:color w:val="auto"/>
              </w:rPr>
            </w:pPr>
            <w:r>
              <w:rPr>
                <w:rFonts w:ascii="Arial" w:cs="Arial" w:eastAsia="Arial" w:hAnsi="Arial"/>
                <w:sz w:val="16"/>
                <w:szCs w:val="16"/>
                <w:b w:val="1"/>
                <w:bCs w:val="1"/>
                <w:color w:val="auto"/>
              </w:rPr>
              <w:t>Total extended payment terms</w:t>
            </w:r>
          </w:p>
        </w:tc>
        <w:tc>
          <w:tcPr>
            <w:tcW w:w="8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180" w:type="dxa"/>
            <w:vAlign w:val="bottom"/>
          </w:tcPr>
          <w:p>
            <w:pPr>
              <w:ind w:left="20"/>
              <w:spacing w:after="0"/>
              <w:rPr>
                <w:sz w:val="20"/>
                <w:szCs w:val="20"/>
                <w:color w:val="auto"/>
              </w:rPr>
            </w:pPr>
            <w:r>
              <w:rPr>
                <w:rFonts w:ascii="Arial" w:cs="Arial" w:eastAsia="Arial" w:hAnsi="Arial"/>
                <w:sz w:val="16"/>
                <w:szCs w:val="16"/>
                <w:b w:val="1"/>
                <w:bCs w:val="1"/>
                <w:color w:val="auto"/>
              </w:rPr>
              <w:t>Other TDRs:</w:t>
            </w:r>
          </w:p>
        </w:tc>
        <w:tc>
          <w:tcPr>
            <w:tcW w:w="860" w:type="dxa"/>
            <w:vAlign w:val="bottom"/>
            <w:tcBorders>
              <w:top w:val="single" w:sz="8" w:color="auto"/>
            </w:tcBorders>
            <w:gridSpan w:val="2"/>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3180" w:type="dxa"/>
            <w:vAlign w:val="bottom"/>
          </w:tcPr>
          <w:p>
            <w:pPr>
              <w:spacing w:after="0"/>
              <w:rPr>
                <w:sz w:val="6"/>
                <w:szCs w:val="6"/>
                <w:color w:val="auto"/>
              </w:rPr>
            </w:pPr>
          </w:p>
        </w:tc>
        <w:tc>
          <w:tcPr>
            <w:tcW w:w="860" w:type="dxa"/>
            <w:vAlign w:val="bottom"/>
            <w:gridSpan w:val="2"/>
          </w:tcPr>
          <w:p>
            <w:pPr>
              <w:spacing w:after="0"/>
              <w:rPr>
                <w:sz w:val="6"/>
                <w:szCs w:val="6"/>
                <w:color w:val="auto"/>
              </w:rPr>
            </w:pPr>
          </w:p>
        </w:tc>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Commercial:</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gridSpan w:val="3"/>
          </w:tcPr>
          <w:p>
            <w:pPr>
              <w:ind w:left="260"/>
              <w:spacing w:after="0"/>
              <w:rPr>
                <w:sz w:val="20"/>
                <w:szCs w:val="20"/>
                <w:color w:val="auto"/>
              </w:rPr>
            </w:pPr>
            <w:r>
              <w:rPr>
                <w:rFonts w:ascii="Arial" w:cs="Arial" w:eastAsia="Arial" w:hAnsi="Arial"/>
                <w:sz w:val="16"/>
                <w:szCs w:val="16"/>
                <w:color w:val="auto"/>
              </w:rPr>
              <w:t>Commercial real estate</w:t>
            </w:r>
          </w:p>
        </w:tc>
        <w:tc>
          <w:tcPr>
            <w:tcW w:w="260" w:type="dxa"/>
            <w:vAlign w:val="bottom"/>
            <w:gridSpan w:val="2"/>
          </w:tcPr>
          <w:p>
            <w:pPr>
              <w:jc w:val="right"/>
              <w:ind w:right="10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4,408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Commercial and industrial</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40" w:type="dxa"/>
            <w:vAlign w:val="bottom"/>
            <w:gridSpan w:val="3"/>
          </w:tcPr>
          <w:p>
            <w:pPr>
              <w:ind w:left="140"/>
              <w:spacing w:after="0"/>
              <w:rPr>
                <w:sz w:val="20"/>
                <w:szCs w:val="20"/>
                <w:color w:val="auto"/>
              </w:rPr>
            </w:pPr>
            <w:r>
              <w:rPr>
                <w:rFonts w:ascii="Arial" w:cs="Arial" w:eastAsia="Arial" w:hAnsi="Arial"/>
                <w:sz w:val="16"/>
                <w:szCs w:val="16"/>
                <w:color w:val="auto"/>
              </w:rPr>
              <w:t>Retail consumer:</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3180" w:type="dxa"/>
            <w:vAlign w:val="bottom"/>
          </w:tcPr>
          <w:p>
            <w:pPr>
              <w:spacing w:after="0"/>
              <w:rPr>
                <w:sz w:val="5"/>
                <w:szCs w:val="5"/>
                <w:color w:val="auto"/>
              </w:rPr>
            </w:pPr>
          </w:p>
        </w:tc>
        <w:tc>
          <w:tcPr>
            <w:tcW w:w="86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One-to-four family</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40" w:type="dxa"/>
            <w:vAlign w:val="bottom"/>
            <w:gridSpan w:val="3"/>
          </w:tcPr>
          <w:p>
            <w:pPr>
              <w:ind w:left="260"/>
              <w:spacing w:after="0"/>
              <w:rPr>
                <w:sz w:val="20"/>
                <w:szCs w:val="20"/>
                <w:color w:val="auto"/>
              </w:rPr>
            </w:pPr>
            <w:r>
              <w:rPr>
                <w:rFonts w:ascii="Arial" w:cs="Arial" w:eastAsia="Arial" w:hAnsi="Arial"/>
                <w:sz w:val="16"/>
                <w:szCs w:val="16"/>
                <w:color w:val="auto"/>
              </w:rPr>
              <w:t>HELOCs - originated</w:t>
            </w:r>
          </w:p>
        </w:tc>
        <w:tc>
          <w:tcPr>
            <w:tcW w:w="24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4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Construction and land/lots</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040" w:type="dxa"/>
            <w:vAlign w:val="bottom"/>
            <w:gridSpan w:val="3"/>
          </w:tcPr>
          <w:p>
            <w:pPr>
              <w:ind w:left="260"/>
              <w:spacing w:after="0"/>
              <w:rPr>
                <w:sz w:val="20"/>
                <w:szCs w:val="20"/>
                <w:color w:val="auto"/>
              </w:rPr>
            </w:pPr>
            <w:r>
              <w:rPr>
                <w:rFonts w:ascii="Arial" w:cs="Arial" w:eastAsia="Arial" w:hAnsi="Arial"/>
                <w:sz w:val="16"/>
                <w:szCs w:val="16"/>
                <w:color w:val="auto"/>
              </w:rPr>
              <w:t>Indirect auto finance</w:t>
            </w:r>
          </w:p>
        </w:tc>
        <w:tc>
          <w:tcPr>
            <w:tcW w:w="24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b w:val="1"/>
                <w:bCs w:val="1"/>
                <w:color w:val="auto"/>
              </w:rPr>
              <w:t>Total other TDRs</w:t>
            </w:r>
          </w:p>
        </w:tc>
        <w:tc>
          <w:tcPr>
            <w:tcW w:w="860" w:type="dxa"/>
            <w:vAlign w:val="bottom"/>
            <w:tcBorders>
              <w:top w:val="single" w:sz="8" w:color="auto"/>
              <w:bottom w:val="single" w:sz="8" w:color="auto"/>
            </w:tcBorders>
            <w:gridSpan w:val="2"/>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8"/>
              </w:rPr>
              <w:t>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5,105</w:t>
            </w: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180" w:type="dxa"/>
            <w:vAlign w:val="bottom"/>
          </w:tcPr>
          <w:p>
            <w:pPr>
              <w:ind w:left="480"/>
              <w:spacing w:after="0"/>
              <w:rPr>
                <w:sz w:val="20"/>
                <w:szCs w:val="20"/>
                <w:color w:val="auto"/>
              </w:rPr>
            </w:pPr>
            <w:r>
              <w:rPr>
                <w:rFonts w:ascii="Arial" w:cs="Arial" w:eastAsia="Arial" w:hAnsi="Arial"/>
                <w:sz w:val="16"/>
                <w:szCs w:val="16"/>
                <w:b w:val="1"/>
                <w:bCs w:val="1"/>
                <w:color w:val="auto"/>
              </w:rPr>
              <w:t>Total</w:t>
            </w:r>
          </w:p>
        </w:tc>
        <w:tc>
          <w:tcPr>
            <w:tcW w:w="860" w:type="dxa"/>
            <w:vAlign w:val="bottom"/>
            <w:gridSpan w:val="2"/>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6"/>
                <w:szCs w:val="16"/>
                <w:color w:val="auto"/>
                <w:w w:val="78"/>
              </w:rPr>
              <w:t>11</w:t>
            </w:r>
          </w:p>
        </w:tc>
        <w:tc>
          <w:tcPr>
            <w:tcW w:w="2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1,250</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1,233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w:t>
            </w:r>
          </w:p>
        </w:tc>
        <w:tc>
          <w:tcPr>
            <w:tcW w:w="2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5,105</w:t>
            </w:r>
          </w:p>
        </w:tc>
        <w:tc>
          <w:tcPr>
            <w:tcW w:w="40" w:type="dxa"/>
            <w:vAlign w:val="bottom"/>
          </w:tcPr>
          <w:p>
            <w:pPr>
              <w:spacing w:after="0"/>
              <w:rPr>
                <w:sz w:val="17"/>
                <w:szCs w:val="17"/>
                <w:color w:val="auto"/>
              </w:rPr>
            </w:pPr>
          </w:p>
        </w:tc>
        <w:tc>
          <w:tcPr>
            <w:tcW w:w="2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5,071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15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155"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45" w:lineRule="exact"/>
        <w:rPr>
          <w:sz w:val="20"/>
          <w:szCs w:val="20"/>
          <w:color w:val="auto"/>
        </w:rPr>
      </w:pPr>
    </w:p>
    <w:p>
      <w:pPr>
        <w:ind w:right="460"/>
        <w:spacing w:after="0"/>
        <w:rPr>
          <w:sz w:val="20"/>
          <w:szCs w:val="20"/>
          <w:color w:val="auto"/>
        </w:rPr>
      </w:pPr>
      <w:r>
        <w:rPr>
          <w:rFonts w:ascii="Arial" w:cs="Arial" w:eastAsia="Arial" w:hAnsi="Arial"/>
          <w:sz w:val="16"/>
          <w:szCs w:val="16"/>
          <w:color w:val="auto"/>
        </w:rPr>
        <w:t>The following table presents loans that were modified as TDRs within the previous 12 months and for which there was a payment default during the periods indicated below:</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20" w:type="dxa"/>
            <w:vAlign w:val="bottom"/>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210"/>
        </w:trPr>
        <w:tc>
          <w:tcPr>
            <w:tcW w:w="6220" w:type="dxa"/>
            <w:vAlign w:val="bottom"/>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r>
      <w:tr>
        <w:trPr>
          <w:trHeight w:val="158"/>
        </w:trPr>
        <w:tc>
          <w:tcPr>
            <w:tcW w:w="6220" w:type="dxa"/>
            <w:vAlign w:val="bottom"/>
          </w:tcPr>
          <w:p>
            <w:pPr>
              <w:spacing w:after="0"/>
              <w:rPr>
                <w:sz w:val="13"/>
                <w:szCs w:val="13"/>
                <w:color w:val="auto"/>
              </w:rPr>
            </w:pPr>
          </w:p>
        </w:tc>
        <w:tc>
          <w:tcPr>
            <w:tcW w:w="128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9"/>
              </w:rPr>
              <w:t>Recorded</w:t>
            </w: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3"/>
                <w:szCs w:val="13"/>
                <w:color w:val="auto"/>
              </w:rPr>
            </w:pPr>
          </w:p>
        </w:tc>
        <w:tc>
          <w:tcPr>
            <w:tcW w:w="10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89"/>
              </w:rPr>
              <w:t>Recorded</w:t>
            </w:r>
          </w:p>
        </w:tc>
      </w:tr>
      <w:tr>
        <w:trPr>
          <w:trHeight w:val="213"/>
        </w:trPr>
        <w:tc>
          <w:tcPr>
            <w:tcW w:w="62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Loans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2"/>
              </w:rPr>
              <w:t>Investment</w:t>
            </w: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Loans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Investment</w:t>
            </w:r>
          </w:p>
        </w:tc>
      </w:tr>
      <w:tr>
        <w:trPr>
          <w:trHeight w:val="193"/>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TDRs:</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73"/>
        </w:trPr>
        <w:tc>
          <w:tcPr>
            <w:tcW w:w="62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210"/>
        </w:trPr>
        <w:tc>
          <w:tcPr>
            <w:tcW w:w="6220" w:type="dxa"/>
            <w:vAlign w:val="bottom"/>
          </w:tcPr>
          <w:p>
            <w:pPr>
              <w:ind w:left="140"/>
              <w:spacing w:after="0"/>
              <w:rPr>
                <w:sz w:val="20"/>
                <w:szCs w:val="20"/>
                <w:color w:val="auto"/>
              </w:rPr>
            </w:pPr>
            <w:r>
              <w:rPr>
                <w:rFonts w:ascii="Arial" w:cs="Arial" w:eastAsia="Arial" w:hAnsi="Arial"/>
                <w:sz w:val="16"/>
                <w:szCs w:val="16"/>
                <w:color w:val="auto"/>
              </w:rPr>
              <w:t>Retail consumer:</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0"/>
        </w:trPr>
        <w:tc>
          <w:tcPr>
            <w:tcW w:w="6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Indirect auto finance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6220" w:type="dxa"/>
            <w:vAlign w:val="bottom"/>
          </w:tcPr>
          <w:p>
            <w:pPr>
              <w:ind w:left="480"/>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3"/>
        </w:trPr>
        <w:tc>
          <w:tcPr>
            <w:tcW w:w="6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5"/>
        </w:trPr>
        <w:tc>
          <w:tcPr>
            <w:tcW w:w="62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Nine Months Ended March 31,</w:t>
            </w: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10"/>
        </w:trPr>
        <w:tc>
          <w:tcPr>
            <w:tcW w:w="6220" w:type="dxa"/>
            <w:vAlign w:val="bottom"/>
          </w:tcPr>
          <w:p>
            <w:pPr>
              <w:spacing w:after="0"/>
              <w:rPr>
                <w:sz w:val="18"/>
                <w:szCs w:val="18"/>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2022</w:t>
            </w: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2021</w:t>
            </w:r>
          </w:p>
        </w:tc>
        <w:tc>
          <w:tcPr>
            <w:tcW w:w="1020" w:type="dxa"/>
            <w:vAlign w:val="bottom"/>
            <w:tcBorders>
              <w:bottom w:val="single" w:sz="8" w:color="auto"/>
            </w:tcBorders>
          </w:tcPr>
          <w:p>
            <w:pPr>
              <w:spacing w:after="0"/>
              <w:rPr>
                <w:sz w:val="18"/>
                <w:szCs w:val="18"/>
                <w:color w:val="auto"/>
              </w:rPr>
            </w:pPr>
          </w:p>
        </w:tc>
      </w:tr>
      <w:tr>
        <w:trPr>
          <w:trHeight w:val="158"/>
        </w:trPr>
        <w:tc>
          <w:tcPr>
            <w:tcW w:w="6220" w:type="dxa"/>
            <w:vAlign w:val="bottom"/>
          </w:tcPr>
          <w:p>
            <w:pPr>
              <w:spacing w:after="0"/>
              <w:rPr>
                <w:sz w:val="13"/>
                <w:szCs w:val="13"/>
                <w:color w:val="auto"/>
              </w:rPr>
            </w:pPr>
          </w:p>
        </w:tc>
        <w:tc>
          <w:tcPr>
            <w:tcW w:w="128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4"/>
              </w:rPr>
              <w:t>Number of</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89"/>
              </w:rPr>
              <w:t>Recorded</w:t>
            </w:r>
          </w:p>
        </w:tc>
        <w:tc>
          <w:tcPr>
            <w:tcW w:w="1280" w:type="dxa"/>
            <w:vAlign w:val="bottom"/>
            <w:gridSpan w:val="2"/>
          </w:tcPr>
          <w:p>
            <w:pPr>
              <w:jc w:val="center"/>
              <w:ind w:right="100"/>
              <w:spacing w:after="0" w:line="158" w:lineRule="exact"/>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3"/>
                <w:szCs w:val="13"/>
                <w:color w:val="auto"/>
              </w:rPr>
            </w:pPr>
          </w:p>
        </w:tc>
        <w:tc>
          <w:tcPr>
            <w:tcW w:w="1020" w:type="dxa"/>
            <w:vAlign w:val="bottom"/>
          </w:tcPr>
          <w:p>
            <w:pPr>
              <w:jc w:val="center"/>
              <w:ind w:right="79"/>
              <w:spacing w:after="0" w:line="158" w:lineRule="exact"/>
              <w:rPr>
                <w:sz w:val="20"/>
                <w:szCs w:val="20"/>
                <w:color w:val="auto"/>
              </w:rPr>
            </w:pPr>
            <w:r>
              <w:rPr>
                <w:rFonts w:ascii="Arial" w:cs="Arial" w:eastAsia="Arial" w:hAnsi="Arial"/>
                <w:sz w:val="16"/>
                <w:szCs w:val="16"/>
                <w:b w:val="1"/>
                <w:bCs w:val="1"/>
                <w:color w:val="auto"/>
                <w:w w:val="89"/>
              </w:rPr>
              <w:t>Recorded</w:t>
            </w:r>
          </w:p>
        </w:tc>
      </w:tr>
      <w:tr>
        <w:trPr>
          <w:trHeight w:val="213"/>
        </w:trPr>
        <w:tc>
          <w:tcPr>
            <w:tcW w:w="62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Loans</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2"/>
              </w:rPr>
              <w:t>Investment</w:t>
            </w:r>
          </w:p>
        </w:tc>
        <w:tc>
          <w:tcPr>
            <w:tcW w:w="12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89"/>
              </w:rPr>
              <w:t>Loans</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Investment</w:t>
            </w:r>
          </w:p>
        </w:tc>
      </w:tr>
      <w:tr>
        <w:trPr>
          <w:trHeight w:val="193"/>
        </w:trPr>
        <w:tc>
          <w:tcPr>
            <w:tcW w:w="6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TDRs:</w:t>
            </w: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73"/>
        </w:trPr>
        <w:tc>
          <w:tcPr>
            <w:tcW w:w="62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210"/>
        </w:trPr>
        <w:tc>
          <w:tcPr>
            <w:tcW w:w="6220" w:type="dxa"/>
            <w:vAlign w:val="bottom"/>
          </w:tcPr>
          <w:p>
            <w:pPr>
              <w:ind w:left="140"/>
              <w:spacing w:after="0"/>
              <w:rPr>
                <w:sz w:val="20"/>
                <w:szCs w:val="20"/>
                <w:color w:val="auto"/>
              </w:rPr>
            </w:pPr>
            <w:r>
              <w:rPr>
                <w:rFonts w:ascii="Arial" w:cs="Arial" w:eastAsia="Arial" w:hAnsi="Arial"/>
                <w:sz w:val="16"/>
                <w:szCs w:val="16"/>
                <w:color w:val="auto"/>
              </w:rPr>
              <w:t>Retail consumer:</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60"/>
        </w:trPr>
        <w:tc>
          <w:tcPr>
            <w:tcW w:w="62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Indirect auto finance</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7"/>
        </w:trPr>
        <w:tc>
          <w:tcPr>
            <w:tcW w:w="6220" w:type="dxa"/>
            <w:vAlign w:val="bottom"/>
          </w:tcPr>
          <w:p>
            <w:pPr>
              <w:ind w:left="480"/>
              <w:spacing w:after="0"/>
              <w:rPr>
                <w:sz w:val="20"/>
                <w:szCs w:val="20"/>
                <w:color w:val="auto"/>
              </w:rPr>
            </w:pPr>
            <w:r>
              <w:rPr>
                <w:rFonts w:ascii="Arial" w:cs="Arial" w:eastAsia="Arial" w:hAnsi="Arial"/>
                <w:sz w:val="16"/>
                <w:szCs w:val="16"/>
                <w:b w:val="1"/>
                <w:bCs w:val="1"/>
                <w:color w:val="auto"/>
              </w:rPr>
              <w:t>Total</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r>
      <w:tr>
        <w:trPr>
          <w:trHeight w:val="23"/>
        </w:trPr>
        <w:tc>
          <w:tcPr>
            <w:tcW w:w="62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bl>
    <w:p>
      <w:pPr>
        <w:spacing w:after="0" w:line="9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Other TDRs include TDRs that have a below market interest rate and extended payment terms. The Company does not typically forgive principal when restructuring troubled debt.</w:t>
      </w:r>
    </w:p>
    <w:p>
      <w:pPr>
        <w:spacing w:after="0" w:line="105"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In determining the ACL, management considers TDRs for all loan classes, and the subsequent nonperformance in accordance with their modified terms, by measuring a reserve on a loan-by-loan basis based on either the value of the loan's expected future cash flows discounted at the loan's original effective interest rate or on the collateral value, net of the estimated costs of disposal, if the loan is collateral dependent.</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Off-Balance-Sheet Credit Exposure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Company maintains a separate reserve for credit losses on off-balance-sheet credit exposures, including unfunded loan commitments, which is included in other liabilities on the consolidated balance sheet. The reserve for credit losses on off-balance-sheet credit exposures is adjusted as a provision for credit losses in the consolidated statement of income. The estimate includes consideration of the likelihood that funding will occur and an estimate of ECLs on commitments expected to be funded over its estimated life, utilizing the same models and approaches for the Company's other loan portfolio segments described above, as these unfunded commitments share similar risk characteristics as its loan portfolio segments. The Company has identified the unfunded portion of certain lines of credit as unconditionally cancellable credit exposures, meaning the Company can cancel the unfunded commitment at any time. No credit loss estimate is reported for off-balance-sheet credit exposures that are unconditionally cancellable by the Company or for undrawn amounts under such arrangements that may be drawn prior to the cancellation of the arrangement. At March 31, 2022, the allowance for credit losses on off-balance-sheet credit exposures included in other liabilities was $2,738.</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Modifications in Response to COVID-19</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Beginning in March 2020, the Company began offering short-term loan modifications to assist borrowers during the COVID-19 pandemic. The CARES Act along with a joint agency statement issued by banking agencies and confirmed by FASB staff that short-term modifications made in response to COVID-19 were not considered TDRs; however, the relief offered by the CARES Act ended December 31, 2021.</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Bank offered payment and financial relief programs for borrowers impacted by COVID-19. These programs included loan payment deferrals for up to 90 days (which could be renewed for another 90 days under certain circumstances), waived late fees, and suspension of foreclosure proceedings and repossessions. Since March 2020, the Company received numerous requests from borrowers for some type of payment relief; however, the majority of these payment deferrals have ended and borrowers are again making regular loan payments.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As of March 31, 2022, the Company had no loans with full principal and interest payment deferrals related to COVID-19 which had been granted prior to January 1, 2022, compared to $107 at June 30, 2021. All loans placed on full payment deferral during the pandemic have come out of deferral and borrowers are either making regular loan payments or interest-only payments. As of March 31, 2022, the Company had $9,605 in commercial loan deferrals on interest-only payments compared to $78,850 at June 30, 2021.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4"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Net Income per Share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numerator and denominator of basic and diluted net income per share of common stock as of the dates indicated: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Pr>
          <w:p>
            <w:pPr>
              <w:spacing w:after="0"/>
              <w:rPr>
                <w:sz w:val="18"/>
                <w:szCs w:val="18"/>
                <w:color w:val="auto"/>
              </w:rPr>
            </w:pPr>
          </w:p>
        </w:tc>
        <w:tc>
          <w:tcPr>
            <w:tcW w:w="23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Nine Months Ended March 31,</w:t>
            </w:r>
          </w:p>
        </w:tc>
        <w:tc>
          <w:tcPr>
            <w:tcW w:w="0" w:type="dxa"/>
            <w:vAlign w:val="bottom"/>
          </w:tcPr>
          <w:p>
            <w:pPr>
              <w:spacing w:after="0"/>
              <w:rPr>
                <w:sz w:val="1"/>
                <w:szCs w:val="1"/>
                <w:color w:val="auto"/>
              </w:rPr>
            </w:pPr>
          </w:p>
        </w:tc>
      </w:tr>
      <w:tr>
        <w:trPr>
          <w:trHeight w:val="210"/>
        </w:trPr>
        <w:tc>
          <w:tcPr>
            <w:tcW w:w="6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Numerator:</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8,023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7,869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29,628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23,083</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Allocation of earnings to participating securities</w:t>
            </w: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2"/>
        </w:trPr>
        <w:tc>
          <w:tcPr>
            <w:tcW w:w="6180" w:type="dxa"/>
            <w:vAlign w:val="bottom"/>
          </w:tcPr>
          <w:p>
            <w:pPr>
              <w:ind w:left="300"/>
              <w:spacing w:after="0"/>
              <w:rPr>
                <w:sz w:val="20"/>
                <w:szCs w:val="20"/>
                <w:color w:val="auto"/>
              </w:rPr>
            </w:pPr>
            <w:r>
              <w:rPr>
                <w:rFonts w:ascii="Arial" w:cs="Arial" w:eastAsia="Arial" w:hAnsi="Arial"/>
                <w:sz w:val="16"/>
                <w:szCs w:val="16"/>
                <w:color w:val="auto"/>
              </w:rPr>
              <w:t>Numerator for basic EPS - Net income available to common stockholders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29,374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22,874</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Effect of dilutive securities:</w:t>
            </w: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300"/>
              <w:spacing w:after="0"/>
              <w:rPr>
                <w:sz w:val="20"/>
                <w:szCs w:val="20"/>
                <w:color w:val="auto"/>
              </w:rPr>
            </w:pPr>
            <w:r>
              <w:rPr>
                <w:rFonts w:ascii="Arial" w:cs="Arial" w:eastAsia="Arial" w:hAnsi="Arial"/>
                <w:sz w:val="16"/>
                <w:szCs w:val="16"/>
                <w:color w:val="auto"/>
              </w:rPr>
              <w:t>Dilutive effect of participating securities</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8"/>
        </w:trPr>
        <w:tc>
          <w:tcPr>
            <w:tcW w:w="6180" w:type="dxa"/>
            <w:vAlign w:val="bottom"/>
            <w:tcBorders>
              <w:top w:val="single" w:sz="8" w:color="CCEEFF"/>
              <w:bottom w:val="single" w:sz="8" w:color="CCEEFF"/>
            </w:tcBorders>
            <w:shd w:val="clear" w:color="auto" w:fill="CCEEFF"/>
          </w:tcPr>
          <w:p>
            <w:pPr>
              <w:ind w:left="400"/>
              <w:spacing w:after="0"/>
              <w:rPr>
                <w:sz w:val="20"/>
                <w:szCs w:val="20"/>
                <w:color w:val="auto"/>
              </w:rPr>
            </w:pPr>
            <w:r>
              <w:rPr>
                <w:rFonts w:ascii="Arial" w:cs="Arial" w:eastAsia="Arial" w:hAnsi="Arial"/>
                <w:sz w:val="16"/>
                <w:szCs w:val="16"/>
                <w:color w:val="auto"/>
              </w:rPr>
              <w:t>Numerator for diluted EPS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7,799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29,374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22,876</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Denominator:</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7"/>
        </w:trPr>
        <w:tc>
          <w:tcPr>
            <w:tcW w:w="6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common shares outstanding - basic</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15,523,813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15,979,590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15,666,093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16,139,059</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Dilutive effect of assumed exercises of stock options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269,199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506,128</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331,284</w:t>
            </w: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200,071</w:t>
            </w:r>
          </w:p>
        </w:tc>
        <w:tc>
          <w:tcPr>
            <w:tcW w:w="0" w:type="dxa"/>
            <w:vAlign w:val="bottom"/>
          </w:tcPr>
          <w:p>
            <w:pPr>
              <w:spacing w:after="0"/>
              <w:rPr>
                <w:sz w:val="1"/>
                <w:szCs w:val="1"/>
                <w:color w:val="auto"/>
              </w:rPr>
            </w:pPr>
          </w:p>
        </w:tc>
      </w:tr>
      <w:tr>
        <w:trPr>
          <w:trHeight w:val="238"/>
        </w:trPr>
        <w:tc>
          <w:tcPr>
            <w:tcW w:w="6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Weighted-average common shares outstanding - diluted</w:t>
            </w:r>
          </w:p>
        </w:tc>
        <w:tc>
          <w:tcPr>
            <w:tcW w:w="1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15,793,012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16,485,718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15,997,377</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16,339,130</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Net income per share - basic</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180" w:type="dxa"/>
            <w:vAlign w:val="bottom"/>
            <w:vMerge w:val="continue"/>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0.51</w:t>
            </w:r>
          </w:p>
        </w:tc>
        <w:tc>
          <w:tcPr>
            <w:tcW w:w="100" w:type="dxa"/>
            <w:vAlign w:val="bottom"/>
          </w:tcPr>
          <w:p>
            <w:pPr>
              <w:spacing w:after="0"/>
              <w:rPr>
                <w:sz w:val="16"/>
                <w:szCs w:val="16"/>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1.87</w:t>
            </w:r>
          </w:p>
        </w:tc>
        <w:tc>
          <w:tcPr>
            <w:tcW w:w="80" w:type="dxa"/>
            <w:vAlign w:val="bottom"/>
          </w:tcPr>
          <w:p>
            <w:pPr>
              <w:spacing w:after="0"/>
              <w:rPr>
                <w:sz w:val="16"/>
                <w:szCs w:val="16"/>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per share -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Potential dilutive shares are excluded from the computation of earnings per share if their effect is anti-dilutive. There were 47,850 and 95,350 stock options that were anti-dilutive for the three and nine months ended March 31, 2022, respectively. There were 524,850 stock options that were anti-dilutive for each of the three and nine months ended March 31, 2021.</w:t>
      </w:r>
    </w:p>
    <w:p>
      <w:pPr>
        <w:spacing w:after="0" w:line="125"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Equity Incentive Plan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provides stock-based awards through the 2013 Omnibus Incentive Plan, which provides for awards of restricted stock, restricted stock units, stock options, stock appreciation rights and cash awards to directors, directors emeritus, officers, employees and advisory directors. The cost of equity-based awards under the 2013 Omnibus Incentive Plan generally is based on the fair value of the awards on their grant date. The maximum number of shares that may be utilized for awards under the plan is 2,962,400, including 2,116,000 for stock options and stock appreciation rights and 846,400 for awards of restricted stock and restricted stock units. Shares of common stock issued under the plan would be issued out of authorized but unissued shares, some or all of which may be repurchased shares. The Company repurchased a number of shares on the open market sufficient to cover awards of restricted stock and restricted stock units available to be granted under the 2013 Omnibus Incentive Plan, for $13,297, at an average cost of $15.71 per share during the year ended June 30, 2013.</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share-based compensation expense and the estimated related tax benefit for stock options and restricted stock for the three and nine months ended</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March 31, 2022 and 2021,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40" w:type="dxa"/>
            <w:vAlign w:val="bottom"/>
          </w:tcPr>
          <w:p>
            <w:pPr>
              <w:spacing w:after="0"/>
              <w:rPr>
                <w:sz w:val="18"/>
                <w:szCs w:val="18"/>
                <w:color w:val="auto"/>
              </w:rPr>
            </w:pPr>
          </w:p>
        </w:tc>
        <w:tc>
          <w:tcPr>
            <w:tcW w:w="2640" w:type="dxa"/>
            <w:vAlign w:val="bottom"/>
            <w:gridSpan w:val="6"/>
          </w:tcPr>
          <w:p>
            <w:pPr>
              <w:ind w:left="160"/>
              <w:spacing w:after="0"/>
              <w:rPr>
                <w:sz w:val="20"/>
                <w:szCs w:val="20"/>
                <w:color w:val="auto"/>
              </w:rPr>
            </w:pPr>
            <w:r>
              <w:rPr>
                <w:rFonts w:ascii="Arial" w:cs="Arial" w:eastAsia="Arial" w:hAnsi="Arial"/>
                <w:sz w:val="16"/>
                <w:szCs w:val="16"/>
                <w:b w:val="1"/>
                <w:bCs w:val="1"/>
                <w:color w:val="auto"/>
              </w:rPr>
              <w:t>Three Months Ended March 31,</w:t>
            </w:r>
          </w:p>
        </w:tc>
        <w:tc>
          <w:tcPr>
            <w:tcW w:w="140" w:type="dxa"/>
            <w:vAlign w:val="bottom"/>
          </w:tcPr>
          <w:p>
            <w:pPr>
              <w:spacing w:after="0"/>
              <w:rPr>
                <w:sz w:val="18"/>
                <w:szCs w:val="18"/>
                <w:color w:val="auto"/>
              </w:rPr>
            </w:pPr>
          </w:p>
        </w:tc>
        <w:tc>
          <w:tcPr>
            <w:tcW w:w="23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Nine Months Ended March 31,</w:t>
            </w:r>
          </w:p>
        </w:tc>
      </w:tr>
      <w:tr>
        <w:trPr>
          <w:trHeight w:val="210"/>
        </w:trPr>
        <w:tc>
          <w:tcPr>
            <w:tcW w:w="614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12"/>
        </w:trPr>
        <w:tc>
          <w:tcPr>
            <w:tcW w:w="6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Share-based compensation expense</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1,449</w:t>
            </w:r>
          </w:p>
        </w:tc>
      </w:tr>
      <w:tr>
        <w:trPr>
          <w:trHeight w:val="210"/>
        </w:trPr>
        <w:tc>
          <w:tcPr>
            <w:tcW w:w="6140" w:type="dxa"/>
            <w:vAlign w:val="bottom"/>
          </w:tcPr>
          <w:p>
            <w:pPr>
              <w:ind w:left="20"/>
              <w:spacing w:after="0"/>
              <w:rPr>
                <w:sz w:val="20"/>
                <w:szCs w:val="20"/>
                <w:color w:val="auto"/>
              </w:rPr>
            </w:pPr>
            <w:r>
              <w:rPr>
                <w:rFonts w:ascii="Arial" w:cs="Arial" w:eastAsia="Arial" w:hAnsi="Arial"/>
                <w:sz w:val="16"/>
                <w:szCs w:val="16"/>
                <w:color w:val="auto"/>
              </w:rPr>
              <w:t>Tax benefit</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120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stock option activity and related information for the nine months ended March 31, 2022 and 2021: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Weighted-</w:t>
            </w:r>
          </w:p>
        </w:tc>
        <w:tc>
          <w:tcPr>
            <w:tcW w:w="14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Remaining</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center"/>
              <w:ind w:right="180"/>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4"/>
              </w:rPr>
              <w:t>Contractual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Options</w:t>
            </w:r>
          </w:p>
        </w:tc>
        <w:tc>
          <w:tcPr>
            <w:tcW w:w="120" w:type="dxa"/>
            <w:vAlign w:val="bottom"/>
            <w:vMerge w:val="restart"/>
          </w:tcPr>
          <w:p>
            <w:pPr>
              <w:spacing w:after="0"/>
              <w:rPr>
                <w:sz w:val="14"/>
                <w:szCs w:val="14"/>
                <w:color w:val="auto"/>
              </w:rPr>
            </w:pPr>
          </w:p>
        </w:tc>
        <w:tc>
          <w:tcPr>
            <w:tcW w:w="1420" w:type="dxa"/>
            <w:vAlign w:val="bottom"/>
            <w:gridSpan w:val="3"/>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Exercise</w:t>
            </w:r>
          </w:p>
        </w:tc>
        <w:tc>
          <w:tcPr>
            <w:tcW w:w="14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8"/>
              </w:rPr>
              <w:t>Life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180"/>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CCEEFF"/>
            </w:tcBorders>
          </w:tcPr>
          <w:p>
            <w:pPr>
              <w:spacing w:after="0"/>
              <w:rPr>
                <w:sz w:val="18"/>
                <w:szCs w:val="18"/>
                <w:color w:val="auto"/>
              </w:rPr>
            </w:pPr>
          </w:p>
        </w:tc>
        <w:tc>
          <w:tcPr>
            <w:tcW w:w="16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2"/>
              </w:rPr>
              <w:t>(Years)</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Value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at June 30, 2020</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1,615,500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9"/>
              </w:rPr>
              <w:t>4.4</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140"/>
              <w:spacing w:after="0"/>
              <w:rPr>
                <w:sz w:val="20"/>
                <w:szCs w:val="20"/>
                <w:color w:val="auto"/>
              </w:rPr>
            </w:pPr>
            <w:r>
              <w:rPr>
                <w:rFonts w:ascii="Arial" w:cs="Arial" w:eastAsia="Arial" w:hAnsi="Arial"/>
                <w:sz w:val="16"/>
                <w:szCs w:val="16"/>
                <w:color w:val="auto"/>
              </w:rPr>
              <w:t>Granted</w:t>
            </w:r>
          </w:p>
        </w:tc>
        <w:tc>
          <w:tcPr>
            <w:tcW w:w="3020" w:type="dxa"/>
            <w:vAlign w:val="bottom"/>
            <w:gridSpan w:val="2"/>
          </w:tcPr>
          <w:p>
            <w:pPr>
              <w:jc w:val="right"/>
              <w:spacing w:after="0"/>
              <w:rPr>
                <w:sz w:val="20"/>
                <w:szCs w:val="20"/>
                <w:color w:val="auto"/>
              </w:rPr>
            </w:pPr>
            <w:r>
              <w:rPr>
                <w:rFonts w:ascii="Arial" w:cs="Arial" w:eastAsia="Arial" w:hAnsi="Arial"/>
                <w:sz w:val="16"/>
                <w:szCs w:val="16"/>
                <w:color w:val="auto"/>
              </w:rPr>
              <w:t>44,750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(172,866)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6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(26,900)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Options outstanding at March 31, 2021</w:t>
            </w:r>
          </w:p>
        </w:tc>
        <w:tc>
          <w:tcPr>
            <w:tcW w:w="16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1,460,484</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18.57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w w:val="89"/>
              </w:rPr>
              <w:t>3.9</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Exercisable at March 31, 2021</w:t>
            </w:r>
          </w:p>
        </w:tc>
        <w:tc>
          <w:tcPr>
            <w:tcW w:w="16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40" w:type="dxa"/>
            <w:vAlign w:val="bottom"/>
            <w:vMerge w:val="continue"/>
          </w:tcPr>
          <w:p>
            <w:pPr>
              <w:spacing w:after="0"/>
              <w:rPr>
                <w:sz w:val="16"/>
                <w:szCs w:val="16"/>
                <w:color w:val="auto"/>
              </w:rPr>
            </w:pPr>
          </w:p>
        </w:tc>
        <w:tc>
          <w:tcPr>
            <w:tcW w:w="3020" w:type="dxa"/>
            <w:vAlign w:val="bottom"/>
            <w:gridSpan w:val="2"/>
          </w:tcPr>
          <w:p>
            <w:pPr>
              <w:jc w:val="right"/>
              <w:spacing w:after="0"/>
              <w:rPr>
                <w:sz w:val="20"/>
                <w:szCs w:val="20"/>
                <w:color w:val="auto"/>
              </w:rPr>
            </w:pPr>
            <w:r>
              <w:rPr>
                <w:rFonts w:ascii="Arial" w:cs="Arial" w:eastAsia="Arial" w:hAnsi="Arial"/>
                <w:sz w:val="16"/>
                <w:szCs w:val="16"/>
                <w:color w:val="auto"/>
              </w:rPr>
              <w:t>1,220,734</w:t>
            </w:r>
          </w:p>
        </w:tc>
        <w:tc>
          <w:tcPr>
            <w:tcW w:w="12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ind w:left="980"/>
              <w:spacing w:after="0"/>
              <w:rPr>
                <w:sz w:val="20"/>
                <w:szCs w:val="20"/>
                <w:color w:val="auto"/>
              </w:rPr>
            </w:pPr>
            <w:r>
              <w:rPr>
                <w:rFonts w:ascii="Arial" w:cs="Arial" w:eastAsia="Arial" w:hAnsi="Arial"/>
                <w:sz w:val="16"/>
                <w:szCs w:val="16"/>
                <w:color w:val="auto"/>
                <w:w w:val="89"/>
              </w:rPr>
              <w:t>3.2</w:t>
            </w:r>
          </w:p>
        </w:tc>
        <w:tc>
          <w:tcPr>
            <w:tcW w:w="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9,152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at March 31, 2021</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239,750</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9"/>
              </w:rPr>
              <w:t>7.7</w:t>
            </w:r>
          </w:p>
        </w:tc>
        <w:tc>
          <w:tcPr>
            <w:tcW w:w="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8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at June 30, 2021</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1,319,456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ind w:left="980"/>
              <w:spacing w:after="0"/>
              <w:rPr>
                <w:sz w:val="20"/>
                <w:szCs w:val="20"/>
                <w:color w:val="auto"/>
              </w:rPr>
            </w:pPr>
            <w:r>
              <w:rPr>
                <w:rFonts w:ascii="Arial" w:cs="Arial" w:eastAsia="Arial" w:hAnsi="Arial"/>
                <w:sz w:val="16"/>
                <w:szCs w:val="16"/>
                <w:color w:val="auto"/>
                <w:w w:val="89"/>
              </w:rPr>
              <w:t>3.9</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840" w:type="dxa"/>
            <w:vAlign w:val="bottom"/>
          </w:tcPr>
          <w:p>
            <w:pPr>
              <w:ind w:left="140"/>
              <w:spacing w:after="0"/>
              <w:rPr>
                <w:sz w:val="20"/>
                <w:szCs w:val="20"/>
                <w:color w:val="auto"/>
              </w:rPr>
            </w:pPr>
            <w:r>
              <w:rPr>
                <w:rFonts w:ascii="Arial" w:cs="Arial" w:eastAsia="Arial" w:hAnsi="Arial"/>
                <w:sz w:val="16"/>
                <w:szCs w:val="16"/>
                <w:color w:val="auto"/>
              </w:rPr>
              <w:t>Granted</w:t>
            </w:r>
          </w:p>
        </w:tc>
        <w:tc>
          <w:tcPr>
            <w:tcW w:w="3020" w:type="dxa"/>
            <w:vAlign w:val="bottom"/>
            <w:gridSpan w:val="2"/>
          </w:tcPr>
          <w:p>
            <w:pPr>
              <w:jc w:val="right"/>
              <w:spacing w:after="0"/>
              <w:rPr>
                <w:sz w:val="20"/>
                <w:szCs w:val="20"/>
                <w:color w:val="auto"/>
              </w:rPr>
            </w:pPr>
            <w:r>
              <w:rPr>
                <w:rFonts w:ascii="Arial" w:cs="Arial" w:eastAsia="Arial" w:hAnsi="Arial"/>
                <w:sz w:val="16"/>
                <w:szCs w:val="16"/>
                <w:color w:val="auto"/>
              </w:rPr>
              <w:t>42,850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Exercised</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(413,636)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68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(20,800)</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23.17</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9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Options outstanding at March 31, 2022</w:t>
            </w:r>
          </w:p>
        </w:tc>
        <w:tc>
          <w:tcPr>
            <w:tcW w:w="16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927,870</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w w:val="89"/>
              </w:rPr>
              <w:t>4.3</w:t>
            </w: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Exercisable at March 31, 2022</w:t>
            </w:r>
          </w:p>
        </w:tc>
        <w:tc>
          <w:tcPr>
            <w:tcW w:w="16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840" w:type="dxa"/>
            <w:vAlign w:val="bottom"/>
            <w:vMerge w:val="continue"/>
          </w:tcPr>
          <w:p>
            <w:pPr>
              <w:spacing w:after="0"/>
              <w:rPr>
                <w:sz w:val="16"/>
                <w:szCs w:val="16"/>
                <w:color w:val="auto"/>
              </w:rPr>
            </w:pPr>
          </w:p>
        </w:tc>
        <w:tc>
          <w:tcPr>
            <w:tcW w:w="3020" w:type="dxa"/>
            <w:vAlign w:val="bottom"/>
            <w:gridSpan w:val="2"/>
          </w:tcPr>
          <w:p>
            <w:pPr>
              <w:jc w:val="right"/>
              <w:spacing w:after="0"/>
              <w:rPr>
                <w:sz w:val="20"/>
                <w:szCs w:val="20"/>
                <w:color w:val="auto"/>
              </w:rPr>
            </w:pPr>
            <w:r>
              <w:rPr>
                <w:rFonts w:ascii="Arial" w:cs="Arial" w:eastAsia="Arial" w:hAnsi="Arial"/>
                <w:sz w:val="16"/>
                <w:szCs w:val="16"/>
                <w:color w:val="auto"/>
              </w:rPr>
              <w:t>756,720</w:t>
            </w:r>
          </w:p>
        </w:tc>
        <w:tc>
          <w:tcPr>
            <w:tcW w:w="12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ind w:left="980"/>
              <w:spacing w:after="0"/>
              <w:rPr>
                <w:sz w:val="20"/>
                <w:szCs w:val="20"/>
                <w:color w:val="auto"/>
              </w:rPr>
            </w:pPr>
            <w:r>
              <w:rPr>
                <w:rFonts w:ascii="Arial" w:cs="Arial" w:eastAsia="Arial" w:hAnsi="Arial"/>
                <w:sz w:val="16"/>
                <w:szCs w:val="16"/>
                <w:color w:val="auto"/>
                <w:w w:val="89"/>
              </w:rPr>
              <w:t>3.5</w:t>
            </w:r>
          </w:p>
        </w:tc>
        <w:tc>
          <w:tcPr>
            <w:tcW w:w="8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7,028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at March 31, 2022</w:t>
            </w:r>
          </w:p>
        </w:tc>
        <w:tc>
          <w:tcPr>
            <w:tcW w:w="16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171,150</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6"/>
                <w:szCs w:val="16"/>
                <w:color w:val="auto"/>
                <w:w w:val="89"/>
              </w:rPr>
              <w:t>7.7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3840" w:type="dxa"/>
            <w:vAlign w:val="bottom"/>
          </w:tcPr>
          <w:p>
            <w:pPr>
              <w:spacing w:after="0"/>
              <w:rPr>
                <w:sz w:val="20"/>
                <w:szCs w:val="20"/>
                <w:color w:val="auto"/>
              </w:rPr>
            </w:pPr>
            <w:r>
              <w:rPr>
                <w:rFonts w:ascii="Arial" w:cs="Arial" w:eastAsia="Arial" w:hAnsi="Arial"/>
                <w:sz w:val="16"/>
                <w:szCs w:val="16"/>
                <w:color w:val="auto"/>
              </w:rPr>
              <w:t>Assumptions  used  in  estimating  the  fair  value  of</w:t>
            </w:r>
          </w:p>
        </w:tc>
        <w:tc>
          <w:tcPr>
            <w:tcW w:w="3140" w:type="dxa"/>
            <w:vAlign w:val="bottom"/>
            <w:gridSpan w:val="3"/>
          </w:tcPr>
          <w:p>
            <w:pPr>
              <w:ind w:left="60"/>
              <w:spacing w:after="0"/>
              <w:rPr>
                <w:sz w:val="20"/>
                <w:szCs w:val="20"/>
                <w:color w:val="auto"/>
              </w:rPr>
            </w:pPr>
            <w:r>
              <w:rPr>
                <w:rFonts w:ascii="Arial" w:cs="Arial" w:eastAsia="Arial" w:hAnsi="Arial"/>
                <w:sz w:val="16"/>
                <w:szCs w:val="16"/>
                <w:color w:val="auto"/>
              </w:rPr>
              <w:t>options  granted  during  the  nine  months</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ended</w:t>
            </w:r>
          </w:p>
        </w:tc>
        <w:tc>
          <w:tcPr>
            <w:tcW w:w="960" w:type="dxa"/>
            <w:vAlign w:val="bottom"/>
            <w:gridSpan w:val="2"/>
          </w:tcPr>
          <w:p>
            <w:pPr>
              <w:ind w:left="100"/>
              <w:spacing w:after="0"/>
              <w:rPr>
                <w:sz w:val="20"/>
                <w:szCs w:val="20"/>
                <w:color w:val="auto"/>
              </w:rPr>
            </w:pPr>
            <w:r>
              <w:rPr>
                <w:rFonts w:ascii="Arial" w:cs="Arial" w:eastAsia="Arial" w:hAnsi="Arial"/>
                <w:sz w:val="16"/>
                <w:szCs w:val="16"/>
                <w:color w:val="auto"/>
              </w:rPr>
              <w:t>March  31,</w:t>
            </w:r>
          </w:p>
        </w:tc>
        <w:tc>
          <w:tcPr>
            <w:tcW w:w="2840" w:type="dxa"/>
            <w:vAlign w:val="bottom"/>
            <w:gridSpan w:val="7"/>
          </w:tcPr>
          <w:p>
            <w:pPr>
              <w:ind w:left="40"/>
              <w:spacing w:after="0"/>
              <w:rPr>
                <w:sz w:val="20"/>
                <w:szCs w:val="20"/>
                <w:color w:val="auto"/>
              </w:rPr>
            </w:pPr>
            <w:r>
              <w:rPr>
                <w:rFonts w:ascii="Arial" w:cs="Arial" w:eastAsia="Arial" w:hAnsi="Arial"/>
                <w:sz w:val="16"/>
                <w:szCs w:val="16"/>
                <w:color w:val="auto"/>
                <w:w w:val="98"/>
              </w:rPr>
              <w:t>2022  and  2021  are  presented  below:</w:t>
            </w:r>
          </w:p>
        </w:tc>
        <w:tc>
          <w:tcPr>
            <w:tcW w:w="0" w:type="dxa"/>
            <w:vAlign w:val="bottom"/>
          </w:tcPr>
          <w:p>
            <w:pPr>
              <w:spacing w:after="0"/>
              <w:rPr>
                <w:sz w:val="1"/>
                <w:szCs w:val="1"/>
                <w:color w:val="auto"/>
              </w:rPr>
            </w:pPr>
          </w:p>
        </w:tc>
      </w:tr>
      <w:tr>
        <w:trPr>
          <w:trHeight w:val="432"/>
        </w:trPr>
        <w:tc>
          <w:tcPr>
            <w:tcW w:w="38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March 31, 2021</w:t>
            </w:r>
          </w:p>
        </w:tc>
        <w:tc>
          <w:tcPr>
            <w:tcW w:w="0" w:type="dxa"/>
            <w:vAlign w:val="bottom"/>
          </w:tcPr>
          <w:p>
            <w:pPr>
              <w:spacing w:after="0"/>
              <w:rPr>
                <w:sz w:val="1"/>
                <w:szCs w:val="1"/>
                <w:color w:val="auto"/>
              </w:rPr>
            </w:pPr>
          </w:p>
        </w:tc>
      </w:tr>
      <w:tr>
        <w:trPr>
          <w:trHeight w:val="155"/>
        </w:trPr>
        <w:tc>
          <w:tcPr>
            <w:tcW w:w="3840" w:type="dxa"/>
            <w:vAlign w:val="bottom"/>
            <w:tcBorders>
              <w:bottom w:val="single" w:sz="8" w:color="CCEEFF"/>
            </w:tcBorders>
          </w:tcPr>
          <w:p>
            <w:pPr>
              <w:spacing w:after="0"/>
              <w:rPr>
                <w:sz w:val="13"/>
                <w:szCs w:val="13"/>
                <w:color w:val="auto"/>
              </w:rPr>
            </w:pPr>
          </w:p>
        </w:tc>
        <w:tc>
          <w:tcPr>
            <w:tcW w:w="1680" w:type="dxa"/>
            <w:vAlign w:val="bottom"/>
            <w:tcBorders>
              <w:bottom w:val="single" w:sz="8" w:color="CCEEFF"/>
            </w:tcBorders>
          </w:tcPr>
          <w:p>
            <w:pPr>
              <w:spacing w:after="0"/>
              <w:rPr>
                <w:sz w:val="13"/>
                <w:szCs w:val="13"/>
                <w:color w:val="auto"/>
              </w:rPr>
            </w:pPr>
          </w:p>
        </w:tc>
        <w:tc>
          <w:tcPr>
            <w:tcW w:w="13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volatility</w:t>
            </w:r>
          </w:p>
        </w:tc>
        <w:tc>
          <w:tcPr>
            <w:tcW w:w="16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28.02 %</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28.30 %</w:t>
            </w:r>
          </w:p>
        </w:tc>
        <w:tc>
          <w:tcPr>
            <w:tcW w:w="0" w:type="dxa"/>
            <w:vAlign w:val="bottom"/>
          </w:tcPr>
          <w:p>
            <w:pPr>
              <w:spacing w:after="0"/>
              <w:rPr>
                <w:sz w:val="1"/>
                <w:szCs w:val="1"/>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6"/>
                <w:szCs w:val="16"/>
                <w:color w:val="auto"/>
              </w:rPr>
              <w:t>1.12 %</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6"/>
                <w:szCs w:val="16"/>
                <w:color w:val="auto"/>
              </w:rPr>
              <w:t>1.35 %</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16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1.90 %</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0.72 %</w:t>
            </w:r>
          </w:p>
        </w:tc>
        <w:tc>
          <w:tcPr>
            <w:tcW w:w="0" w:type="dxa"/>
            <w:vAlign w:val="bottom"/>
          </w:tcPr>
          <w:p>
            <w:pPr>
              <w:spacing w:after="0"/>
              <w:rPr>
                <w:sz w:val="1"/>
                <w:szCs w:val="1"/>
                <w:color w:val="auto"/>
              </w:rPr>
            </w:pPr>
          </w:p>
        </w:tc>
      </w:tr>
      <w:tr>
        <w:trPr>
          <w:trHeight w:val="213"/>
        </w:trPr>
        <w:tc>
          <w:tcPr>
            <w:tcW w:w="3840" w:type="dxa"/>
            <w:vAlign w:val="bottom"/>
          </w:tcPr>
          <w:p>
            <w:pPr>
              <w:ind w:left="20"/>
              <w:spacing w:after="0"/>
              <w:rPr>
                <w:sz w:val="20"/>
                <w:szCs w:val="20"/>
                <w:color w:val="auto"/>
              </w:rPr>
            </w:pPr>
            <w:r>
              <w:rPr>
                <w:rFonts w:ascii="Arial" w:cs="Arial" w:eastAsia="Arial" w:hAnsi="Arial"/>
                <w:sz w:val="16"/>
                <w:szCs w:val="16"/>
                <w:color w:val="auto"/>
              </w:rPr>
              <w:t>Expected life (years)</w:t>
            </w:r>
          </w:p>
        </w:tc>
        <w:tc>
          <w:tcPr>
            <w:tcW w:w="16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ind w:left="840"/>
              <w:spacing w:after="0"/>
              <w:rPr>
                <w:sz w:val="20"/>
                <w:szCs w:val="20"/>
                <w:color w:val="auto"/>
              </w:rPr>
            </w:pPr>
            <w:r>
              <w:rPr>
                <w:rFonts w:ascii="Arial" w:cs="Arial" w:eastAsia="Arial" w:hAnsi="Arial"/>
                <w:sz w:val="16"/>
                <w:szCs w:val="16"/>
                <w:color w:val="auto"/>
              </w:rPr>
              <w:t>6.5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99"/>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Weighted-average fair value of options granted</w:t>
            </w:r>
          </w:p>
        </w:tc>
        <w:tc>
          <w:tcPr>
            <w:tcW w:w="16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8.68</w:t>
            </w:r>
          </w:p>
        </w:tc>
        <w:tc>
          <w:tcPr>
            <w:tcW w:w="8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At March 31, 2022, the Company had $1,076 of unrecognized compensation expense related to 171,150 stock options originally scheduled to vest over a five-year period. The weighted average period over which compensation cost related to non-vested awards expected to be recognized was 1.8 years at March 31, 2022. At March 31, 2021, the Company had $1,460 of unrecognized compensation expense related to 239,750 stock options originally scheduled to vest over a five-year period. The weighted average period over which compensation cost related to non-vested awards expected to be recognized was 2.0 years at March 31, 2021.</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980" w:type="dxa"/>
            <w:vAlign w:val="bottom"/>
          </w:tcPr>
          <w:p>
            <w:pPr>
              <w:spacing w:after="0"/>
              <w:rPr>
                <w:sz w:val="20"/>
                <w:szCs w:val="20"/>
                <w:color w:val="auto"/>
              </w:rPr>
            </w:pPr>
            <w:r>
              <w:rPr>
                <w:rFonts w:ascii="Arial" w:cs="Arial" w:eastAsia="Arial" w:hAnsi="Arial"/>
                <w:sz w:val="16"/>
                <w:szCs w:val="16"/>
                <w:color w:val="auto"/>
              </w:rPr>
              <w:t>The table below presents restricted stock award activity and related information:</w:t>
            </w: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3"/>
        </w:trPr>
        <w:tc>
          <w:tcPr>
            <w:tcW w:w="6980" w:type="dxa"/>
            <w:vAlign w:val="bottom"/>
          </w:tcPr>
          <w:p>
            <w:pPr>
              <w:spacing w:after="0"/>
              <w:rPr>
                <w:sz w:val="24"/>
                <w:szCs w:val="24"/>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Restricted</w:t>
            </w:r>
          </w:p>
        </w:tc>
        <w:tc>
          <w:tcPr>
            <w:tcW w:w="140" w:type="dxa"/>
            <w:vAlign w:val="bottom"/>
          </w:tcPr>
          <w:p>
            <w:pPr>
              <w:spacing w:after="0"/>
              <w:rPr>
                <w:sz w:val="24"/>
                <w:szCs w:val="2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80" w:type="dxa"/>
            <w:vAlign w:val="bottom"/>
          </w:tcPr>
          <w:p>
            <w:pPr>
              <w:spacing w:after="0"/>
              <w:rPr>
                <w:sz w:val="24"/>
                <w:szCs w:val="24"/>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Aggregate</w:t>
            </w:r>
          </w:p>
        </w:tc>
        <w:tc>
          <w:tcPr>
            <w:tcW w:w="0" w:type="dxa"/>
            <w:vAlign w:val="bottom"/>
          </w:tcPr>
          <w:p>
            <w:pPr>
              <w:spacing w:after="0"/>
              <w:rPr>
                <w:sz w:val="1"/>
                <w:szCs w:val="1"/>
                <w:color w:val="auto"/>
              </w:rPr>
            </w:pPr>
          </w:p>
        </w:tc>
      </w:tr>
      <w:tr>
        <w:trPr>
          <w:trHeight w:val="162"/>
        </w:trPr>
        <w:tc>
          <w:tcPr>
            <w:tcW w:w="69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Average Grant</w:t>
            </w:r>
          </w:p>
        </w:tc>
        <w:tc>
          <w:tcPr>
            <w:tcW w:w="180" w:type="dxa"/>
            <w:vAlign w:val="bottom"/>
          </w:tcPr>
          <w:p>
            <w:pPr>
              <w:spacing w:after="0"/>
              <w:rPr>
                <w:sz w:val="14"/>
                <w:szCs w:val="14"/>
                <w:color w:val="auto"/>
              </w:rPr>
            </w:pPr>
          </w:p>
        </w:tc>
        <w:tc>
          <w:tcPr>
            <w:tcW w:w="108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6"/>
              </w:rPr>
              <w:t>Intrinsic</w:t>
            </w:r>
          </w:p>
        </w:tc>
        <w:tc>
          <w:tcPr>
            <w:tcW w:w="0" w:type="dxa"/>
            <w:vAlign w:val="bottom"/>
          </w:tcPr>
          <w:p>
            <w:pPr>
              <w:spacing w:after="0"/>
              <w:rPr>
                <w:sz w:val="1"/>
                <w:szCs w:val="1"/>
                <w:color w:val="auto"/>
              </w:rPr>
            </w:pPr>
          </w:p>
        </w:tc>
      </w:tr>
      <w:tr>
        <w:trPr>
          <w:trHeight w:val="213"/>
        </w:trPr>
        <w:tc>
          <w:tcPr>
            <w:tcW w:w="698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Stock Awards</w:t>
            </w:r>
          </w:p>
        </w:tc>
        <w:tc>
          <w:tcPr>
            <w:tcW w:w="14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5"/>
              </w:rPr>
              <w:t>Date Fair Value</w:t>
            </w:r>
          </w:p>
        </w:tc>
        <w:tc>
          <w:tcPr>
            <w:tcW w:w="180" w:type="dxa"/>
            <w:vAlign w:val="bottom"/>
          </w:tcPr>
          <w:p>
            <w:pPr>
              <w:spacing w:after="0"/>
              <w:rPr>
                <w:sz w:val="18"/>
                <w:szCs w:val="18"/>
                <w:color w:val="auto"/>
              </w:rPr>
            </w:pPr>
          </w:p>
        </w:tc>
        <w:tc>
          <w:tcPr>
            <w:tcW w:w="1080" w:type="dxa"/>
            <w:vAlign w:val="bottom"/>
          </w:tcPr>
          <w:p>
            <w:pPr>
              <w:jc w:val="center"/>
              <w:ind w:right="99"/>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12"/>
        </w:trPr>
        <w:tc>
          <w:tcPr>
            <w:tcW w:w="6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at June 30, 2020</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144,046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25.89</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2,305</w:t>
            </w:r>
          </w:p>
        </w:tc>
        <w:tc>
          <w:tcPr>
            <w:tcW w:w="0" w:type="dxa"/>
            <w:vAlign w:val="bottom"/>
          </w:tcPr>
          <w:p>
            <w:pPr>
              <w:spacing w:after="0"/>
              <w:rPr>
                <w:sz w:val="1"/>
                <w:szCs w:val="1"/>
                <w:color w:val="auto"/>
              </w:rPr>
            </w:pP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spacing w:after="0"/>
              <w:rPr>
                <w:sz w:val="20"/>
                <w:szCs w:val="20"/>
                <w:color w:val="auto"/>
              </w:rPr>
            </w:pPr>
            <w:r>
              <w:rPr>
                <w:rFonts w:ascii="Arial" w:cs="Arial" w:eastAsia="Arial" w:hAnsi="Arial"/>
                <w:sz w:val="16"/>
                <w:szCs w:val="16"/>
                <w:color w:val="auto"/>
              </w:rPr>
              <w:t>56,547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22.92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at March 31,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147,647</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24.98</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2,119</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69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Non-vested at June 30, 2021</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151,575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4,229</w:t>
            </w:r>
          </w:p>
        </w:tc>
        <w:tc>
          <w:tcPr>
            <w:tcW w:w="0" w:type="dxa"/>
            <w:vAlign w:val="bottom"/>
          </w:tcPr>
          <w:p>
            <w:pPr>
              <w:spacing w:after="0"/>
              <w:rPr>
                <w:sz w:val="1"/>
                <w:szCs w:val="1"/>
                <w:color w:val="auto"/>
              </w:rPr>
            </w:pPr>
          </w:p>
        </w:tc>
      </w:tr>
      <w:tr>
        <w:trPr>
          <w:trHeight w:val="213"/>
        </w:trPr>
        <w:tc>
          <w:tcPr>
            <w:tcW w:w="6980" w:type="dxa"/>
            <w:vAlign w:val="bottom"/>
          </w:tcPr>
          <w:p>
            <w:pPr>
              <w:ind w:left="140"/>
              <w:spacing w:after="0"/>
              <w:rPr>
                <w:sz w:val="20"/>
                <w:szCs w:val="20"/>
                <w:color w:val="auto"/>
              </w:rPr>
            </w:pPr>
            <w:r>
              <w:rPr>
                <w:rFonts w:ascii="Arial" w:cs="Arial" w:eastAsia="Arial" w:hAnsi="Arial"/>
                <w:sz w:val="16"/>
                <w:szCs w:val="16"/>
                <w:color w:val="auto"/>
              </w:rPr>
              <w:t>Granted</w:t>
            </w:r>
          </w:p>
        </w:tc>
        <w:tc>
          <w:tcPr>
            <w:tcW w:w="1260" w:type="dxa"/>
            <w:vAlign w:val="bottom"/>
          </w:tcPr>
          <w:p>
            <w:pPr>
              <w:jc w:val="right"/>
              <w:spacing w:after="0"/>
              <w:rPr>
                <w:sz w:val="20"/>
                <w:szCs w:val="20"/>
                <w:color w:val="auto"/>
              </w:rPr>
            </w:pPr>
            <w:r>
              <w:rPr>
                <w:rFonts w:ascii="Arial" w:cs="Arial" w:eastAsia="Arial" w:hAnsi="Arial"/>
                <w:sz w:val="16"/>
                <w:szCs w:val="16"/>
                <w:color w:val="auto"/>
              </w:rPr>
              <w:t>49,679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31.35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Vested</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Forfeited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at March 31, 2022</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135,510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table above includes non-vested performance-based restricted stock units totaling 33,218 and 28,852 at March 31, 2022 and 2021, respectively. Each issuance of these stock units is scheduled to vest over 3.0 years assuming the applicable dilutive EPS goals are met.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8" w:name="page29"/>
    <w:bookmarkEnd w:id="28"/>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At March 31, 2022, unrecognized compensation expense was $3,137 related to 135,510 shares of restricted stock originally scheduled to vest over three- and five-year periods. The weighted average period over which compensation cost related to non-vested awards is expected to be recognized was 1.9 years at March 31, 2022. At March 31, 2021, unrecognized compensation expense was $3,196 related to 147,647 shares of restricted stock originally scheduled to vest over three- and five-year periods. The weighted average period over which compensation cost related to non-vested awards is expected to be recognized was 1.9 years at March 31, 2021.</w:t>
      </w:r>
    </w:p>
    <w:p>
      <w:pPr>
        <w:spacing w:after="0" w:line="115" w:lineRule="exact"/>
        <w:rPr>
          <w:sz w:val="20"/>
          <w:szCs w:val="20"/>
          <w:color w:val="auto"/>
        </w:rPr>
      </w:pPr>
    </w:p>
    <w:p>
      <w:pPr>
        <w:ind w:left="300" w:hanging="292"/>
        <w:spacing w:after="0"/>
        <w:tabs>
          <w:tab w:leader="none" w:pos="300"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Commitments and Contingencies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u w:val="single" w:color="auto"/>
          <w:color w:val="auto"/>
        </w:rPr>
        <w:t>Loan Commitments</w:t>
      </w:r>
      <w:r>
        <w:rPr>
          <w:rFonts w:ascii="Arial" w:cs="Arial" w:eastAsia="Arial" w:hAnsi="Arial"/>
          <w:sz w:val="15"/>
          <w:szCs w:val="15"/>
          <w:color w:val="auto"/>
        </w:rPr>
        <w:t xml:space="preserve"> – Legally binding commitments to extend credit are agreements to lend to a customer as long as there is no violation of any condition established in the contract. Commitments generally have fixed expiration dates or other termination clauses and may require payment of a fee. Since many commitments may expire without being drawn upon, the total commitment amounts do not necessarily represent future cash requirements. In the normal course of business, there are various outstanding commitments to extend credit that are not reflected in the consolidated financial statements. At March 31, 2022 and June 30, 2021, respectively, loan commitments (excluding $290,532 and $277,600 of undisbursed portions of construction loans) totaled $95,848 and $123,463 of which $29,156 and $45,270 were variable rate commitments and $66,692 and $78,193 were fixed rate commitments. The fixed rate loans had interest rates ranging from 1.08% to 8.65% at March 31, 2022 and 2.50% to 8.36% at June 30, 2021, and terms ranging from three to 30 years. Pre-approved but unused lines of credit (principally second mortgage home equity loans and overdraft protection loans) totaled $498,315 and $530,505 at March 31, 2022 and June 30, 2021, respectively. These amounts represent the Company's exposure to credit risk, and in the opinion of management have no more than the normal lending risk that the Company commits to its borrowers. The Company has two types of commitments related to certain one-to-four family loans held for sale: rate lock commitments and forward loan commitments. Rate lock commitments are commitments to extend credit to a customer that has an interest rate lock and are considered derivative instruments. The rate lock commitments do not qualify for hedge accounting. In order to mitigate the risk from interest rate fluctuations, the Company enters into forward loan sale commitments on a “best efforts” basis, which do not meet the definition of a derivative instrument. The fair value of these interest rate lock commitments was not material at March 31, 2022 or June 30, 2021.</w:t>
      </w:r>
    </w:p>
    <w:p>
      <w:pPr>
        <w:spacing w:after="0" w:line="13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grants construction and permanent loans collateralized primarily by residential and commercial real estate to customers throughout its primary market areas. In addition, the Company grants equipment financing throughout the United States and municipal financing to customers throughout North and South Carolina. The Company’s loan portfolio can be affected by the general economic conditions within these market areas. Management believes that the Company has no significant concentration of credit in the loan portfolio.</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u w:val="single" w:color="auto"/>
          <w:color w:val="auto"/>
        </w:rPr>
        <w:t>Restrictions on Cash</w:t>
      </w:r>
      <w:r>
        <w:rPr>
          <w:rFonts w:ascii="Arial" w:cs="Arial" w:eastAsia="Arial" w:hAnsi="Arial"/>
          <w:sz w:val="16"/>
          <w:szCs w:val="16"/>
          <w:color w:val="auto"/>
        </w:rPr>
        <w:t xml:space="preserve"> – In response to COVID-19, the FRB reduced the reserve requirements to zero on March 15, 2020. Prior to this change the Bank was required by regulation to maintain a varying cash reserve balance with the FRB.</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u w:val="single" w:color="auto"/>
          <w:color w:val="auto"/>
        </w:rPr>
        <w:t>Guarantees</w:t>
      </w:r>
      <w:r>
        <w:rPr>
          <w:rFonts w:ascii="Arial" w:cs="Arial" w:eastAsia="Arial" w:hAnsi="Arial"/>
          <w:sz w:val="16"/>
          <w:szCs w:val="16"/>
          <w:color w:val="auto"/>
        </w:rPr>
        <w:t xml:space="preserve"> – Standby letters of credit obligate the Company to meet certain financial obligations of its customers, if, under the contractual terms of the agreement, the customers are unable to do so. The financial standby letters of credit issued by the Company are irrevocable and payment is only guaranteed upon the borrower's failure to perform its obligations to the beneficiary. Total commitments under standby letters of credit as of March 31, 2022 and June 30, 2021 were $17,492 and $8,681, respectively. There was no liability recorded for these letters of credit at March 31, 2022 or June 30, 2021, respectively.</w:t>
      </w:r>
    </w:p>
    <w:p>
      <w:pPr>
        <w:spacing w:after="0" w:line="133" w:lineRule="exact"/>
        <w:rPr>
          <w:sz w:val="20"/>
          <w:szCs w:val="20"/>
          <w:color w:val="auto"/>
        </w:rPr>
      </w:pPr>
    </w:p>
    <w:p>
      <w:pPr>
        <w:jc w:val="both"/>
        <w:spacing w:after="0" w:line="278" w:lineRule="auto"/>
        <w:rPr>
          <w:sz w:val="20"/>
          <w:szCs w:val="20"/>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xml:space="preserve"> – From time to time, the Company is involved in litigation matters in the ordinary course of business. These proceedings and the associated legal claims are often contested, and the outcome of individual matters is not always predictable. These claims and counter claims typically arise during the course of collection efforts on problem loans or with respect to actions to enforce liens on properties in which the Company holds a security interest. The Company is not a party to any pending legal proceedings that management believes would have a material adverse effect on the Company’s financial condition or results of operations</w:t>
      </w:r>
      <w:r>
        <w:rPr>
          <w:rFonts w:ascii="Arial" w:cs="Arial" w:eastAsia="Arial" w:hAnsi="Arial"/>
          <w:sz w:val="15"/>
          <w:szCs w:val="15"/>
          <w:b w:val="1"/>
          <w:bCs w:val="1"/>
          <w:color w:val="auto"/>
        </w:rPr>
        <w:t>.</w:t>
      </w:r>
    </w:p>
    <w:p>
      <w:pPr>
        <w:spacing w:after="0" w:line="115"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Fair Value of Financial Instruments</w:t>
      </w:r>
    </w:p>
    <w:p>
      <w:pPr>
        <w:spacing w:after="0" w:line="171" w:lineRule="exact"/>
        <w:rPr>
          <w:sz w:val="20"/>
          <w:szCs w:val="20"/>
          <w:color w:val="auto"/>
        </w:rPr>
      </w:pPr>
    </w:p>
    <w:p>
      <w:pPr>
        <w:jc w:val="both"/>
        <w:spacing w:after="0" w:line="304" w:lineRule="auto"/>
        <w:rPr>
          <w:sz w:val="20"/>
          <w:szCs w:val="20"/>
          <w:color w:val="auto"/>
        </w:rPr>
      </w:pPr>
      <w:r>
        <w:rPr>
          <w:rFonts w:ascii="Arial" w:cs="Arial" w:eastAsia="Arial" w:hAnsi="Arial"/>
          <w:sz w:val="14"/>
          <w:szCs w:val="14"/>
          <w:color w:val="auto"/>
        </w:rPr>
        <w:t>The Company utilizes fair value measurements to record fair value adjustments to certain assets and to determine fair value disclosures. Debt securities available for sale are recorded at fair value on a recurring basis. Additionally, from time to time, the Company may be required to record at fair value other assets on a nonrecurring basis, such as impaired loans. These nonrecurring fair value adjustments typically involve application of lower of cost or market accounting or write-downs of individual assets. The Company measures the fair value of loans receivable under the exit price notion. The fair value of nonperforming loans is based on the underlying value of the collateral.</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Hierarchy</w:t>
      </w:r>
    </w:p>
    <w:p>
      <w:pPr>
        <w:spacing w:after="0" w:line="23"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The Company groups assets at fair value in three levels, based on the markets in which the assets are traded and the reliability of the assumptions used to determine fair value. These levels are:</w:t>
      </w:r>
    </w:p>
    <w:p>
      <w:pPr>
        <w:spacing w:after="0" w:line="132" w:lineRule="exact"/>
        <w:rPr>
          <w:sz w:val="20"/>
          <w:szCs w:val="20"/>
          <w:color w:val="auto"/>
        </w:rPr>
      </w:pPr>
    </w:p>
    <w:p>
      <w:pPr>
        <w:ind w:left="420"/>
        <w:spacing w:after="0"/>
        <w:tabs>
          <w:tab w:leader="none" w:pos="1080" w:val="left"/>
        </w:tabs>
        <w:rPr>
          <w:sz w:val="20"/>
          <w:szCs w:val="20"/>
          <w:color w:val="auto"/>
        </w:rPr>
      </w:pPr>
      <w:r>
        <w:rPr>
          <w:rFonts w:ascii="Arial" w:cs="Arial" w:eastAsia="Arial" w:hAnsi="Arial"/>
          <w:sz w:val="16"/>
          <w:szCs w:val="16"/>
          <w:color w:val="auto"/>
        </w:rPr>
        <w:t>Level 1:</w:t>
      </w:r>
      <w:r>
        <w:rPr>
          <w:sz w:val="20"/>
          <w:szCs w:val="20"/>
          <w:color w:val="auto"/>
        </w:rPr>
        <w:tab/>
      </w:r>
      <w:r>
        <w:rPr>
          <w:rFonts w:ascii="Arial" w:cs="Arial" w:eastAsia="Arial" w:hAnsi="Arial"/>
          <w:sz w:val="14"/>
          <w:szCs w:val="14"/>
          <w:color w:val="auto"/>
        </w:rPr>
        <w:t>Valuation is based upon quoted prices for identical instruments traded in active markets.</w:t>
      </w:r>
    </w:p>
    <w:p>
      <w:pPr>
        <w:spacing w:after="0" w:line="167" w:lineRule="exact"/>
        <w:rPr>
          <w:sz w:val="20"/>
          <w:szCs w:val="20"/>
          <w:color w:val="auto"/>
        </w:rPr>
      </w:pPr>
    </w:p>
    <w:p>
      <w:pPr>
        <w:jc w:val="both"/>
        <w:ind w:left="1160" w:hanging="809"/>
        <w:spacing w:after="0" w:line="275" w:lineRule="auto"/>
        <w:tabs>
          <w:tab w:leader="none" w:pos="1140" w:val="left"/>
        </w:tabs>
        <w:rPr>
          <w:sz w:val="20"/>
          <w:szCs w:val="20"/>
          <w:color w:val="auto"/>
        </w:rPr>
      </w:pPr>
      <w:r>
        <w:rPr>
          <w:rFonts w:ascii="Arial" w:cs="Arial" w:eastAsia="Arial" w:hAnsi="Arial"/>
          <w:sz w:val="16"/>
          <w:szCs w:val="16"/>
          <w:color w:val="auto"/>
        </w:rPr>
        <w:t>Level 2:</w:t>
        <w:tab/>
        <w:t>Valuation is based upon quoted prices for similar instruments in active markets, quoted prices for identical or similar instruments in markets that are not active, and model-based valuation techniques for which all significant assumptions are observable in the market.</w:t>
      </w:r>
    </w:p>
    <w:p>
      <w:pPr>
        <w:spacing w:after="0" w:line="118" w:lineRule="exact"/>
        <w:rPr>
          <w:sz w:val="20"/>
          <w:szCs w:val="20"/>
          <w:color w:val="auto"/>
        </w:rPr>
      </w:pPr>
    </w:p>
    <w:p>
      <w:pPr>
        <w:jc w:val="both"/>
        <w:ind w:left="1220" w:hanging="809"/>
        <w:spacing w:after="0" w:line="261" w:lineRule="auto"/>
        <w:tabs>
          <w:tab w:leader="none" w:pos="1200" w:val="left"/>
        </w:tabs>
        <w:rPr>
          <w:sz w:val="20"/>
          <w:szCs w:val="20"/>
          <w:color w:val="auto"/>
        </w:rPr>
      </w:pPr>
      <w:r>
        <w:rPr>
          <w:rFonts w:ascii="Arial" w:cs="Arial" w:eastAsia="Arial" w:hAnsi="Arial"/>
          <w:sz w:val="16"/>
          <w:szCs w:val="16"/>
          <w:color w:val="auto"/>
        </w:rPr>
        <w:t>Level 3:</w:t>
        <w:tab/>
        <w:t>Valuation is generated from model-based techniques that use at least one significant assumption not observable in the market. These unobservable assumptions reflect estimates of assumptions that market participants would use in pricing the asset. Valuation techniques include use of option pricing models, discounted cash flow models and similar techniques.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color w:val="auto"/>
        </w:rPr>
        <w:t>The methods of determining the fair value of assets and liabilities presented in this note are consistent with the methodologies disclosed in Note 20 of the 2021 Form 10-K.</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Assets Recorded at Fair Value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financial assets measured at fair value on a recurring basis at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580"/>
              <w:spacing w:after="0"/>
              <w:rPr>
                <w:sz w:val="20"/>
                <w:szCs w:val="20"/>
                <w:color w:val="auto"/>
              </w:rPr>
            </w:pPr>
            <w:r>
              <w:rPr>
                <w:rFonts w:ascii="Arial" w:cs="Arial" w:eastAsia="Arial" w:hAnsi="Arial"/>
                <w:sz w:val="16"/>
                <w:szCs w:val="16"/>
                <w:b w:val="1"/>
                <w:bCs w:val="1"/>
                <w:color w:val="auto"/>
              </w:rPr>
              <w:t>March 31, 2022</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0"/>
        </w:trPr>
        <w:tc>
          <w:tcPr>
            <w:tcW w:w="5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MBS, residential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34,063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1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bonds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48,009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r>
      <w:tr>
        <w:trPr>
          <w:trHeight w:val="233"/>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106,315</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660"/>
              <w:spacing w:after="0"/>
              <w:rPr>
                <w:sz w:val="20"/>
                <w:szCs w:val="20"/>
                <w:color w:val="auto"/>
              </w:rPr>
            </w:pPr>
            <w:r>
              <w:rPr>
                <w:rFonts w:ascii="Arial" w:cs="Arial" w:eastAsia="Arial" w:hAnsi="Arial"/>
                <w:sz w:val="16"/>
                <w:szCs w:val="16"/>
                <w:b w:val="1"/>
                <w:bCs w:val="1"/>
                <w:color w:val="auto"/>
              </w:rPr>
              <w:t>June 30, 2021</w:t>
            </w: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0"/>
        </w:trPr>
        <w:tc>
          <w:tcPr>
            <w:tcW w:w="5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2</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Level 3</w:t>
            </w:r>
          </w:p>
        </w:tc>
      </w:tr>
      <w:tr>
        <w:trPr>
          <w:trHeight w:val="212"/>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government agencies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13"/>
        </w:trPr>
        <w:tc>
          <w:tcPr>
            <w:tcW w:w="5540" w:type="dxa"/>
            <w:vAlign w:val="bottom"/>
          </w:tcPr>
          <w:p>
            <w:pPr>
              <w:ind w:left="20"/>
              <w:spacing w:after="0"/>
              <w:rPr>
                <w:sz w:val="20"/>
                <w:szCs w:val="20"/>
                <w:color w:val="auto"/>
              </w:rPr>
            </w:pPr>
            <w:r>
              <w:rPr>
                <w:rFonts w:ascii="Arial" w:cs="Arial" w:eastAsia="Arial" w:hAnsi="Arial"/>
                <w:sz w:val="16"/>
                <w:szCs w:val="16"/>
                <w:color w:val="auto"/>
              </w:rPr>
              <w:t>MBS, residential</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43,404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43,404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ind w:left="860"/>
              <w:spacing w:after="0"/>
              <w:rPr>
                <w:sz w:val="20"/>
                <w:szCs w:val="20"/>
                <w:color w:val="auto"/>
              </w:rPr>
            </w:pPr>
            <w:r>
              <w:rPr>
                <w:rFonts w:ascii="Arial" w:cs="Arial" w:eastAsia="Arial" w:hAnsi="Arial"/>
                <w:sz w:val="16"/>
                <w:szCs w:val="16"/>
                <w:color w:val="auto"/>
              </w:rPr>
              <w:t>—</w:t>
            </w:r>
          </w:p>
        </w:tc>
      </w:tr>
      <w:tr>
        <w:trPr>
          <w:trHeight w:val="219"/>
        </w:trPr>
        <w:tc>
          <w:tcPr>
            <w:tcW w:w="5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Municipal bonds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13"/>
        </w:trPr>
        <w:tc>
          <w:tcPr>
            <w:tcW w:w="55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bonds</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82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84,431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w:t>
            </w:r>
          </w:p>
        </w:tc>
      </w:tr>
      <w:tr>
        <w:trPr>
          <w:trHeight w:val="233"/>
        </w:trPr>
        <w:tc>
          <w:tcPr>
            <w:tcW w:w="55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Total</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156,459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There were no transfers between levels during the nine months ended March 31, 2022 and 2021.</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financial assets measured at fair value on a non-recurring basis at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March 31, 2022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3</w:t>
            </w:r>
          </w:p>
        </w:tc>
      </w:tr>
      <w:tr>
        <w:trPr>
          <w:trHeight w:val="19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 dependent loans:</w:t>
            </w: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5560" w:type="dxa"/>
            <w:vAlign w:val="bottom"/>
          </w:tcPr>
          <w:p>
            <w:pPr>
              <w:ind w:left="140"/>
              <w:spacing w:after="0"/>
              <w:rPr>
                <w:sz w:val="20"/>
                <w:szCs w:val="20"/>
                <w:color w:val="auto"/>
              </w:rPr>
            </w:pPr>
            <w:r>
              <w:rPr>
                <w:rFonts w:ascii="Arial" w:cs="Arial" w:eastAsia="Arial" w:hAnsi="Arial"/>
                <w:sz w:val="16"/>
                <w:szCs w:val="16"/>
                <w:color w:val="auto"/>
              </w:rPr>
              <w:t>Commercial real estate</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and industrial</w:t>
            </w: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w:t>
            </w:r>
          </w:p>
        </w:tc>
      </w:tr>
      <w:tr>
        <w:trPr>
          <w:trHeight w:val="213"/>
        </w:trPr>
        <w:tc>
          <w:tcPr>
            <w:tcW w:w="5560" w:type="dxa"/>
            <w:vAlign w:val="bottom"/>
          </w:tcPr>
          <w:p>
            <w:pPr>
              <w:ind w:left="240"/>
              <w:spacing w:after="0"/>
              <w:rPr>
                <w:sz w:val="20"/>
                <w:szCs w:val="20"/>
                <w:color w:val="auto"/>
              </w:rPr>
            </w:pPr>
            <w:r>
              <w:rPr>
                <w:rFonts w:ascii="Arial" w:cs="Arial" w:eastAsia="Arial" w:hAnsi="Arial"/>
                <w:sz w:val="16"/>
                <w:szCs w:val="16"/>
                <w:b w:val="1"/>
                <w:bCs w:val="1"/>
                <w:color w:val="auto"/>
              </w:rPr>
              <w:t>Total</w:t>
            </w: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0"/>
        </w:trPr>
        <w:tc>
          <w:tcPr>
            <w:tcW w:w="55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June 30, 2021</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r>
      <w:tr>
        <w:trPr>
          <w:trHeight w:val="210"/>
        </w:trPr>
        <w:tc>
          <w:tcPr>
            <w:tcW w:w="55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Total</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Level 2</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Level 3</w:t>
            </w:r>
          </w:p>
        </w:tc>
      </w:tr>
      <w:tr>
        <w:trPr>
          <w:trHeight w:val="199"/>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Collateral dependent loans:</w:t>
            </w:r>
          </w:p>
        </w:tc>
        <w:tc>
          <w:tcPr>
            <w:tcW w:w="8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5560" w:type="dxa"/>
            <w:vAlign w:val="bottom"/>
          </w:tcPr>
          <w:p>
            <w:pPr>
              <w:ind w:left="140"/>
              <w:spacing w:after="0"/>
              <w:rPr>
                <w:sz w:val="20"/>
                <w:szCs w:val="20"/>
                <w:color w:val="auto"/>
              </w:rPr>
            </w:pPr>
            <w:r>
              <w:rPr>
                <w:rFonts w:ascii="Arial" w:cs="Arial" w:eastAsia="Arial" w:hAnsi="Arial"/>
                <w:sz w:val="16"/>
                <w:szCs w:val="16"/>
                <w:color w:val="auto"/>
              </w:rPr>
              <w:t>Commercial real estate</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4,841</w:t>
            </w:r>
          </w:p>
        </w:tc>
        <w:tc>
          <w:tcPr>
            <w:tcW w:w="10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4,841</w:t>
            </w:r>
          </w:p>
        </w:tc>
      </w:tr>
      <w:tr>
        <w:trPr>
          <w:trHeight w:val="216"/>
        </w:trPr>
        <w:tc>
          <w:tcPr>
            <w:tcW w:w="5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finance</w:t>
            </w:r>
          </w:p>
        </w:tc>
        <w:tc>
          <w:tcPr>
            <w:tcW w:w="8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c>
          <w:tcPr>
            <w:tcW w:w="1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w:t>
            </w:r>
          </w:p>
        </w:tc>
      </w:tr>
      <w:tr>
        <w:trPr>
          <w:trHeight w:val="213"/>
        </w:trPr>
        <w:tc>
          <w:tcPr>
            <w:tcW w:w="5560" w:type="dxa"/>
            <w:vAlign w:val="bottom"/>
          </w:tcPr>
          <w:p>
            <w:pPr>
              <w:ind w:left="240"/>
              <w:spacing w:after="0"/>
              <w:rPr>
                <w:sz w:val="20"/>
                <w:szCs w:val="20"/>
                <w:color w:val="auto"/>
              </w:rPr>
            </w:pPr>
            <w:r>
              <w:rPr>
                <w:rFonts w:ascii="Arial" w:cs="Arial" w:eastAsia="Arial" w:hAnsi="Arial"/>
                <w:sz w:val="16"/>
                <w:szCs w:val="16"/>
                <w:b w:val="1"/>
                <w:bCs w:val="1"/>
                <w:color w:val="auto"/>
              </w:rPr>
              <w:t>Total</w:t>
            </w:r>
          </w:p>
        </w:tc>
        <w:tc>
          <w:tcPr>
            <w:tcW w:w="860" w:type="dxa"/>
            <w:vAlign w:val="bottom"/>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4"/>
              </w:rPr>
              <w:t>5,116</w:t>
            </w:r>
          </w:p>
        </w:tc>
        <w:tc>
          <w:tcPr>
            <w:tcW w:w="10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5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83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5,116</w:t>
            </w:r>
          </w:p>
        </w:tc>
      </w:tr>
      <w:tr>
        <w:trPr>
          <w:trHeight w:val="20"/>
        </w:trPr>
        <w:tc>
          <w:tcPr>
            <w:tcW w:w="55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A loan is considered to be collateral dependent when, based on current information and events, the Company expects repayment of the financial assets to be provided substantially through the operation or sale of the collateral and the Company has determined that the borrower is experiencing financial difficulty as of the measurement date. For real estate loans, the fair value of the loan's collateral is determined by a third party appraisal, which is then adjusted for the estimated selling and closing costs related to liquidation of the collateral (typically ranging from 8% to 12% of the appraised value). For this asset class, the actual valuation methods (income, sales comparable, or cost) vary based on the status of the project or property. Additional discounts of 5% to 15% may be applied depending on the age of the appraisals. The unobservable inputs may vary depending on the individual asset with no one of the three methods being the predominant approach. For non-real estate loans, the fair value of the loan's collateral may be determined using an appraisal, net book value per the borrower's financial statements, or aging reports, adjusted or discounted based on management's historical knowledge, changes in market conditions from the time of the valuation, and management's expertise and knowledge of the customer and customer's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stated carrying value and estimated fair value amounts of financial instruments as of March 31, 2022 and June 30, 2021, are summarized below:</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2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Arial" w:cs="Arial" w:eastAsia="Arial" w:hAnsi="Arial"/>
                <w:sz w:val="16"/>
                <w:szCs w:val="16"/>
                <w:b w:val="1"/>
                <w:bCs w:val="1"/>
                <w:color w:val="auto"/>
                <w:w w:val="97"/>
              </w:rPr>
              <w:t>Carrying</w:t>
            </w:r>
          </w:p>
        </w:tc>
        <w:tc>
          <w:tcPr>
            <w:tcW w:w="280" w:type="dxa"/>
            <w:vAlign w:val="bottom"/>
          </w:tcPr>
          <w:p>
            <w:pPr>
              <w:spacing w:after="0"/>
              <w:rPr>
                <w:sz w:val="13"/>
                <w:szCs w:val="13"/>
                <w:color w:val="auto"/>
              </w:rPr>
            </w:pPr>
          </w:p>
        </w:tc>
        <w:tc>
          <w:tcPr>
            <w:tcW w:w="11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Fair</w:t>
            </w:r>
          </w:p>
        </w:tc>
        <w:tc>
          <w:tcPr>
            <w:tcW w:w="120" w:type="dxa"/>
            <w:vAlign w:val="bottom"/>
          </w:tcPr>
          <w:p>
            <w:pPr>
              <w:spacing w:after="0"/>
              <w:rPr>
                <w:sz w:val="13"/>
                <w:szCs w:val="13"/>
                <w:color w:val="auto"/>
              </w:rPr>
            </w:pPr>
          </w:p>
        </w:tc>
        <w:tc>
          <w:tcPr>
            <w:tcW w:w="1320" w:type="dxa"/>
            <w:vAlign w:val="bottom"/>
            <w:gridSpan w:val="2"/>
            <w:vMerge w:val="restart"/>
          </w:tcPr>
          <w:p>
            <w:pPr>
              <w:ind w:left="280"/>
              <w:spacing w:after="0"/>
              <w:rPr>
                <w:sz w:val="20"/>
                <w:szCs w:val="20"/>
                <w:color w:val="auto"/>
              </w:rPr>
            </w:pPr>
            <w:r>
              <w:rPr>
                <w:rFonts w:ascii="Arial" w:cs="Arial" w:eastAsia="Arial" w:hAnsi="Arial"/>
                <w:sz w:val="16"/>
                <w:szCs w:val="16"/>
                <w:b w:val="1"/>
                <w:bCs w:val="1"/>
                <w:color w:val="auto"/>
              </w:rPr>
              <w:t>Level 1</w:t>
            </w:r>
          </w:p>
        </w:tc>
        <w:tc>
          <w:tcPr>
            <w:tcW w:w="240" w:type="dxa"/>
            <w:vAlign w:val="bottom"/>
          </w:tcPr>
          <w:p>
            <w:pPr>
              <w:spacing w:after="0"/>
              <w:rPr>
                <w:sz w:val="13"/>
                <w:szCs w:val="13"/>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3"/>
        </w:trPr>
        <w:tc>
          <w:tcPr>
            <w:tcW w:w="4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8"/>
              </w:rPr>
              <w:t>Value</w:t>
            </w: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52,050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52,050</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52,050</w:t>
            </w:r>
          </w:p>
        </w:tc>
        <w:tc>
          <w:tcPr>
            <w:tcW w:w="120" w:type="dxa"/>
            <w:vAlign w:val="bottom"/>
          </w:tcPr>
          <w:p>
            <w:pPr>
              <w:spacing w:after="0"/>
              <w:rPr>
                <w:sz w:val="18"/>
                <w:szCs w:val="18"/>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1440" w:type="dxa"/>
            <w:vAlign w:val="bottom"/>
            <w:gridSpan w:val="3"/>
          </w:tcPr>
          <w:p>
            <w:pPr>
              <w:ind w:left="860"/>
              <w:spacing w:after="0"/>
              <w:rPr>
                <w:sz w:val="20"/>
                <w:szCs w:val="20"/>
                <w:color w:val="auto"/>
              </w:rPr>
            </w:pPr>
            <w:r>
              <w:rPr>
                <w:rFonts w:ascii="Arial" w:cs="Arial" w:eastAsia="Arial" w:hAnsi="Arial"/>
                <w:sz w:val="16"/>
                <w:szCs w:val="16"/>
                <w:color w:val="auto"/>
              </w:rPr>
              <w:t>—   $</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paper</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Arial" w:cs="Arial" w:eastAsia="Arial" w:hAnsi="Arial"/>
                <w:sz w:val="16"/>
                <w:szCs w:val="16"/>
                <w:color w:val="auto"/>
              </w:rPr>
              <w:t>Certificates of deposit in other banks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28,125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securities available for sale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106,315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Arial" w:cs="Arial" w:eastAsia="Arial" w:hAnsi="Arial"/>
                <w:sz w:val="16"/>
                <w:szCs w:val="16"/>
                <w:color w:val="auto"/>
              </w:rPr>
              <w:t>Loans held for sale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85,263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86,338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86,338</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Loans, net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2,668,504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2,620,750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2,620,750</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Arial" w:cs="Arial" w:eastAsia="Arial" w:hAnsi="Arial"/>
                <w:sz w:val="16"/>
                <w:szCs w:val="16"/>
                <w:color w:val="auto"/>
              </w:rPr>
              <w:t>FHLB stock</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3,038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N/A</w:t>
            </w:r>
          </w:p>
        </w:tc>
        <w:tc>
          <w:tcPr>
            <w:tcW w:w="120" w:type="dxa"/>
            <w:vAlign w:val="bottom"/>
          </w:tcPr>
          <w:p>
            <w:pPr>
              <w:spacing w:after="0"/>
              <w:rPr>
                <w:sz w:val="18"/>
                <w:szCs w:val="18"/>
                <w:color w:val="auto"/>
              </w:rPr>
            </w:pPr>
          </w:p>
        </w:tc>
        <w:tc>
          <w:tcPr>
            <w:tcW w:w="1320" w:type="dxa"/>
            <w:vAlign w:val="bottom"/>
            <w:gridSpan w:val="2"/>
          </w:tcPr>
          <w:p>
            <w:pPr>
              <w:ind w:left="900"/>
              <w:spacing w:after="0"/>
              <w:rPr>
                <w:sz w:val="20"/>
                <w:szCs w:val="20"/>
                <w:color w:val="auto"/>
              </w:rPr>
            </w:pPr>
            <w:r>
              <w:rPr>
                <w:rFonts w:ascii="Arial" w:cs="Arial" w:eastAsia="Arial" w:hAnsi="Arial"/>
                <w:sz w:val="16"/>
                <w:szCs w:val="16"/>
                <w:color w:val="auto"/>
              </w:rPr>
              <w:t>N/A</w:t>
            </w:r>
          </w:p>
        </w:tc>
        <w:tc>
          <w:tcPr>
            <w:tcW w:w="240" w:type="dxa"/>
            <w:vAlign w:val="bottom"/>
          </w:tcPr>
          <w:p>
            <w:pPr>
              <w:spacing w:after="0"/>
              <w:rPr>
                <w:sz w:val="18"/>
                <w:szCs w:val="18"/>
                <w:color w:val="auto"/>
              </w:rPr>
            </w:pPr>
          </w:p>
        </w:tc>
        <w:tc>
          <w:tcPr>
            <w:tcW w:w="1440" w:type="dxa"/>
            <w:vAlign w:val="bottom"/>
            <w:gridSpan w:val="3"/>
          </w:tcPr>
          <w:p>
            <w:pPr>
              <w:ind w:left="780"/>
              <w:spacing w:after="0"/>
              <w:rPr>
                <w:sz w:val="20"/>
                <w:szCs w:val="20"/>
                <w:color w:val="auto"/>
              </w:rPr>
            </w:pPr>
            <w:r>
              <w:rPr>
                <w:rFonts w:ascii="Arial" w:cs="Arial" w:eastAsia="Arial" w:hAnsi="Arial"/>
                <w:sz w:val="16"/>
                <w:szCs w:val="16"/>
                <w:color w:val="auto"/>
              </w:rPr>
              <w:t>N/A</w:t>
            </w:r>
          </w:p>
        </w:tc>
        <w:tc>
          <w:tcPr>
            <w:tcW w:w="110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FRB stock</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N/A</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00"/>
              <w:spacing w:after="0"/>
              <w:rPr>
                <w:sz w:val="20"/>
                <w:szCs w:val="20"/>
                <w:color w:val="auto"/>
              </w:rPr>
            </w:pPr>
            <w:r>
              <w:rPr>
                <w:rFonts w:ascii="Arial" w:cs="Arial" w:eastAsia="Arial" w:hAnsi="Arial"/>
                <w:sz w:val="16"/>
                <w:szCs w:val="16"/>
                <w:color w:val="auto"/>
              </w:rPr>
              <w:t>N/A</w:t>
            </w: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N/A</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Arial" w:cs="Arial" w:eastAsia="Arial" w:hAnsi="Arial"/>
                <w:sz w:val="16"/>
                <w:szCs w:val="16"/>
                <w:color w:val="auto"/>
              </w:rPr>
              <w:t>SBIC investments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12,589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12,589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440" w:type="dxa"/>
            <w:vAlign w:val="bottom"/>
            <w:gridSpan w:val="3"/>
          </w:tcPr>
          <w:p>
            <w:pPr>
              <w:jc w:val="right"/>
              <w:ind w:right="420"/>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12,589</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receivable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7,427</w:t>
            </w:r>
          </w:p>
        </w:tc>
        <w:tc>
          <w:tcPr>
            <w:tcW w:w="0" w:type="dxa"/>
            <w:vAlign w:val="bottom"/>
          </w:tcPr>
          <w:p>
            <w:pPr>
              <w:spacing w:after="0"/>
              <w:rPr>
                <w:sz w:val="1"/>
                <w:szCs w:val="1"/>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Noninterest-bearing and NOW accounts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1,356,921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1,356,921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1,356,921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Arial" w:cs="Arial" w:eastAsia="Arial" w:hAnsi="Arial"/>
                <w:sz w:val="16"/>
                <w:szCs w:val="16"/>
                <w:color w:val="auto"/>
              </w:rPr>
              <w:t>Money market accounts</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1,026,595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1,026,595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1,026,595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Savings accounts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232,831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40" w:type="dxa"/>
            <w:vAlign w:val="bottom"/>
          </w:tcPr>
          <w:p>
            <w:pPr>
              <w:ind w:left="180"/>
              <w:spacing w:after="0"/>
              <w:rPr>
                <w:sz w:val="20"/>
                <w:szCs w:val="20"/>
                <w:color w:val="auto"/>
              </w:rPr>
            </w:pPr>
            <w:r>
              <w:rPr>
                <w:rFonts w:ascii="Arial" w:cs="Arial" w:eastAsia="Arial" w:hAnsi="Arial"/>
                <w:sz w:val="16"/>
                <w:szCs w:val="16"/>
                <w:color w:val="auto"/>
              </w:rPr>
              <w:t>Certificates of deposit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442,810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439,407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439,407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40" w:type="dxa"/>
            <w:vAlign w:val="bottom"/>
          </w:tcPr>
          <w:p>
            <w:pPr>
              <w:ind w:left="180"/>
              <w:spacing w:after="0"/>
              <w:rPr>
                <w:sz w:val="20"/>
                <w:szCs w:val="20"/>
                <w:color w:val="auto"/>
              </w:rPr>
            </w:pPr>
            <w:r>
              <w:rPr>
                <w:rFonts w:ascii="Arial" w:cs="Arial" w:eastAsia="Arial" w:hAnsi="Arial"/>
                <w:sz w:val="16"/>
                <w:szCs w:val="16"/>
                <w:color w:val="auto"/>
              </w:rPr>
              <w:t>Accrued interest payable</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0"/>
              </w:rPr>
              <w:t>June 30, 2021</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7"/>
              </w:rPr>
              <w:t>Carrying</w:t>
            </w:r>
          </w:p>
        </w:tc>
        <w:tc>
          <w:tcPr>
            <w:tcW w:w="280" w:type="dxa"/>
            <w:vAlign w:val="bottom"/>
          </w:tcPr>
          <w:p>
            <w:pPr>
              <w:spacing w:after="0"/>
              <w:rPr>
                <w:sz w:val="13"/>
                <w:szCs w:val="13"/>
                <w:color w:val="auto"/>
              </w:rPr>
            </w:pPr>
          </w:p>
        </w:tc>
        <w:tc>
          <w:tcPr>
            <w:tcW w:w="1160" w:type="dxa"/>
            <w:vAlign w:val="bottom"/>
            <w:gridSpan w:val="2"/>
          </w:tcPr>
          <w:p>
            <w:pPr>
              <w:jc w:val="center"/>
              <w:ind w:right="380"/>
              <w:spacing w:after="0" w:line="158" w:lineRule="exact"/>
              <w:rPr>
                <w:sz w:val="20"/>
                <w:szCs w:val="20"/>
                <w:color w:val="auto"/>
              </w:rPr>
            </w:pPr>
            <w:r>
              <w:rPr>
                <w:rFonts w:ascii="Arial" w:cs="Arial" w:eastAsia="Arial" w:hAnsi="Arial"/>
                <w:sz w:val="16"/>
                <w:szCs w:val="16"/>
                <w:b w:val="1"/>
                <w:bCs w:val="1"/>
                <w:color w:val="auto"/>
              </w:rPr>
              <w:t>Fair</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Level 1</w:t>
            </w:r>
          </w:p>
        </w:tc>
        <w:tc>
          <w:tcPr>
            <w:tcW w:w="260" w:type="dxa"/>
            <w:vAlign w:val="bottom"/>
          </w:tcPr>
          <w:p>
            <w:pPr>
              <w:spacing w:after="0"/>
              <w:rPr>
                <w:sz w:val="13"/>
                <w:szCs w:val="13"/>
                <w:color w:val="auto"/>
              </w:rPr>
            </w:pPr>
          </w:p>
        </w:tc>
        <w:tc>
          <w:tcPr>
            <w:tcW w:w="1440" w:type="dxa"/>
            <w:vAlign w:val="bottom"/>
            <w:gridSpan w:val="3"/>
            <w:vMerge w:val="restart"/>
          </w:tcPr>
          <w:p>
            <w:pPr>
              <w:ind w:left="160"/>
              <w:spacing w:after="0"/>
              <w:rPr>
                <w:sz w:val="20"/>
                <w:szCs w:val="20"/>
                <w:color w:val="auto"/>
              </w:rPr>
            </w:pPr>
            <w:r>
              <w:rPr>
                <w:rFonts w:ascii="Arial" w:cs="Arial" w:eastAsia="Arial" w:hAnsi="Arial"/>
                <w:sz w:val="16"/>
                <w:szCs w:val="16"/>
                <w:b w:val="1"/>
                <w:bCs w:val="1"/>
                <w:color w:val="auto"/>
              </w:rPr>
              <w:t>Level 2</w:t>
            </w:r>
          </w:p>
        </w:tc>
        <w:tc>
          <w:tcPr>
            <w:tcW w:w="108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Value</w:t>
            </w:r>
          </w:p>
        </w:tc>
        <w:tc>
          <w:tcPr>
            <w:tcW w:w="28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3"/>
              </w:rPr>
              <w:t>Value</w:t>
            </w: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3"/>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50,990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50,990</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50,990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440" w:type="dxa"/>
            <w:vAlign w:val="bottom"/>
            <w:gridSpan w:val="3"/>
          </w:tcPr>
          <w:p>
            <w:pPr>
              <w:ind w:left="840"/>
              <w:spacing w:after="0"/>
              <w:rPr>
                <w:sz w:val="20"/>
                <w:szCs w:val="20"/>
                <w:color w:val="auto"/>
              </w:rPr>
            </w:pPr>
            <w:r>
              <w:rPr>
                <w:rFonts w:ascii="Arial" w:cs="Arial" w:eastAsia="Arial" w:hAnsi="Arial"/>
                <w:sz w:val="16"/>
                <w:szCs w:val="16"/>
                <w:color w:val="auto"/>
              </w:rPr>
              <w:t>—   $</w:t>
            </w: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189,596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Arial" w:cs="Arial" w:eastAsia="Arial" w:hAnsi="Arial"/>
                <w:sz w:val="16"/>
                <w:szCs w:val="16"/>
                <w:color w:val="auto"/>
              </w:rPr>
              <w:t>Certificates of deposit in other banks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40,122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40,122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40,122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Debt securities available for sale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156,459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156,459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Arial" w:cs="Arial" w:eastAsia="Arial" w:hAnsi="Arial"/>
                <w:sz w:val="16"/>
                <w:szCs w:val="16"/>
                <w:color w:val="auto"/>
              </w:rPr>
              <w:t>Loans held for sale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93,539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94,779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94,779</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Loans,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2,697,799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2,668,570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2,668,570</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Arial" w:cs="Arial" w:eastAsia="Arial" w:hAnsi="Arial"/>
                <w:sz w:val="16"/>
                <w:szCs w:val="16"/>
                <w:color w:val="auto"/>
              </w:rPr>
              <w:t>FHLB stock</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6,153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ind w:left="740"/>
              <w:spacing w:after="0"/>
              <w:rPr>
                <w:sz w:val="20"/>
                <w:szCs w:val="20"/>
                <w:color w:val="auto"/>
              </w:rPr>
            </w:pPr>
            <w:r>
              <w:rPr>
                <w:rFonts w:ascii="Arial" w:cs="Arial" w:eastAsia="Arial" w:hAnsi="Arial"/>
                <w:sz w:val="16"/>
                <w:szCs w:val="16"/>
                <w:color w:val="auto"/>
              </w:rPr>
              <w:t>N/A</w:t>
            </w:r>
          </w:p>
        </w:tc>
        <w:tc>
          <w:tcPr>
            <w:tcW w:w="14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Arial" w:cs="Arial" w:eastAsia="Arial" w:hAnsi="Arial"/>
                <w:sz w:val="16"/>
                <w:szCs w:val="16"/>
                <w:color w:val="auto"/>
              </w:rPr>
              <w:t>N/A</w:t>
            </w:r>
          </w:p>
        </w:tc>
        <w:tc>
          <w:tcPr>
            <w:tcW w:w="260" w:type="dxa"/>
            <w:vAlign w:val="bottom"/>
          </w:tcPr>
          <w:p>
            <w:pPr>
              <w:spacing w:after="0"/>
              <w:rPr>
                <w:sz w:val="18"/>
                <w:szCs w:val="18"/>
                <w:color w:val="auto"/>
              </w:rPr>
            </w:pPr>
          </w:p>
        </w:tc>
        <w:tc>
          <w:tcPr>
            <w:tcW w:w="1440" w:type="dxa"/>
            <w:vAlign w:val="bottom"/>
            <w:gridSpan w:val="3"/>
          </w:tcPr>
          <w:p>
            <w:pPr>
              <w:ind w:left="780"/>
              <w:spacing w:after="0"/>
              <w:rPr>
                <w:sz w:val="20"/>
                <w:szCs w:val="20"/>
                <w:color w:val="auto"/>
              </w:rPr>
            </w:pPr>
            <w:r>
              <w:rPr>
                <w:rFonts w:ascii="Arial" w:cs="Arial" w:eastAsia="Arial" w:hAnsi="Arial"/>
                <w:sz w:val="16"/>
                <w:szCs w:val="16"/>
                <w:color w:val="auto"/>
              </w:rPr>
              <w:t>N/A</w:t>
            </w:r>
          </w:p>
        </w:tc>
        <w:tc>
          <w:tcPr>
            <w:tcW w:w="1080" w:type="dxa"/>
            <w:vAlign w:val="bottom"/>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FRB stock</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740"/>
              <w:spacing w:after="0"/>
              <w:rPr>
                <w:sz w:val="20"/>
                <w:szCs w:val="20"/>
                <w:color w:val="auto"/>
              </w:rPr>
            </w:pPr>
            <w:r>
              <w:rPr>
                <w:rFonts w:ascii="Arial" w:cs="Arial" w:eastAsia="Arial" w:hAnsi="Arial"/>
                <w:sz w:val="16"/>
                <w:szCs w:val="16"/>
                <w:color w:val="auto"/>
              </w:rPr>
              <w:t>N/A</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6"/>
                <w:szCs w:val="16"/>
                <w:color w:val="auto"/>
              </w:rPr>
              <w:t>N/A</w:t>
            </w:r>
          </w:p>
        </w:tc>
        <w:tc>
          <w:tcPr>
            <w:tcW w:w="2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ind w:left="780"/>
              <w:spacing w:after="0"/>
              <w:rPr>
                <w:sz w:val="20"/>
                <w:szCs w:val="20"/>
                <w:color w:val="auto"/>
              </w:rPr>
            </w:pPr>
            <w:r>
              <w:rPr>
                <w:rFonts w:ascii="Arial" w:cs="Arial" w:eastAsia="Arial" w:hAnsi="Arial"/>
                <w:sz w:val="16"/>
                <w:szCs w:val="16"/>
                <w:color w:val="auto"/>
              </w:rPr>
              <w:t>N/A</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Arial" w:cs="Arial" w:eastAsia="Arial" w:hAnsi="Arial"/>
                <w:sz w:val="16"/>
                <w:szCs w:val="16"/>
                <w:color w:val="auto"/>
              </w:rPr>
              <w:t>SBIC investments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10,171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10,171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440" w:type="dxa"/>
            <w:vAlign w:val="bottom"/>
            <w:gridSpan w:val="3"/>
          </w:tcPr>
          <w:p>
            <w:pPr>
              <w:jc w:val="right"/>
              <w:ind w:right="4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10,171</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Accrued interest receivable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7,933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7,339</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Noninterest-bearing and NOW accounts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1,281,372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1,281,372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Arial" w:cs="Arial" w:eastAsia="Arial" w:hAnsi="Arial"/>
                <w:sz w:val="16"/>
                <w:szCs w:val="16"/>
                <w:color w:val="auto"/>
              </w:rPr>
              <w:t>Money market accounts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975,001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975,001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975,001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Savings accounts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226,391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226,391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120" w:type="dxa"/>
            <w:vAlign w:val="bottom"/>
          </w:tcPr>
          <w:p>
            <w:pPr>
              <w:ind w:left="180"/>
              <w:spacing w:after="0"/>
              <w:rPr>
                <w:sz w:val="20"/>
                <w:szCs w:val="20"/>
                <w:color w:val="auto"/>
              </w:rPr>
            </w:pPr>
            <w:r>
              <w:rPr>
                <w:rFonts w:ascii="Arial" w:cs="Arial" w:eastAsia="Arial" w:hAnsi="Arial"/>
                <w:sz w:val="16"/>
                <w:szCs w:val="16"/>
                <w:color w:val="auto"/>
              </w:rPr>
              <w:t>Certificates of deposit</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472,777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474,397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474,397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Borrowings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4120" w:type="dxa"/>
            <w:vAlign w:val="bottom"/>
          </w:tcPr>
          <w:p>
            <w:pPr>
              <w:ind w:left="180"/>
              <w:spacing w:after="0"/>
              <w:rPr>
                <w:sz w:val="20"/>
                <w:szCs w:val="20"/>
                <w:color w:val="auto"/>
              </w:rPr>
            </w:pPr>
            <w:r>
              <w:rPr>
                <w:rFonts w:ascii="Arial" w:cs="Arial" w:eastAsia="Arial" w:hAnsi="Arial"/>
                <w:sz w:val="16"/>
                <w:szCs w:val="16"/>
                <w:color w:val="auto"/>
              </w:rPr>
              <w:t>Accrued interest payable</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3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Company had off-balance sheet financial commitments, which included approximately $902,187 and $940,249 of commitments to originate loans, undisbursed portions of construction loans, unused lines of credit, and standby letters of credit at March 31, 2022 and June 30, 2021, respectively (see "Note 9 – Commitments and Contingencies"). Since these commitments are based on current rates, the carrying amount approximates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4"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Leases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Lessee - Operating Leases</w:t>
      </w:r>
    </w:p>
    <w:p>
      <w:pPr>
        <w:spacing w:after="0" w:line="167" w:lineRule="exact"/>
        <w:rPr>
          <w:sz w:val="20"/>
          <w:szCs w:val="20"/>
          <w:color w:val="auto"/>
        </w:rPr>
      </w:pPr>
    </w:p>
    <w:p>
      <w:pPr>
        <w:jc w:val="both"/>
        <w:spacing w:after="0" w:line="295" w:lineRule="auto"/>
        <w:rPr>
          <w:sz w:val="20"/>
          <w:szCs w:val="20"/>
          <w:color w:val="auto"/>
        </w:rPr>
      </w:pPr>
      <w:r>
        <w:rPr>
          <w:rFonts w:ascii="Arial" w:cs="Arial" w:eastAsia="Arial" w:hAnsi="Arial"/>
          <w:sz w:val="14"/>
          <w:szCs w:val="14"/>
          <w:color w:val="auto"/>
        </w:rPr>
        <w:t>The Company's operating leases primarily include office space and bank branches. Certain leases include one or more options to renew, with renewal terms that can extend the lease term up to 15 additional years. The exercise of lease renewal options is at management's sole discretion. When it is reasonably certain that the Company will exercise its option to renew or extend the lease term, that option is included in estimating the value of the ROU and lease liability. The Company's lease agreements do not contain any material residual value guarantees or material restrictive covenants. Most of the Company's lease agreements include periodic rate adjustments for inflation. The depreciable life of ROU assets and leasehold improvements are limited to the shorter of the useful life or the expected lease term. Leases with an initial term of 12 months or less are not recorded on the Company's Consolidated Balance Sheet. The Company recognizes lease expenses for these leases over the lease term.</w:t>
      </w:r>
    </w:p>
    <w:p>
      <w:pPr>
        <w:spacing w:after="0" w:line="10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following table presents supplemental balance sheet information related to operating leases. ROU assets are included in other assets and lease liabilities are included in other liabilities.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60" w:type="dxa"/>
            <w:vAlign w:val="bottom"/>
          </w:tcPr>
          <w:p>
            <w:pPr>
              <w:ind w:left="20"/>
              <w:spacing w:after="0"/>
              <w:rPr>
                <w:sz w:val="20"/>
                <w:szCs w:val="20"/>
                <w:color w:val="auto"/>
              </w:rPr>
            </w:pPr>
            <w:r>
              <w:rPr>
                <w:rFonts w:ascii="Arial" w:cs="Arial" w:eastAsia="Arial" w:hAnsi="Arial"/>
                <w:sz w:val="16"/>
                <w:szCs w:val="16"/>
                <w:b w:val="1"/>
                <w:bCs w:val="1"/>
                <w:color w:val="auto"/>
              </w:rPr>
              <w:t>Supplemental Balance Sheet Information:</w:t>
            </w:r>
          </w:p>
        </w:tc>
        <w:tc>
          <w:tcPr>
            <w:tcW w:w="140" w:type="dxa"/>
            <w:vAlign w:val="bottom"/>
          </w:tcPr>
          <w:p>
            <w:pPr>
              <w:spacing w:after="0"/>
              <w:rPr>
                <w:sz w:val="18"/>
                <w:szCs w:val="18"/>
                <w:color w:val="auto"/>
              </w:rPr>
            </w:pPr>
          </w:p>
        </w:tc>
        <w:tc>
          <w:tcPr>
            <w:tcW w:w="144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w w:val="96"/>
              </w:rPr>
              <w:t>March 31, 2022</w:t>
            </w:r>
          </w:p>
        </w:tc>
        <w:tc>
          <w:tcPr>
            <w:tcW w:w="140" w:type="dxa"/>
            <w:vAlign w:val="bottom"/>
          </w:tcPr>
          <w:p>
            <w:pPr>
              <w:spacing w:after="0"/>
              <w:rPr>
                <w:sz w:val="18"/>
                <w:szCs w:val="18"/>
                <w:color w:val="auto"/>
              </w:rPr>
            </w:pPr>
          </w:p>
        </w:tc>
        <w:tc>
          <w:tcPr>
            <w:tcW w:w="11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2"/>
              </w:rPr>
              <w:t>June 30, 2021</w:t>
            </w:r>
          </w:p>
        </w:tc>
        <w:tc>
          <w:tcPr>
            <w:tcW w:w="0" w:type="dxa"/>
            <w:vAlign w:val="bottom"/>
          </w:tcPr>
          <w:p>
            <w:pPr>
              <w:spacing w:after="0"/>
              <w:rPr>
                <w:sz w:val="1"/>
                <w:szCs w:val="1"/>
                <w:color w:val="auto"/>
              </w:rPr>
            </w:pPr>
          </w:p>
        </w:tc>
      </w:tr>
      <w:tr>
        <w:trPr>
          <w:trHeight w:val="57"/>
        </w:trPr>
        <w:tc>
          <w:tcPr>
            <w:tcW w:w="8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4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836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ROU assets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6,172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5,498</w:t>
            </w:r>
          </w:p>
        </w:tc>
        <w:tc>
          <w:tcPr>
            <w:tcW w:w="0" w:type="dxa"/>
            <w:vAlign w:val="bottom"/>
          </w:tcPr>
          <w:p>
            <w:pPr>
              <w:spacing w:after="0"/>
              <w:rPr>
                <w:sz w:val="1"/>
                <w:szCs w:val="1"/>
                <w:color w:val="auto"/>
              </w:rPr>
            </w:pPr>
          </w:p>
        </w:tc>
      </w:tr>
      <w:tr>
        <w:trPr>
          <w:trHeight w:val="210"/>
        </w:trPr>
        <w:tc>
          <w:tcPr>
            <w:tcW w:w="8360" w:type="dxa"/>
            <w:vAlign w:val="bottom"/>
          </w:tcPr>
          <w:p>
            <w:pPr>
              <w:ind w:left="140"/>
              <w:spacing w:after="0"/>
              <w:rPr>
                <w:sz w:val="20"/>
                <w:szCs w:val="20"/>
                <w:color w:val="auto"/>
              </w:rPr>
            </w:pPr>
            <w:r>
              <w:rPr>
                <w:rFonts w:ascii="Arial" w:cs="Arial" w:eastAsia="Arial" w:hAnsi="Arial"/>
                <w:sz w:val="16"/>
                <w:szCs w:val="16"/>
                <w:color w:val="auto"/>
              </w:rPr>
              <w:t>Lease liabilities</w:t>
            </w:r>
          </w:p>
        </w:tc>
        <w:tc>
          <w:tcPr>
            <w:tcW w:w="140" w:type="dxa"/>
            <w:vAlign w:val="bottom"/>
          </w:tcPr>
          <w:p>
            <w:pPr>
              <w:spacing w:after="0"/>
              <w:rPr>
                <w:sz w:val="18"/>
                <w:szCs w:val="18"/>
                <w:color w:val="auto"/>
              </w:rPr>
            </w:pPr>
          </w:p>
        </w:tc>
        <w:tc>
          <w:tcPr>
            <w:tcW w:w="1340" w:type="dxa"/>
            <w:vAlign w:val="bottom"/>
          </w:tcPr>
          <w:p>
            <w:pPr>
              <w:jc w:val="right"/>
              <w:ind w:right="119"/>
              <w:spacing w:after="0"/>
              <w:rPr>
                <w:sz w:val="20"/>
                <w:szCs w:val="20"/>
                <w:color w:val="auto"/>
              </w:rPr>
            </w:pPr>
            <w:r>
              <w:rPr>
                <w:rFonts w:ascii="Arial" w:cs="Arial" w:eastAsia="Arial" w:hAnsi="Arial"/>
                <w:sz w:val="16"/>
                <w:szCs w:val="16"/>
                <w:color w:val="auto"/>
              </w:rPr>
              <w:t>6,961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5,926</w:t>
            </w:r>
          </w:p>
        </w:tc>
        <w:tc>
          <w:tcPr>
            <w:tcW w:w="0" w:type="dxa"/>
            <w:vAlign w:val="bottom"/>
          </w:tcPr>
          <w:p>
            <w:pPr>
              <w:spacing w:after="0"/>
              <w:rPr>
                <w:sz w:val="1"/>
                <w:szCs w:val="1"/>
                <w:color w:val="auto"/>
              </w:rPr>
            </w:pPr>
          </w:p>
        </w:tc>
      </w:tr>
    </w:tbl>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Weighted-average remaining lease terms (years)</w:t>
            </w:r>
          </w:p>
        </w:tc>
        <w:tc>
          <w:tcPr>
            <w:tcW w:w="138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rPr>
              <w:t>10.78</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9.49</w:t>
            </w:r>
          </w:p>
        </w:tc>
      </w:tr>
      <w:tr>
        <w:trPr>
          <w:trHeight w:val="210"/>
        </w:trPr>
        <w:tc>
          <w:tcPr>
            <w:tcW w:w="8560" w:type="dxa"/>
            <w:vAlign w:val="bottom"/>
          </w:tcPr>
          <w:p>
            <w:pPr>
              <w:ind w:left="140"/>
              <w:spacing w:after="0"/>
              <w:rPr>
                <w:sz w:val="20"/>
                <w:szCs w:val="20"/>
                <w:color w:val="auto"/>
              </w:rPr>
            </w:pPr>
            <w:r>
              <w:rPr>
                <w:rFonts w:ascii="Arial" w:cs="Arial" w:eastAsia="Arial" w:hAnsi="Arial"/>
                <w:sz w:val="16"/>
                <w:szCs w:val="16"/>
                <w:color w:val="auto"/>
              </w:rPr>
              <w:t>Weighted-average discount rate</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2.89 %</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3.18 %</w:t>
            </w:r>
          </w:p>
        </w:tc>
      </w:tr>
      <w:tr>
        <w:trPr>
          <w:trHeight w:val="445"/>
        </w:trPr>
        <w:tc>
          <w:tcPr>
            <w:tcW w:w="8560" w:type="dxa"/>
            <w:vAlign w:val="bottom"/>
          </w:tcPr>
          <w:p>
            <w:pPr>
              <w:spacing w:after="0"/>
              <w:rPr>
                <w:sz w:val="20"/>
                <w:szCs w:val="20"/>
                <w:color w:val="auto"/>
              </w:rPr>
            </w:pPr>
            <w:r>
              <w:rPr>
                <w:rFonts w:ascii="Arial" w:cs="Arial" w:eastAsia="Arial" w:hAnsi="Arial"/>
                <w:sz w:val="16"/>
                <w:szCs w:val="16"/>
                <w:color w:val="auto"/>
                <w:w w:val="93"/>
              </w:rPr>
              <w:t>The following schedule summarizes aggregate future minimum lease payments under these operating leases at March 31, 2022:</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27"/>
        </w:trPr>
        <w:tc>
          <w:tcPr>
            <w:tcW w:w="8560" w:type="dxa"/>
            <w:vAlign w:val="bottom"/>
          </w:tcPr>
          <w:p>
            <w:pPr>
              <w:ind w:left="20"/>
              <w:spacing w:after="0"/>
              <w:rPr>
                <w:sz w:val="20"/>
                <w:szCs w:val="20"/>
                <w:color w:val="auto"/>
              </w:rPr>
            </w:pPr>
            <w:r>
              <w:rPr>
                <w:rFonts w:ascii="Arial" w:cs="Arial" w:eastAsia="Arial" w:hAnsi="Arial"/>
                <w:sz w:val="16"/>
                <w:szCs w:val="16"/>
                <w:b w:val="1"/>
                <w:bCs w:val="1"/>
                <w:color w:val="auto"/>
              </w:rPr>
              <w:t>Fiscal year ending June 30:</w:t>
            </w: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9"/>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Remaining 2022</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1,573</w:t>
            </w:r>
          </w:p>
        </w:tc>
      </w:tr>
      <w:tr>
        <w:trPr>
          <w:trHeight w:val="213"/>
        </w:trPr>
        <w:tc>
          <w:tcPr>
            <w:tcW w:w="8560" w:type="dxa"/>
            <w:vAlign w:val="bottom"/>
          </w:tcPr>
          <w:p>
            <w:pPr>
              <w:ind w:left="140"/>
              <w:spacing w:after="0"/>
              <w:rPr>
                <w:sz w:val="20"/>
                <w:szCs w:val="20"/>
                <w:color w:val="auto"/>
              </w:rPr>
            </w:pPr>
            <w:r>
              <w:rPr>
                <w:rFonts w:ascii="Arial" w:cs="Arial" w:eastAsia="Arial" w:hAnsi="Arial"/>
                <w:sz w:val="16"/>
                <w:szCs w:val="16"/>
                <w:color w:val="auto"/>
              </w:rPr>
              <w:t>2023</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1,293</w:t>
            </w:r>
          </w:p>
        </w:tc>
      </w:tr>
      <w:tr>
        <w:trPr>
          <w:trHeight w:val="219"/>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r>
      <w:tr>
        <w:trPr>
          <w:trHeight w:val="213"/>
        </w:trPr>
        <w:tc>
          <w:tcPr>
            <w:tcW w:w="8560" w:type="dxa"/>
            <w:vAlign w:val="bottom"/>
          </w:tcPr>
          <w:p>
            <w:pPr>
              <w:ind w:left="140"/>
              <w:spacing w:after="0"/>
              <w:rPr>
                <w:sz w:val="20"/>
                <w:szCs w:val="20"/>
                <w:color w:val="auto"/>
              </w:rPr>
            </w:pPr>
            <w:r>
              <w:rPr>
                <w:rFonts w:ascii="Arial" w:cs="Arial" w:eastAsia="Arial" w:hAnsi="Arial"/>
                <w:sz w:val="16"/>
                <w:szCs w:val="16"/>
                <w:color w:val="auto"/>
              </w:rPr>
              <w:t>2025</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541</w:t>
            </w:r>
          </w:p>
        </w:tc>
      </w:tr>
      <w:tr>
        <w:trPr>
          <w:trHeight w:val="219"/>
        </w:trPr>
        <w:tc>
          <w:tcPr>
            <w:tcW w:w="85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w:t>
            </w:r>
          </w:p>
        </w:tc>
      </w:tr>
      <w:tr>
        <w:trPr>
          <w:trHeight w:val="213"/>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Thereafter</w:t>
            </w:r>
          </w:p>
        </w:tc>
        <w:tc>
          <w:tcPr>
            <w:tcW w:w="1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3,653</w:t>
            </w:r>
          </w:p>
        </w:tc>
      </w:tr>
      <w:tr>
        <w:trPr>
          <w:trHeight w:val="213"/>
        </w:trPr>
        <w:tc>
          <w:tcPr>
            <w:tcW w:w="8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undiscounted minimum lease payments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8,321</w:t>
            </w:r>
          </w:p>
        </w:tc>
      </w:tr>
      <w:tr>
        <w:trPr>
          <w:trHeight w:val="213"/>
        </w:trPr>
        <w:tc>
          <w:tcPr>
            <w:tcW w:w="856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amount representing interest</w:t>
            </w:r>
          </w:p>
        </w:tc>
        <w:tc>
          <w:tcPr>
            <w:tcW w:w="13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(1,360)</w:t>
            </w:r>
          </w:p>
        </w:tc>
      </w:tr>
      <w:tr>
        <w:trPr>
          <w:trHeight w:val="233"/>
        </w:trPr>
        <w:tc>
          <w:tcPr>
            <w:tcW w:w="8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lease liability</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6,961</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components of operating lease expense for the three and nine months ended March 31, 2022 and 2021:</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2540" w:type="dxa"/>
            <w:vAlign w:val="bottom"/>
            <w:gridSpan w:val="6"/>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140" w:type="dxa"/>
            <w:vAlign w:val="bottom"/>
          </w:tcPr>
          <w:p>
            <w:pPr>
              <w:spacing w:after="0"/>
              <w:rPr>
                <w:sz w:val="18"/>
                <w:szCs w:val="18"/>
                <w:color w:val="auto"/>
              </w:rPr>
            </w:pPr>
          </w:p>
        </w:tc>
        <w:tc>
          <w:tcPr>
            <w:tcW w:w="2320" w:type="dxa"/>
            <w:vAlign w:val="bottom"/>
            <w:gridSpan w:val="4"/>
          </w:tcPr>
          <w:p>
            <w:pPr>
              <w:jc w:val="right"/>
              <w:ind w:right="79"/>
              <w:spacing w:after="0"/>
              <w:rPr>
                <w:sz w:val="20"/>
                <w:szCs w:val="20"/>
                <w:color w:val="auto"/>
              </w:rPr>
            </w:pPr>
            <w:r>
              <w:rPr>
                <w:rFonts w:ascii="Arial" w:cs="Arial" w:eastAsia="Arial" w:hAnsi="Arial"/>
                <w:sz w:val="16"/>
                <w:szCs w:val="16"/>
                <w:b w:val="1"/>
                <w:bCs w:val="1"/>
                <w:color w:val="auto"/>
                <w:w w:val="94"/>
              </w:rPr>
              <w:t>Nine Months Ended March 31,</w:t>
            </w:r>
          </w:p>
        </w:tc>
      </w:tr>
      <w:tr>
        <w:trPr>
          <w:trHeight w:val="210"/>
        </w:trPr>
        <w:tc>
          <w:tcPr>
            <w:tcW w:w="62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cost (included in occupancy expense, net)</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1,192</w:t>
            </w:r>
          </w:p>
        </w:tc>
      </w:tr>
      <w:tr>
        <w:trPr>
          <w:trHeight w:val="213"/>
        </w:trPr>
        <w:tc>
          <w:tcPr>
            <w:tcW w:w="6240" w:type="dxa"/>
            <w:vAlign w:val="bottom"/>
          </w:tcPr>
          <w:p>
            <w:pPr>
              <w:ind w:left="20"/>
              <w:spacing w:after="0"/>
              <w:rPr>
                <w:sz w:val="20"/>
                <w:szCs w:val="20"/>
                <w:color w:val="auto"/>
              </w:rPr>
            </w:pPr>
            <w:r>
              <w:rPr>
                <w:rFonts w:ascii="Arial" w:cs="Arial" w:eastAsia="Arial" w:hAnsi="Arial"/>
                <w:sz w:val="16"/>
                <w:szCs w:val="16"/>
                <w:color w:val="auto"/>
              </w:rPr>
              <w:t>Variable lease cost (included in occupancy expense, net)</w:t>
            </w:r>
          </w:p>
        </w:tc>
        <w:tc>
          <w:tcPr>
            <w:tcW w:w="8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6"/>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Sublease income (included in other, noninterest income)</w:t>
            </w: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w:t>
            </w: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Total operating lease expense, net</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w w:val="8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294</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1,063</w:t>
            </w:r>
          </w:p>
        </w:tc>
      </w:tr>
      <w:tr>
        <w:trPr>
          <w:trHeight w:val="20"/>
        </w:trPr>
        <w:tc>
          <w:tcPr>
            <w:tcW w:w="6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Lessee - Finance Lease</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The Company currently leases land for one of its branch office locations under a finance lease. The ROU asset for the finance lease totaled $2,052 at March 31, 2022 and June 30, 2021 and is included in other assets. The corresponding lease liability totaled $1,773 and $1,804 at March 31, 2022 and June 30, 2021, respectively, and is included in other liabilities. For the three and nine months ended March 31, 2022, interest expense on the lease liability totaled $23 and $70, respectively. The finance lease has a maturity date of July 2028 and a discount rate of 5.18%.</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schedule summarizes aggregate future minimum lease payments under this finance lease obligation at March 31, 2022:</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00" w:type="dxa"/>
            <w:vAlign w:val="bottom"/>
          </w:tcPr>
          <w:p>
            <w:pPr>
              <w:ind w:left="20"/>
              <w:spacing w:after="0"/>
              <w:rPr>
                <w:sz w:val="20"/>
                <w:szCs w:val="20"/>
                <w:color w:val="auto"/>
              </w:rPr>
            </w:pPr>
            <w:r>
              <w:rPr>
                <w:rFonts w:ascii="Arial" w:cs="Arial" w:eastAsia="Arial" w:hAnsi="Arial"/>
                <w:sz w:val="16"/>
                <w:szCs w:val="16"/>
                <w:b w:val="1"/>
                <w:bCs w:val="1"/>
                <w:color w:val="auto"/>
              </w:rPr>
              <w:t>Fiscal year ending June 30:</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Remaining 2022</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8800" w:type="dxa"/>
            <w:vAlign w:val="bottom"/>
          </w:tcPr>
          <w:p>
            <w:pPr>
              <w:ind w:left="140"/>
              <w:spacing w:after="0"/>
              <w:rPr>
                <w:sz w:val="20"/>
                <w:szCs w:val="20"/>
                <w:color w:val="auto"/>
              </w:rPr>
            </w:pPr>
            <w:r>
              <w:rPr>
                <w:rFonts w:ascii="Arial" w:cs="Arial" w:eastAsia="Arial" w:hAnsi="Arial"/>
                <w:sz w:val="16"/>
                <w:szCs w:val="16"/>
                <w:color w:val="auto"/>
              </w:rPr>
              <w:t>2023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134</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13"/>
        </w:trPr>
        <w:tc>
          <w:tcPr>
            <w:tcW w:w="8800" w:type="dxa"/>
            <w:vAlign w:val="bottom"/>
          </w:tcPr>
          <w:p>
            <w:pPr>
              <w:ind w:left="140"/>
              <w:spacing w:after="0"/>
              <w:rPr>
                <w:sz w:val="20"/>
                <w:szCs w:val="20"/>
                <w:color w:val="auto"/>
              </w:rPr>
            </w:pPr>
            <w:r>
              <w:rPr>
                <w:rFonts w:ascii="Arial" w:cs="Arial" w:eastAsia="Arial" w:hAnsi="Arial"/>
                <w:sz w:val="16"/>
                <w:szCs w:val="16"/>
                <w:color w:val="auto"/>
              </w:rPr>
              <w:t>2025</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Thereafter</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1,702</w:t>
            </w:r>
          </w:p>
        </w:tc>
        <w:tc>
          <w:tcPr>
            <w:tcW w:w="0" w:type="dxa"/>
            <w:vAlign w:val="bottom"/>
          </w:tcPr>
          <w:p>
            <w:pPr>
              <w:spacing w:after="0"/>
              <w:rPr>
                <w:sz w:val="1"/>
                <w:szCs w:val="1"/>
                <w:color w:val="auto"/>
              </w:rPr>
            </w:pPr>
          </w:p>
        </w:tc>
      </w:tr>
      <w:tr>
        <w:trPr>
          <w:trHeight w:val="213"/>
        </w:trPr>
        <w:tc>
          <w:tcPr>
            <w:tcW w:w="88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undiscounted minimum lease payments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2,306</w:t>
            </w:r>
          </w:p>
        </w:tc>
        <w:tc>
          <w:tcPr>
            <w:tcW w:w="0" w:type="dxa"/>
            <w:vAlign w:val="bottom"/>
          </w:tcPr>
          <w:p>
            <w:pPr>
              <w:spacing w:after="0"/>
              <w:rPr>
                <w:sz w:val="1"/>
                <w:szCs w:val="1"/>
                <w:color w:val="auto"/>
              </w:rPr>
            </w:pPr>
          </w:p>
        </w:tc>
      </w:tr>
      <w:tr>
        <w:trPr>
          <w:trHeight w:val="213"/>
        </w:trPr>
        <w:tc>
          <w:tcPr>
            <w:tcW w:w="88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amount representing interest</w:t>
            </w: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0" w:type="dxa"/>
            <w:vAlign w:val="bottom"/>
          </w:tcPr>
          <w:p>
            <w:pPr>
              <w:spacing w:after="0"/>
              <w:rPr>
                <w:sz w:val="1"/>
                <w:szCs w:val="1"/>
                <w:color w:val="auto"/>
              </w:rPr>
            </w:pPr>
          </w:p>
        </w:tc>
      </w:tr>
      <w:tr>
        <w:trPr>
          <w:trHeight w:val="238"/>
        </w:trPr>
        <w:tc>
          <w:tcPr>
            <w:tcW w:w="88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lease liability</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Supplemental lease cash flow information for the nine months ended March 31, 2022 and 2021:</w:t>
            </w: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8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center"/>
              <w:ind w:right="39"/>
              <w:spacing w:after="0"/>
              <w:rPr>
                <w:sz w:val="20"/>
                <w:szCs w:val="20"/>
                <w:color w:val="auto"/>
              </w:rPr>
            </w:pPr>
            <w:r>
              <w:rPr>
                <w:rFonts w:ascii="Arial" w:cs="Arial" w:eastAsia="Arial" w:hAnsi="Arial"/>
                <w:sz w:val="16"/>
                <w:szCs w:val="16"/>
                <w:b w:val="1"/>
                <w:bCs w:val="1"/>
                <w:color w:val="auto"/>
                <w:w w:val="93"/>
              </w:rPr>
              <w:t>Nine Months Ended March 31,</w:t>
            </w:r>
          </w:p>
        </w:tc>
        <w:tc>
          <w:tcPr>
            <w:tcW w:w="0" w:type="dxa"/>
            <w:vAlign w:val="bottom"/>
          </w:tcPr>
          <w:p>
            <w:pPr>
              <w:spacing w:after="0"/>
              <w:rPr>
                <w:sz w:val="1"/>
                <w:szCs w:val="1"/>
                <w:color w:val="auto"/>
              </w:rPr>
            </w:pPr>
          </w:p>
        </w:tc>
      </w:tr>
      <w:tr>
        <w:trPr>
          <w:trHeight w:val="210"/>
        </w:trPr>
        <w:tc>
          <w:tcPr>
            <w:tcW w:w="88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ROU assets - noncash additions (operating leases)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1,186</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599</w:t>
            </w:r>
          </w:p>
        </w:tc>
        <w:tc>
          <w:tcPr>
            <w:tcW w:w="0" w:type="dxa"/>
            <w:vAlign w:val="bottom"/>
          </w:tcPr>
          <w:p>
            <w:pPr>
              <w:spacing w:after="0"/>
              <w:rPr>
                <w:sz w:val="1"/>
                <w:szCs w:val="1"/>
                <w:color w:val="auto"/>
              </w:rPr>
            </w:pPr>
          </w:p>
        </w:tc>
      </w:tr>
      <w:tr>
        <w:trPr>
          <w:trHeight w:val="213"/>
        </w:trPr>
        <w:tc>
          <w:tcPr>
            <w:tcW w:w="880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 (operating leases)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1,632</w:t>
            </w:r>
          </w:p>
        </w:tc>
        <w:tc>
          <w:tcPr>
            <w:tcW w:w="0" w:type="dxa"/>
            <w:vAlign w:val="bottom"/>
          </w:tcPr>
          <w:p>
            <w:pPr>
              <w:spacing w:after="0"/>
              <w:rPr>
                <w:sz w:val="1"/>
                <w:szCs w:val="1"/>
                <w:color w:val="auto"/>
              </w:rPr>
            </w:pPr>
          </w:p>
        </w:tc>
      </w:tr>
      <w:tr>
        <w:trPr>
          <w:trHeight w:val="219"/>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 (finance leases)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Lessor - General</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Company leases equipment to commercial end users under operating and finance lease arrangements. The Company's equipment finance leases consist mainly of construction, transportation, medical, and manufacturing equipment. Many of its operating and finance leases offer the lessee the option to purchase the equipment at fair value or for a nominal fixed purchase option; and most of the leases that do not have a nominal purchase option include renewal provisions resulting in some leases continuing beyond initial contractual terms. The Company's leases do not include early termination options, and continued rent payments are due if leased equipment is not returned at the end of the lease.</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Lessor - Operating Leases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Operating lease income is recognized as a component of noninterest income on a straight-line basis over the lease term. Lease terms range from one to five years. Assets related to operating leases are included in other assets and the corresponding depreciation expense is recorded on a straight-line basis as a component of other noninterest expense. The net book value of leased assets totaled $21,117 and $25,932 with a residual value of $12,941 and $15,330 as of March 31, 2022 and June 30, 2021,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total equipment finance operating lease income and depreciation expense for the three and nine months ended March 31, 2022 and 2021:</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spacing w:after="0"/>
              <w:rPr>
                <w:sz w:val="20"/>
                <w:szCs w:val="20"/>
                <w:color w:val="auto"/>
              </w:rPr>
            </w:pPr>
            <w:r>
              <w:rPr>
                <w:rFonts w:ascii="Arial" w:cs="Arial" w:eastAsia="Arial" w:hAnsi="Arial"/>
                <w:sz w:val="16"/>
                <w:szCs w:val="16"/>
                <w:b w:val="1"/>
                <w:bCs w:val="1"/>
                <w:color w:val="auto"/>
              </w:rPr>
              <w:t>Three Months Ended March 31,</w:t>
            </w:r>
          </w:p>
        </w:tc>
        <w:tc>
          <w:tcPr>
            <w:tcW w:w="140" w:type="dxa"/>
            <w:vAlign w:val="bottom"/>
          </w:tcPr>
          <w:p>
            <w:pPr>
              <w:spacing w:after="0"/>
              <w:rPr>
                <w:sz w:val="18"/>
                <w:szCs w:val="18"/>
                <w:color w:val="auto"/>
              </w:rPr>
            </w:pPr>
          </w:p>
        </w:tc>
        <w:tc>
          <w:tcPr>
            <w:tcW w:w="2320" w:type="dxa"/>
            <w:vAlign w:val="bottom"/>
            <w:gridSpan w:val="6"/>
          </w:tcPr>
          <w:p>
            <w:pPr>
              <w:ind w:left="20"/>
              <w:spacing w:after="0"/>
              <w:rPr>
                <w:sz w:val="20"/>
                <w:szCs w:val="20"/>
                <w:color w:val="auto"/>
              </w:rPr>
            </w:pPr>
            <w:r>
              <w:rPr>
                <w:rFonts w:ascii="Arial" w:cs="Arial" w:eastAsia="Arial" w:hAnsi="Arial"/>
                <w:sz w:val="16"/>
                <w:szCs w:val="16"/>
                <w:b w:val="1"/>
                <w:bCs w:val="1"/>
                <w:color w:val="auto"/>
              </w:rPr>
              <w:t>Nine Months Ended March 31,</w:t>
            </w:r>
          </w:p>
        </w:tc>
      </w:tr>
      <w:tr>
        <w:trPr>
          <w:trHeight w:val="210"/>
        </w:trPr>
        <w:tc>
          <w:tcPr>
            <w:tcW w:w="62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auto"/>
            </w:tcBorders>
          </w:tcPr>
          <w:p>
            <w:pPr>
              <w:spacing w:after="0"/>
              <w:rPr>
                <w:sz w:val="18"/>
                <w:szCs w:val="18"/>
                <w:color w:val="auto"/>
              </w:rPr>
            </w:pPr>
          </w:p>
        </w:tc>
      </w:tr>
      <w:tr>
        <w:trPr>
          <w:trHeight w:val="212"/>
        </w:trPr>
        <w:tc>
          <w:tcPr>
            <w:tcW w:w="6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4,920</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w:t>
            </w:r>
          </w:p>
        </w:tc>
        <w:tc>
          <w:tcPr>
            <w:tcW w:w="60" w:type="dxa"/>
            <w:vAlign w:val="bottom"/>
            <w:shd w:val="clear" w:color="auto" w:fill="CCEEFF"/>
          </w:tcPr>
          <w:p>
            <w:pPr>
              <w:spacing w:after="0"/>
              <w:rPr>
                <w:sz w:val="18"/>
                <w:szCs w:val="18"/>
                <w:color w:val="auto"/>
              </w:rPr>
            </w:pPr>
          </w:p>
        </w:tc>
      </w:tr>
      <w:tr>
        <w:trPr>
          <w:trHeight w:val="210"/>
        </w:trPr>
        <w:tc>
          <w:tcPr>
            <w:tcW w:w="6240" w:type="dxa"/>
            <w:vAlign w:val="bottom"/>
          </w:tcPr>
          <w:p>
            <w:pPr>
              <w:ind w:left="20"/>
              <w:spacing w:after="0"/>
              <w:rPr>
                <w:sz w:val="20"/>
                <w:szCs w:val="20"/>
                <w:color w:val="auto"/>
              </w:rPr>
            </w:pPr>
            <w:r>
              <w:rPr>
                <w:rFonts w:ascii="Arial" w:cs="Arial" w:eastAsia="Arial" w:hAnsi="Arial"/>
                <w:sz w:val="16"/>
                <w:szCs w:val="16"/>
                <w:color w:val="auto"/>
              </w:rPr>
              <w:t>Depreciation expense</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1,339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4,371</w:t>
            </w:r>
          </w:p>
        </w:tc>
        <w:tc>
          <w:tcPr>
            <w:tcW w:w="60" w:type="dxa"/>
            <w:vAlign w:val="bottom"/>
          </w:tcPr>
          <w:p>
            <w:pPr>
              <w:spacing w:after="0"/>
              <w:rPr>
                <w:sz w:val="18"/>
                <w:szCs w:val="18"/>
                <w:color w:val="auto"/>
              </w:rPr>
            </w:pPr>
          </w:p>
        </w:tc>
      </w:tr>
      <w:tr>
        <w:trPr>
          <w:trHeight w:val="445"/>
        </w:trPr>
        <w:tc>
          <w:tcPr>
            <w:tcW w:w="7520" w:type="dxa"/>
            <w:vAlign w:val="bottom"/>
            <w:gridSpan w:val="4"/>
          </w:tcPr>
          <w:p>
            <w:pPr>
              <w:spacing w:after="0"/>
              <w:rPr>
                <w:sz w:val="20"/>
                <w:szCs w:val="20"/>
                <w:color w:val="auto"/>
              </w:rPr>
            </w:pPr>
            <w:r>
              <w:rPr>
                <w:rFonts w:ascii="Arial" w:cs="Arial" w:eastAsia="Arial" w:hAnsi="Arial"/>
                <w:sz w:val="16"/>
                <w:szCs w:val="16"/>
                <w:color w:val="auto"/>
                <w:w w:val="93"/>
              </w:rPr>
              <w:t>The following schedule summarizes aggregate future minimum lease payments to be received at March 31, 2022:</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5"/>
        </w:trPr>
        <w:tc>
          <w:tcPr>
            <w:tcW w:w="6240" w:type="dxa"/>
            <w:vAlign w:val="bottom"/>
          </w:tcPr>
          <w:p>
            <w:pPr>
              <w:ind w:left="20"/>
              <w:spacing w:after="0"/>
              <w:rPr>
                <w:sz w:val="20"/>
                <w:szCs w:val="20"/>
                <w:color w:val="auto"/>
              </w:rPr>
            </w:pPr>
            <w:r>
              <w:rPr>
                <w:rFonts w:ascii="Arial" w:cs="Arial" w:eastAsia="Arial" w:hAnsi="Arial"/>
                <w:sz w:val="16"/>
                <w:szCs w:val="16"/>
                <w:b w:val="1"/>
                <w:bCs w:val="1"/>
                <w:color w:val="auto"/>
              </w:rPr>
              <w:t>Fiscal year ending June 30: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Remaining 2022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w:t>
            </w:r>
          </w:p>
        </w:tc>
        <w:tc>
          <w:tcPr>
            <w:tcW w:w="60" w:type="dxa"/>
            <w:vAlign w:val="bottom"/>
          </w:tcPr>
          <w:p>
            <w:pPr>
              <w:spacing w:after="0"/>
              <w:rPr>
                <w:sz w:val="19"/>
                <w:szCs w:val="19"/>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2023</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4,989</w:t>
            </w:r>
          </w:p>
        </w:tc>
        <w:tc>
          <w:tcPr>
            <w:tcW w:w="60" w:type="dxa"/>
            <w:vAlign w:val="bottom"/>
          </w:tcPr>
          <w:p>
            <w:pPr>
              <w:spacing w:after="0"/>
              <w:rPr>
                <w:sz w:val="18"/>
                <w:szCs w:val="18"/>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2,895</w:t>
            </w:r>
          </w:p>
        </w:tc>
        <w:tc>
          <w:tcPr>
            <w:tcW w:w="60" w:type="dxa"/>
            <w:vAlign w:val="bottom"/>
          </w:tcPr>
          <w:p>
            <w:pPr>
              <w:spacing w:after="0"/>
              <w:rPr>
                <w:sz w:val="19"/>
                <w:szCs w:val="19"/>
                <w:color w:val="auto"/>
              </w:rPr>
            </w:pPr>
          </w:p>
        </w:tc>
      </w:tr>
      <w:tr>
        <w:trPr>
          <w:trHeight w:val="213"/>
        </w:trPr>
        <w:tc>
          <w:tcPr>
            <w:tcW w:w="6240" w:type="dxa"/>
            <w:vAlign w:val="bottom"/>
          </w:tcPr>
          <w:p>
            <w:pPr>
              <w:ind w:left="140"/>
              <w:spacing w:after="0"/>
              <w:rPr>
                <w:sz w:val="20"/>
                <w:szCs w:val="20"/>
                <w:color w:val="auto"/>
              </w:rPr>
            </w:pPr>
            <w:r>
              <w:rPr>
                <w:rFonts w:ascii="Arial" w:cs="Arial" w:eastAsia="Arial" w:hAnsi="Arial"/>
                <w:sz w:val="16"/>
                <w:szCs w:val="16"/>
                <w:color w:val="auto"/>
              </w:rPr>
              <w:t>2025</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889</w:t>
            </w:r>
          </w:p>
        </w:tc>
        <w:tc>
          <w:tcPr>
            <w:tcW w:w="60" w:type="dxa"/>
            <w:vAlign w:val="bottom"/>
          </w:tcPr>
          <w:p>
            <w:pPr>
              <w:spacing w:after="0"/>
              <w:rPr>
                <w:sz w:val="18"/>
                <w:szCs w:val="18"/>
                <w:color w:val="auto"/>
              </w:rPr>
            </w:pPr>
          </w:p>
        </w:tc>
      </w:tr>
      <w:tr>
        <w:trPr>
          <w:trHeight w:val="219"/>
        </w:trPr>
        <w:tc>
          <w:tcPr>
            <w:tcW w:w="6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60" w:type="dxa"/>
            <w:vAlign w:val="bottom"/>
          </w:tcPr>
          <w:p>
            <w:pPr>
              <w:spacing w:after="0"/>
              <w:rPr>
                <w:sz w:val="19"/>
                <w:szCs w:val="19"/>
                <w:color w:val="auto"/>
              </w:rPr>
            </w:pPr>
          </w:p>
        </w:tc>
      </w:tr>
      <w:tr>
        <w:trPr>
          <w:trHeight w:val="213"/>
        </w:trPr>
        <w:tc>
          <w:tcPr>
            <w:tcW w:w="6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Thereafter</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8"/>
                <w:szCs w:val="18"/>
                <w:color w:val="auto"/>
              </w:rPr>
            </w:pPr>
          </w:p>
        </w:tc>
      </w:tr>
      <w:tr>
        <w:trPr>
          <w:trHeight w:val="238"/>
        </w:trPr>
        <w:tc>
          <w:tcPr>
            <w:tcW w:w="6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of future minimum lease payments</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10,468</w:t>
            </w:r>
          </w:p>
        </w:tc>
        <w:tc>
          <w:tcPr>
            <w:tcW w:w="60" w:type="dxa"/>
            <w:vAlign w:val="bottom"/>
          </w:tcPr>
          <w:p>
            <w:pPr>
              <w:spacing w:after="0"/>
              <w:rPr>
                <w:sz w:val="20"/>
                <w:szCs w:val="20"/>
                <w:color w:val="auto"/>
              </w:rPr>
            </w:pP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3" w:name="page34"/>
    <w:bookmarkEnd w:id="33"/>
    <w:p>
      <w:pPr>
        <w:jc w:val="center"/>
        <w:spacing w:after="0"/>
        <w:rPr>
          <w:sz w:val="20"/>
          <w:szCs w:val="20"/>
          <w:color w:val="auto"/>
        </w:rPr>
      </w:pPr>
      <w:r>
        <w:rPr>
          <w:rFonts w:ascii="Arial" w:cs="Arial" w:eastAsia="Arial" w:hAnsi="Arial"/>
          <w:sz w:val="16"/>
          <w:szCs w:val="16"/>
          <w:color w:val="auto"/>
        </w:rPr>
        <w:t>HOMETRUST BANCSHARES, INC. AND SUBSIDIARY</w:t>
      </w:r>
    </w:p>
    <w:p>
      <w:pPr>
        <w:spacing w:after="0" w:line="19"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Notes to Consolidated Financial Statements</w:t>
      </w:r>
    </w:p>
    <w:p>
      <w:pPr>
        <w:spacing w:after="0" w:line="5" w:lineRule="exact"/>
        <w:rPr>
          <w:sz w:val="20"/>
          <w:szCs w:val="20"/>
          <w:color w:val="auto"/>
        </w:rPr>
      </w:pPr>
    </w:p>
    <w:p>
      <w:pPr>
        <w:ind w:left="4180"/>
        <w:spacing w:after="0"/>
        <w:rPr>
          <w:sz w:val="20"/>
          <w:szCs w:val="20"/>
          <w:color w:val="auto"/>
        </w:rPr>
      </w:pPr>
      <w:r>
        <w:rPr>
          <w:rFonts w:ascii="Arial" w:cs="Arial" w:eastAsia="Arial" w:hAnsi="Arial"/>
          <w:sz w:val="16"/>
          <w:szCs w:val="16"/>
          <w:color w:val="auto"/>
        </w:rPr>
        <w:t>(Dollars in thousands, except per share data)</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Lessor - Direct Financing Leases</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Finance lease income is recognized as a component of loan interest income over the lease term. The finance leases are included as a component of the equipment finance class of financing receivables under the commercial loan segment of the loan portfolio. For the three months ended March 31, 2022 and 2021, total interest income on equipment finance leases totaled $763 and $638, respectively. For the nine months ended March 31, 2022 and 2021, total interest income on equipment finance leases totaled $2,275 and $1,736, respectively.</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lease receivable component of finance lease net investment included within equipment finance class of financing receivables was $62.6 million and $63.3 million at March 31, 2022 and June 30, 2021, respectively.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940" w:type="dxa"/>
            <w:vAlign w:val="bottom"/>
          </w:tcPr>
          <w:p>
            <w:pPr>
              <w:spacing w:after="0"/>
              <w:rPr>
                <w:sz w:val="20"/>
                <w:szCs w:val="20"/>
                <w:color w:val="auto"/>
              </w:rPr>
            </w:pPr>
            <w:r>
              <w:rPr>
                <w:rFonts w:ascii="Arial" w:cs="Arial" w:eastAsia="Arial" w:hAnsi="Arial"/>
                <w:sz w:val="16"/>
                <w:szCs w:val="16"/>
                <w:color w:val="auto"/>
              </w:rPr>
              <w:t>The following schedule summarizes aggregate future minimum finance lease payments to be received at March 31, 2022:</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27"/>
        </w:trPr>
        <w:tc>
          <w:tcPr>
            <w:tcW w:w="9940" w:type="dxa"/>
            <w:vAlign w:val="bottom"/>
          </w:tcPr>
          <w:p>
            <w:pPr>
              <w:ind w:left="20"/>
              <w:spacing w:after="0"/>
              <w:rPr>
                <w:sz w:val="20"/>
                <w:szCs w:val="20"/>
                <w:color w:val="auto"/>
              </w:rPr>
            </w:pPr>
            <w:r>
              <w:rPr>
                <w:rFonts w:ascii="Arial" w:cs="Arial" w:eastAsia="Arial" w:hAnsi="Arial"/>
                <w:sz w:val="16"/>
                <w:szCs w:val="16"/>
                <w:b w:val="1"/>
                <w:bCs w:val="1"/>
                <w:color w:val="auto"/>
              </w:rPr>
              <w:t>Fiscal year ending June 30:</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9"/>
        </w:trPr>
        <w:tc>
          <w:tcPr>
            <w:tcW w:w="9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Remaining 2022</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5,853</w:t>
            </w:r>
          </w:p>
        </w:tc>
      </w:tr>
      <w:tr>
        <w:trPr>
          <w:trHeight w:val="213"/>
        </w:trPr>
        <w:tc>
          <w:tcPr>
            <w:tcW w:w="9940" w:type="dxa"/>
            <w:vAlign w:val="bottom"/>
          </w:tcPr>
          <w:p>
            <w:pPr>
              <w:ind w:left="140"/>
              <w:spacing w:after="0"/>
              <w:rPr>
                <w:sz w:val="20"/>
                <w:szCs w:val="20"/>
                <w:color w:val="auto"/>
              </w:rPr>
            </w:pPr>
            <w:r>
              <w:rPr>
                <w:rFonts w:ascii="Arial" w:cs="Arial" w:eastAsia="Arial" w:hAnsi="Arial"/>
                <w:sz w:val="16"/>
                <w:szCs w:val="16"/>
                <w:color w:val="auto"/>
              </w:rPr>
              <w:t>2023</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21,226</w:t>
            </w:r>
          </w:p>
        </w:tc>
      </w:tr>
      <w:tr>
        <w:trPr>
          <w:trHeight w:val="219"/>
        </w:trPr>
        <w:tc>
          <w:tcPr>
            <w:tcW w:w="9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2024</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18,262</w:t>
            </w:r>
          </w:p>
        </w:tc>
      </w:tr>
      <w:tr>
        <w:trPr>
          <w:trHeight w:val="213"/>
        </w:trPr>
        <w:tc>
          <w:tcPr>
            <w:tcW w:w="9940" w:type="dxa"/>
            <w:vAlign w:val="bottom"/>
          </w:tcPr>
          <w:p>
            <w:pPr>
              <w:ind w:left="140"/>
              <w:spacing w:after="0"/>
              <w:rPr>
                <w:sz w:val="20"/>
                <w:szCs w:val="20"/>
                <w:color w:val="auto"/>
              </w:rPr>
            </w:pPr>
            <w:r>
              <w:rPr>
                <w:rFonts w:ascii="Arial" w:cs="Arial" w:eastAsia="Arial" w:hAnsi="Arial"/>
                <w:sz w:val="16"/>
                <w:szCs w:val="16"/>
                <w:color w:val="auto"/>
              </w:rPr>
              <w:t>2025</w:t>
            </w: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13,038</w:t>
            </w:r>
          </w:p>
        </w:tc>
      </w:tr>
      <w:tr>
        <w:trPr>
          <w:trHeight w:val="219"/>
        </w:trPr>
        <w:tc>
          <w:tcPr>
            <w:tcW w:w="9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2026</w:t>
            </w: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8,405</w:t>
            </w:r>
          </w:p>
        </w:tc>
      </w:tr>
      <w:tr>
        <w:trPr>
          <w:trHeight w:val="213"/>
        </w:trPr>
        <w:tc>
          <w:tcPr>
            <w:tcW w:w="9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Thereafter</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4,299</w:t>
            </w:r>
          </w:p>
        </w:tc>
      </w:tr>
      <w:tr>
        <w:trPr>
          <w:trHeight w:val="213"/>
        </w:trPr>
        <w:tc>
          <w:tcPr>
            <w:tcW w:w="9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undiscounted minimum lease payments</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71,083</w:t>
            </w:r>
          </w:p>
        </w:tc>
      </w:tr>
      <w:tr>
        <w:trPr>
          <w:trHeight w:val="213"/>
        </w:trPr>
        <w:tc>
          <w:tcPr>
            <w:tcW w:w="99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Less: amount representing interest</w:t>
            </w: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(8,476)</w:t>
            </w:r>
          </w:p>
        </w:tc>
      </w:tr>
      <w:tr>
        <w:trPr>
          <w:trHeight w:val="238"/>
        </w:trPr>
        <w:tc>
          <w:tcPr>
            <w:tcW w:w="99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lease receivable</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62,607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ind w:right="4440"/>
        <w:spacing w:after="0" w:line="460" w:lineRule="auto"/>
        <w:rPr>
          <w:sz w:val="20"/>
          <w:szCs w:val="20"/>
          <w:color w:val="auto"/>
        </w:rPr>
      </w:pPr>
      <w:r>
        <w:rPr>
          <w:rFonts w:ascii="Arial" w:cs="Arial" w:eastAsia="Arial" w:hAnsi="Arial"/>
          <w:sz w:val="16"/>
          <w:szCs w:val="16"/>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Certain matters in this Form 10-Q constitute forward-looking statements within the meaning of the Private Securities Litigation Reform Act of 1995. These statements relate to our financial condition, results of operations, plans, objectives, future performance or business. Forward-looking statements are not statements of historical fact, but instead are based on certain assumptions and are generally identified by use of the words "believes," "expects," "anticipates," "estimates," "forecasts," "intends," "plans," "targets," "potentially," "probably," "projects," "outlook" or similar expressions or future or conditional verbs such as "may," "will," "should," "would," and "could." Forward-looking statements include statements with respect to our beliefs, plans, objectives, goals, expectations, assumptions, and statements about future economic performance and projections of financial items. These forward-looking statements are subject to known and unknown risks, uncertainties and other factors that could cause actual results to differ materially from the results anticipated or implied by our forward-looking statements.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The factors that could result in material differentiation include, but are not limited to:</w:t>
      </w:r>
    </w:p>
    <w:p>
      <w:pPr>
        <w:spacing w:after="0" w:line="167" w:lineRule="exact"/>
        <w:rPr>
          <w:sz w:val="20"/>
          <w:szCs w:val="20"/>
          <w:color w:val="auto"/>
        </w:rPr>
      </w:pPr>
    </w:p>
    <w:p>
      <w:pPr>
        <w:jc w:val="both"/>
        <w:ind w:left="660" w:hanging="328"/>
        <w:spacing w:after="0" w:line="261"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effect of the COVID-19 pandemic, including on our credit quality and business operations, as well as its impact on general economic and financial market conditions and other uncertainties resulting from the COVID-19 pandemic, such as the extent and duration of the impact on public health, the U.S. and global economies, and consumer and corporate customers, including economic activity, employment levels and market liquidity;</w:t>
      </w:r>
    </w:p>
    <w:p>
      <w:pPr>
        <w:spacing w:after="0" w:line="20"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credit risks of lending activities, including changes in the level and trend of loan delinquencies and write offs and changes in our allowance for credit losses and provision for credit losses that may be impacted by deterioration in the housing and commercial real estate markets;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general economic conditions, either nationally or in our market areas;</w:t>
      </w:r>
    </w:p>
    <w:p>
      <w:pPr>
        <w:spacing w:after="0" w:line="59" w:lineRule="exact"/>
        <w:rPr>
          <w:rFonts w:ascii="Arial" w:cs="Arial" w:eastAsia="Arial" w:hAnsi="Arial"/>
          <w:sz w:val="16"/>
          <w:szCs w:val="16"/>
          <w:color w:val="auto"/>
        </w:rPr>
      </w:pPr>
    </w:p>
    <w:p>
      <w:pPr>
        <w:ind w:left="660" w:right="20" w:hanging="328"/>
        <w:spacing w:after="0" w:line="27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the levels of general interest rates, and the relative differences between short and long term interest rates, deposit interest rates, our net interest margin and funding sources;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uncertainty regarding the limited future of LIBOR, and the expected transition toward new interest rate benchmarks;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fluctuations in the demand for loans, the number of unsold homes, land and other properties and fluctuations in real estate values in our market areas;</w:t>
      </w:r>
    </w:p>
    <w:p>
      <w:pPr>
        <w:spacing w:after="0" w:line="70" w:lineRule="exact"/>
        <w:rPr>
          <w:rFonts w:ascii="Arial" w:cs="Arial" w:eastAsia="Arial" w:hAnsi="Arial"/>
          <w:sz w:val="15"/>
          <w:szCs w:val="15"/>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decreases in the secondary market for the sale of loans that we originate;</w:t>
      </w:r>
    </w:p>
    <w:p>
      <w:pPr>
        <w:spacing w:after="0" w:line="59" w:lineRule="exact"/>
        <w:rPr>
          <w:rFonts w:ascii="Arial" w:cs="Arial" w:eastAsia="Arial" w:hAnsi="Arial"/>
          <w:sz w:val="16"/>
          <w:szCs w:val="16"/>
          <w:color w:val="auto"/>
        </w:rPr>
      </w:pPr>
    </w:p>
    <w:p>
      <w:pPr>
        <w:jc w:val="both"/>
        <w:ind w:left="660" w:hanging="328"/>
        <w:spacing w:after="0" w:line="256"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results of examinations of us by the Board of Governors of the Federal Reserve System (“Federal Reserve”), the NCCOB, or other regulatory authorities, including the possibility that any such regulatory authority may, among other things, require us to increase our allowance for credit losses, write-down assets, change our regulatory capital position or affect our ability to borrow funds or maintain or increase deposits, which could adversely affect our liquidity and earnings;</w:t>
      </w:r>
    </w:p>
    <w:p>
      <w:pPr>
        <w:spacing w:after="0" w:line="24" w:lineRule="exact"/>
        <w:rPr>
          <w:rFonts w:ascii="Arial" w:cs="Arial" w:eastAsia="Arial" w:hAnsi="Arial"/>
          <w:sz w:val="16"/>
          <w:szCs w:val="16"/>
          <w:color w:val="auto"/>
        </w:rPr>
      </w:pPr>
    </w:p>
    <w:p>
      <w:pPr>
        <w:jc w:val="both"/>
        <w:ind w:left="660" w:hanging="328"/>
        <w:spacing w:after="0" w:line="308" w:lineRule="auto"/>
        <w:tabs>
          <w:tab w:leader="none" w:pos="649" w:val="left"/>
        </w:tabs>
        <w:numPr>
          <w:ilvl w:val="0"/>
          <w:numId w:val="10"/>
        </w:numPr>
        <w:rPr>
          <w:rFonts w:ascii="Arial" w:cs="Arial" w:eastAsia="Arial" w:hAnsi="Arial"/>
          <w:sz w:val="14"/>
          <w:szCs w:val="14"/>
          <w:color w:val="auto"/>
        </w:rPr>
      </w:pPr>
      <w:r>
        <w:rPr>
          <w:rFonts w:ascii="Arial" w:cs="Arial" w:eastAsia="Arial" w:hAnsi="Arial"/>
          <w:sz w:val="14"/>
          <w:szCs w:val="14"/>
          <w:color w:val="auto"/>
        </w:rPr>
        <w:t>legislative or regulatory changes that adversely affect our business including the effect of Dodd-Frank Wall Street Reform and Consumer Protection Act, changes in laws or regulations, changes in regulatory policies and principles or the application or interpretation of laws and regulations by regulatory agencies and tax authorities, including changes in deferred tax asset and liability activity, or the interpretation of regulatory capital or other rules, including as a result of Basel III;</w:t>
      </w:r>
    </w:p>
    <w:p>
      <w:pPr>
        <w:spacing w:after="0" w:line="1" w:lineRule="exact"/>
        <w:rPr>
          <w:rFonts w:ascii="Arial" w:cs="Arial" w:eastAsia="Arial" w:hAnsi="Arial"/>
          <w:sz w:val="14"/>
          <w:szCs w:val="14"/>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attract and retain deposits;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management's assumptions in determining the adequacy of the allowance for credit losses;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control operating costs and expenses, especially costs associated with our operation as a public company;</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use of estimates in determining fair value of certain assets, which estimates may prove to be incorrect and result in significant declines in valuation;</w:t>
      </w:r>
    </w:p>
    <w:p>
      <w:pPr>
        <w:spacing w:after="0" w:line="70" w:lineRule="exact"/>
        <w:rPr>
          <w:rFonts w:ascii="Arial" w:cs="Arial" w:eastAsia="Arial" w:hAnsi="Arial"/>
          <w:sz w:val="15"/>
          <w:szCs w:val="15"/>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difficulties in reducing risks associated with the loans on our balance sheet;</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staffing fluctuations in response to product demand or the implementation of corporate strategies that affect our workforce and potential associated charges;</w:t>
      </w:r>
    </w:p>
    <w:p>
      <w:pPr>
        <w:spacing w:after="0" w:line="70" w:lineRule="exact"/>
        <w:rPr>
          <w:rFonts w:ascii="Arial" w:cs="Arial" w:eastAsia="Arial" w:hAnsi="Arial"/>
          <w:sz w:val="15"/>
          <w:szCs w:val="15"/>
          <w:color w:val="auto"/>
        </w:rPr>
      </w:pPr>
    </w:p>
    <w:p>
      <w:pPr>
        <w:ind w:left="660" w:hanging="328"/>
        <w:spacing w:after="0" w:line="275" w:lineRule="auto"/>
        <w:tabs>
          <w:tab w:leader="none" w:pos="649" w:val="left"/>
        </w:tabs>
        <w:numPr>
          <w:ilvl w:val="0"/>
          <w:numId w:val="10"/>
        </w:numPr>
        <w:rPr>
          <w:rFonts w:ascii="Arial" w:cs="Arial" w:eastAsia="Arial" w:hAnsi="Arial"/>
          <w:sz w:val="16"/>
          <w:szCs w:val="16"/>
          <w:color w:val="auto"/>
        </w:rPr>
      </w:pPr>
      <w:r>
        <w:rPr>
          <w:rFonts w:ascii="Arial" w:cs="Arial" w:eastAsia="Arial" w:hAnsi="Arial"/>
          <w:sz w:val="16"/>
          <w:szCs w:val="16"/>
          <w:color w:val="auto"/>
        </w:rPr>
        <w:t>disruptions, security breaches, or other adverse events, failures or interruptions in, or attacks on, our information technology systems or on the third-party vendors who perform several of our critical processing functions;</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retain key members of our senior management team;</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costs and effects of litigation, including settlements and judgments;</w:t>
      </w:r>
    </w:p>
    <w:p>
      <w:pPr>
        <w:spacing w:after="0" w:line="59" w:lineRule="exact"/>
        <w:rPr>
          <w:rFonts w:ascii="Arial" w:cs="Arial" w:eastAsia="Arial" w:hAnsi="Arial"/>
          <w:sz w:val="16"/>
          <w:szCs w:val="16"/>
          <w:color w:val="auto"/>
        </w:rPr>
      </w:pPr>
    </w:p>
    <w:p>
      <w:pPr>
        <w:ind w:left="660" w:hanging="328"/>
        <w:spacing w:after="0" w:line="300" w:lineRule="auto"/>
        <w:tabs>
          <w:tab w:leader="none" w:pos="649" w:val="left"/>
        </w:tabs>
        <w:numPr>
          <w:ilvl w:val="0"/>
          <w:numId w:val="10"/>
        </w:numPr>
        <w:rPr>
          <w:rFonts w:ascii="Arial" w:cs="Arial" w:eastAsia="Arial" w:hAnsi="Arial"/>
          <w:sz w:val="15"/>
          <w:szCs w:val="15"/>
          <w:color w:val="auto"/>
        </w:rPr>
      </w:pPr>
      <w:r>
        <w:rPr>
          <w:rFonts w:ascii="Arial" w:cs="Arial" w:eastAsia="Arial" w:hAnsi="Arial"/>
          <w:sz w:val="15"/>
          <w:szCs w:val="15"/>
          <w:color w:val="auto"/>
        </w:rPr>
        <w:t>our ability to successfully integrate any assets, liabilities, customers, systems, and management personnel we may in the future acquire into our operations and our ability to realize related revenue synergies and cost savings within expected time frames and any goodwill charges related thereto;</w:t>
      </w: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competitive pressures among financial services companies;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changes in consumer spending, borrowing and savings habits;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availability of resources to address changes in laws, rules, or regulations or to respond to regulatory actions;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adverse changes in the securities markets;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inability of key third-party providers to perform their obligations to us;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5" w:name="page36"/>
    <w:bookmarkEnd w:id="35"/>
    <w:p>
      <w:pPr>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changes in accounting principles, policies or guidelines and practices, as may be adopted by the financial institution regulatory agencies, the Public Company Accounting Oversight Board or the Financial Accounting Standards Board;</w:t>
      </w:r>
    </w:p>
    <w:p>
      <w:pPr>
        <w:spacing w:after="0" w:line="10" w:lineRule="exact"/>
        <w:rPr>
          <w:rFonts w:ascii="Arial" w:cs="Arial" w:eastAsia="Arial" w:hAnsi="Arial"/>
          <w:sz w:val="16"/>
          <w:szCs w:val="16"/>
          <w:color w:val="auto"/>
        </w:rPr>
      </w:pPr>
    </w:p>
    <w:p>
      <w:pPr>
        <w:ind w:left="660" w:hanging="328"/>
        <w:spacing w:after="0" w:line="275" w:lineRule="auto"/>
        <w:tabs>
          <w:tab w:leader="none" w:pos="6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economic, competitive, governmental, regulatory, and technological factors affecting our operations, pricing, products and services including the CARES Act; and</w:t>
      </w:r>
    </w:p>
    <w:p>
      <w:pPr>
        <w:spacing w:after="0" w:line="10" w:lineRule="exact"/>
        <w:rPr>
          <w:rFonts w:ascii="Arial" w:cs="Arial" w:eastAsia="Arial" w:hAnsi="Arial"/>
          <w:sz w:val="16"/>
          <w:szCs w:val="16"/>
          <w:color w:val="auto"/>
        </w:rPr>
      </w:pPr>
    </w:p>
    <w:p>
      <w:pPr>
        <w:ind w:left="640" w:hanging="308"/>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other risks detailed from time to time in our filings with the SEC, including our 2021 Form 10-K.</w:t>
      </w:r>
    </w:p>
    <w:p>
      <w:pPr>
        <w:spacing w:after="0" w:line="5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Many of the forward-looking statements are based upon management's beliefs and assumptions at the time they are made. We undertake no obligation to publicly update or revise any forward-looking statements included in this report or to update the reasons why actual results could differ from those contained in such statements, whether as a result of new information, future events or otherwise. In light of these risks, uncertainties and assumptions, the forward-looking statements discussed in this report might not occur and you should not put undue reliance on any forward-looking statements.</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As used throughout this report, the terms "we", "our", "us", "HomeTrust Bancshares" and the "Company" refer to HomeTrust Bancshares, Inc. and its consolidated subsidiary, HomeTrust Bank (the "Bank"), unless the context indicates otherwise.</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HomeTrust Bancshares, Inc., a Maryland corporation, was formed for the purpose of becoming the holding company for HomeTrust Bank in connection with the Bank’s conversion from mutual to stock form, which was completed on July 10, 2012 (the “Conversion”). As a bank holding company and financial holding company, we are regulated by the Federal Reserve. As a North Carolina state-chartered bank, and member of the FRB, the Bank's primary regulators are the NCCOB and the Federal Reserve. The Bank's deposits are federally insured up to applicable limits by the FDIC. The Bank is a member of the FHLB of Atlanta, which is one of the 12 regional banks in the FHLB System. Our headquarters is located in Asheville, North Carolina.</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principal business consists of attracting deposits from the general public and investing those funds, along with borrowed funds, in commercial real estate loans, construction and development loans, commercial and industrial loans, equipment finance leases, municipal leases, loans secured by first and second mortgages on one-to-four family residences including home equity loans, construction and land/lot loans, indirect automobile loans, and other consumer loans. We also originate one-to-four family loans, SBA loans, and HELOCs to sell to third parties. In addition, we invest in debt securities issued by United States Government agencies and GSEs, corporate bonds, commercial paper and certificates of deposit in other banks insured by the FDIC.</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We offer a variety of deposit accounts for individuals, businesses, and nonprofit organizations. Deposits and borrowings are our primary source of funds for our lending and investing activities.</w:t>
      </w:r>
    </w:p>
    <w:p>
      <w:pPr>
        <w:spacing w:after="0" w:line="118"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We are significantly affected by prevailing economic conditions, as well as government policies and regulations concerning, among other things, monetary and fiscal affairs, housing and financial institutions. Deposit flows are influenced by a number of factors, including interest rates paid on competing time deposits, other investments, account maturities, and the overall level of personal income and savings. Lending activities are influenced by the demand for funds, the number and quality of lenders, and regional economic cycles.</w:t>
      </w:r>
    </w:p>
    <w:p>
      <w:pPr>
        <w:spacing w:after="0" w:line="13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Our primary source of pre-tax income is net interest income. Net interest income is the difference between interest income, which is the income that we earn on our loans and investments, and interest expense, which is the interest that is paid on our deposits and borrowings. Changes in levels of interest rates affect our net interest income.</w:t>
      </w:r>
    </w:p>
    <w:p>
      <w:pPr>
        <w:spacing w:after="0" w:line="94"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 secondary source of income is noninterest income, which includes revenue we receive from providing products and services, including service charges and fees on deposit accounts, loan income and fees, lease income, gain on the sale of loans held for sale, and gains and losses from sales of debt securities.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An offset to net interest income is the provision for credit losses which is required to establish and maintain the ACL. All financial assets measured at amortized cost and off balance sheet credit exposures, including loans, investment securities and unfunded commitments are evaluated for credit losses. See "Note 1 – Summary of Significant Accounting Policies" in Item 1 of our 2021 Form 10-K for further discussion.</w:t>
      </w:r>
    </w:p>
    <w:p>
      <w:pPr>
        <w:spacing w:after="0" w:line="129"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Our noninterest expenses consist primarily of salaries and employee benefits, occupancy expense, and computer services. Salaries and benefits consist primarily of the salaries and wages paid to our employees, payroll taxes, expenses for retirement and other employee benefits. Occupancy expenses, which are the fixed and variable costs of buildings and equipment, consist primarily of lease payments, property taxes, depreciation charges, maintenance and costs of utilities.</w:t>
      </w:r>
    </w:p>
    <w:p>
      <w:pPr>
        <w:spacing w:after="0" w:line="112"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Our geographic footprint includes seven markets obtained through numerous strategic acquisitions as well as two de novo commercial loan offices. Looking forward, we believe opportunities currently exist within our market areas and in surrounding market areas to grow our franchise. While COVID-19 has dampened our growth activities, we believe as the local and global economies return to normalcy the Company remains in a position to create growth. We may also seek to expand our franchise through the selective acquisition of individual branches, loan purchases and, to a lesser degree, whole bank transactions that meet our investment and market objectives. We will continue to be disciplined as it pertains to future expansion focusing primarily on growth in our current and surrounding market areas.</w:t>
      </w:r>
    </w:p>
    <w:p>
      <w:pPr>
        <w:spacing w:after="0" w:line="12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At March 31, 2022, we had over 30 locations in North Carolina (including the Asheville metropolitan area, the "Piedmont" region, Charlotte, and Raleigh/Cary), Upstate South Carolina (Greenville), East Tennessee (including Kingsport/Johnson City, Knoxville, and Morristown) and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6" w:name="page37"/>
    <w:bookmarkEnd w:id="36"/>
    <w:p>
      <w:pPr>
        <w:jc w:val="both"/>
        <w:spacing w:after="0" w:line="275" w:lineRule="auto"/>
        <w:rPr>
          <w:sz w:val="20"/>
          <w:szCs w:val="20"/>
          <w:color w:val="auto"/>
        </w:rPr>
      </w:pPr>
      <w:r>
        <w:rPr>
          <w:rFonts w:ascii="Arial" w:cs="Arial" w:eastAsia="Arial" w:hAnsi="Arial"/>
          <w:sz w:val="16"/>
          <w:szCs w:val="16"/>
          <w:color w:val="auto"/>
        </w:rPr>
        <w:t>Southwest Virginia (including the Roanoke Valley). During the quarter ended September 30, 2021, we closed nine branches located in North Carolina, Tennessee, and Virginia.</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Certain of our accounting policies are important to the portrayal of our financial condition, since they require management to make difficult, complex or subjective judgments, some of which may relate to matters that are inherently uncertain. Estimates associated with these policies are susceptible to material changes as a result of changes in facts and circumstances which could include, but are not limited to, changes in interest rates, changes in the performance of the economy and changes in the financial condition of borrowers.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our critical accounting policy:</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i w:val="1"/>
          <w:iCs w:val="1"/>
          <w:color w:val="auto"/>
        </w:rPr>
        <w:t xml:space="preserve">Allowance for Credit Losses, or ACL, on Loans. </w:t>
      </w:r>
      <w:r>
        <w:rPr>
          <w:rFonts w:ascii="Arial" w:cs="Arial" w:eastAsia="Arial" w:hAnsi="Arial"/>
          <w:sz w:val="16"/>
          <w:szCs w:val="16"/>
          <w:color w:val="auto"/>
        </w:rPr>
        <w:t>The ACL reflects our estimate of credit losses that will result from the inability of our borrowers to make required loan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payments. We charge off loans against the ACL and subsequent recoveries, if any, increase the ACL when they are recognized. We use a systematic methodology to determine our ACL for loans held for investment and certain off-balance-sheet credit exposures. The ACL is a valuation account that is deducted from the amortized cost basis to present the net amount expected to be collected on the loan portfolio. We consider the effects of past events, current conditions, and reasonable and supportable forecasts on the collectability of the loan portfolio. The estimate of our ACL involves a high degree of judgment; therefore, our process for determining expected credit losses may result in a range of expected credit losses. Our ACL recorded in the balance sheet reflects our best estimate within the range of expected credit losses. We recognize in net income the amount needed to adjust the ACL for management’s current estimate of expected credit losses. Our ACL is calculated using collectively evaluated and individually evaluated loans.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4"/>
          <w:szCs w:val="14"/>
          <w:color w:val="auto"/>
        </w:rPr>
        <w:t>In addition to results presented in accordance with GAAP, this report contains certain non-GAAP financial measures, which include: tangible book value, tangible book value per share and tangible equity to tangible assets ratio. Management has presented the non-GAAP financial measures in this discussion and analysis because it believes including these items provides useful and comparative information to assess trends in our core operations while facilitating the comparison of the quality and composition of our earnings over time and in comparison to our competitors. However, these non-GAAP financial measures are supplemental, are not audited and are not a substitute for operating results or any analysis determined in accordance with GAAP. Where applicable, we have also presented comparable earnings information using GAAP financial measures. Because not all companies use the same calculations, our presentation may not be comparable to other similarly titled measures as calculated by other companies. See “Comparison of Results of Operations" for more detailed information about our financial performance for the three and nine months ended March 31, 2022 and 2021.</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40" w:type="dxa"/>
            <w:vAlign w:val="bottom"/>
          </w:tcPr>
          <w:p>
            <w:pPr>
              <w:spacing w:after="0"/>
              <w:rPr>
                <w:sz w:val="20"/>
                <w:szCs w:val="20"/>
                <w:color w:val="auto"/>
              </w:rPr>
            </w:pPr>
            <w:r>
              <w:rPr>
                <w:rFonts w:ascii="Arial" w:cs="Arial" w:eastAsia="Arial" w:hAnsi="Arial"/>
                <w:sz w:val="16"/>
                <w:szCs w:val="16"/>
                <w:color w:val="auto"/>
                <w:w w:val="93"/>
              </w:rPr>
              <w:t>Set forth below is a reconciliation to GAAP of tangible book value and tangible book value per share:</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(Dollars in thousands, except per share data)</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395,131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396,519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406,452</w:t>
            </w:r>
          </w:p>
        </w:tc>
        <w:tc>
          <w:tcPr>
            <w:tcW w:w="0" w:type="dxa"/>
            <w:vAlign w:val="bottom"/>
          </w:tcPr>
          <w:p>
            <w:pPr>
              <w:spacing w:after="0"/>
              <w:rPr>
                <w:sz w:val="1"/>
                <w:szCs w:val="1"/>
                <w:color w:val="auto"/>
              </w:rPr>
            </w:pPr>
          </w:p>
        </w:tc>
      </w:tr>
      <w:tr>
        <w:trPr>
          <w:trHeight w:val="213"/>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goodwill, core deposit intangibles, net of taxes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25,742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25,902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26,002</w:t>
            </w:r>
          </w:p>
        </w:tc>
        <w:tc>
          <w:tcPr>
            <w:tcW w:w="0" w:type="dxa"/>
            <w:vAlign w:val="bottom"/>
          </w:tcPr>
          <w:p>
            <w:pPr>
              <w:spacing w:after="0"/>
              <w:rPr>
                <w:sz w:val="1"/>
                <w:szCs w:val="1"/>
                <w:color w:val="auto"/>
              </w:rPr>
            </w:pPr>
          </w:p>
        </w:tc>
      </w:tr>
      <w:tr>
        <w:trPr>
          <w:trHeight w:val="233"/>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book value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369,389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370,617</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380,450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Common shares outstanding</w:t>
            </w: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6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15,978,262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16,636,483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16,655,347</w:t>
            </w:r>
          </w:p>
        </w:tc>
        <w:tc>
          <w:tcPr>
            <w:tcW w:w="0" w:type="dxa"/>
            <w:vAlign w:val="bottom"/>
          </w:tcPr>
          <w:p>
            <w:pPr>
              <w:spacing w:after="0"/>
              <w:rPr>
                <w:sz w:val="1"/>
                <w:szCs w:val="1"/>
                <w:color w:val="auto"/>
              </w:rPr>
            </w:pPr>
          </w:p>
        </w:tc>
      </w:tr>
      <w:tr>
        <w:trPr>
          <w:trHeight w:val="219"/>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book value per 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23.12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22.28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Book value per share</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spacing w:after="0"/>
              <w:rPr>
                <w:sz w:val="20"/>
                <w:szCs w:val="20"/>
                <w:color w:val="auto"/>
              </w:rPr>
            </w:pPr>
            <w:r>
              <w:rPr>
                <w:rFonts w:ascii="Arial" w:cs="Arial" w:eastAsia="Arial" w:hAnsi="Arial"/>
                <w:sz w:val="16"/>
                <w:szCs w:val="16"/>
                <w:color w:val="auto"/>
              </w:rPr>
              <w:t>24.73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23.83</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540"/>
        </w:trPr>
        <w:tc>
          <w:tcPr>
            <w:tcW w:w="6640" w:type="dxa"/>
            <w:vAlign w:val="bottom"/>
          </w:tcPr>
          <w:p>
            <w:pPr>
              <w:spacing w:after="0"/>
              <w:rPr>
                <w:sz w:val="20"/>
                <w:szCs w:val="20"/>
                <w:color w:val="auto"/>
              </w:rPr>
            </w:pPr>
            <w:r>
              <w:rPr>
                <w:rFonts w:ascii="Arial" w:cs="Arial" w:eastAsia="Arial" w:hAnsi="Arial"/>
                <w:sz w:val="16"/>
                <w:szCs w:val="16"/>
                <w:color w:val="auto"/>
              </w:rPr>
              <w:t>Set forth below is a reconciliation to GAAP of tangible equity to tangible assets: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center"/>
              <w:ind w:right="500"/>
              <w:spacing w:after="0"/>
              <w:rPr>
                <w:sz w:val="20"/>
                <w:szCs w:val="20"/>
                <w:color w:val="auto"/>
              </w:rPr>
            </w:pPr>
            <w:r>
              <w:rPr>
                <w:rFonts w:ascii="Arial" w:cs="Arial" w:eastAsia="Arial" w:hAnsi="Arial"/>
                <w:sz w:val="16"/>
                <w:szCs w:val="16"/>
                <w:b w:val="1"/>
                <w:bCs w:val="1"/>
                <w:color w:val="auto"/>
                <w:w w:val="89"/>
              </w:rPr>
              <w:t>As of</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34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Arial" w:cs="Arial" w:eastAsia="Arial" w:hAnsi="Arial"/>
                <w:sz w:val="16"/>
                <w:szCs w:val="16"/>
                <w:b w:val="1"/>
                <w:bCs w:val="1"/>
                <w:color w:val="auto"/>
              </w:rPr>
              <w:t>March 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0"/>
              </w:rPr>
              <w:t>June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27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89"/>
              </w:rPr>
              <w:t>2021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6640" w:type="dxa"/>
            <w:vAlign w:val="bottom"/>
            <w:shd w:val="clear" w:color="auto" w:fill="CCEEFF"/>
          </w:tcPr>
          <w:p>
            <w:pPr>
              <w:ind w:left="20"/>
              <w:spacing w:after="0" w:line="213" w:lineRule="exact"/>
              <w:rPr>
                <w:sz w:val="20"/>
                <w:szCs w:val="20"/>
                <w:color w:val="auto"/>
              </w:rPr>
            </w:pPr>
            <w:r>
              <w:rPr>
                <w:rFonts w:ascii="Arial" w:cs="Arial" w:eastAsia="Arial" w:hAnsi="Arial"/>
                <w:sz w:val="16"/>
                <w:szCs w:val="16"/>
                <w:color w:val="auto"/>
              </w:rPr>
              <w:t xml:space="preserve">Tangible equity </w:t>
            </w:r>
            <w:r>
              <w:rPr>
                <w:rFonts w:ascii="Arial" w:cs="Arial" w:eastAsia="Arial" w:hAnsi="Arial"/>
                <w:sz w:val="21"/>
                <w:szCs w:val="21"/>
                <w:color w:val="auto"/>
                <w:vertAlign w:val="superscript"/>
              </w:rPr>
              <w:t>(1)</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369,389</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370,617</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380,450</w:t>
            </w:r>
          </w:p>
        </w:tc>
        <w:tc>
          <w:tcPr>
            <w:tcW w:w="0" w:type="dxa"/>
            <w:vAlign w:val="bottom"/>
          </w:tcPr>
          <w:p>
            <w:pPr>
              <w:spacing w:after="0"/>
              <w:rPr>
                <w:sz w:val="1"/>
                <w:szCs w:val="1"/>
                <w:color w:val="auto"/>
              </w:rPr>
            </w:pPr>
          </w:p>
        </w:tc>
      </w:tr>
      <w:tr>
        <w:trPr>
          <w:trHeight w:val="207"/>
        </w:trPr>
        <w:tc>
          <w:tcPr>
            <w:tcW w:w="664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19"/>
              <w:spacing w:after="0"/>
              <w:rPr>
                <w:sz w:val="20"/>
                <w:szCs w:val="20"/>
                <w:color w:val="auto"/>
              </w:rPr>
            </w:pPr>
            <w:r>
              <w:rPr>
                <w:rFonts w:ascii="Arial" w:cs="Arial" w:eastAsia="Arial" w:hAnsi="Arial"/>
                <w:sz w:val="16"/>
                <w:szCs w:val="16"/>
                <w:color w:val="auto"/>
              </w:rPr>
              <w:t>3,541,785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3,524,723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jc w:val="right"/>
              <w:ind w:right="119"/>
              <w:spacing w:after="0"/>
              <w:rPr>
                <w:sz w:val="20"/>
                <w:szCs w:val="20"/>
                <w:color w:val="auto"/>
              </w:rPr>
            </w:pPr>
            <w:r>
              <w:rPr>
                <w:rFonts w:ascii="Arial" w:cs="Arial" w:eastAsia="Arial" w:hAnsi="Arial"/>
                <w:sz w:val="16"/>
                <w:szCs w:val="16"/>
                <w:color w:val="auto"/>
              </w:rPr>
              <w:t>3,648,613</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goodwill, core deposit intangibles, net of taxes</w:t>
            </w:r>
          </w:p>
        </w:tc>
        <w:tc>
          <w:tcPr>
            <w:tcW w:w="3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25,742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25,902</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26,002</w:t>
            </w:r>
          </w:p>
        </w:tc>
        <w:tc>
          <w:tcPr>
            <w:tcW w:w="0" w:type="dxa"/>
            <w:vAlign w:val="bottom"/>
          </w:tcPr>
          <w:p>
            <w:pPr>
              <w:spacing w:after="0"/>
              <w:rPr>
                <w:sz w:val="1"/>
                <w:szCs w:val="1"/>
                <w:color w:val="auto"/>
              </w:rPr>
            </w:pPr>
          </w:p>
        </w:tc>
      </w:tr>
      <w:tr>
        <w:trPr>
          <w:trHeight w:val="213"/>
        </w:trPr>
        <w:tc>
          <w:tcPr>
            <w:tcW w:w="6640" w:type="dxa"/>
            <w:vAlign w:val="bottom"/>
          </w:tcPr>
          <w:p>
            <w:pPr>
              <w:ind w:left="20"/>
              <w:spacing w:after="0"/>
              <w:rPr>
                <w:sz w:val="20"/>
                <w:szCs w:val="20"/>
                <w:color w:val="auto"/>
              </w:rPr>
            </w:pPr>
            <w:r>
              <w:rPr>
                <w:rFonts w:ascii="Arial" w:cs="Arial" w:eastAsia="Arial" w:hAnsi="Arial"/>
                <w:sz w:val="16"/>
                <w:szCs w:val="16"/>
                <w:color w:val="auto"/>
              </w:rPr>
              <w:t>Total tangible assets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3,516,043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3,498,821</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3,622,611</w:t>
            </w:r>
          </w:p>
        </w:tc>
        <w:tc>
          <w:tcPr>
            <w:tcW w:w="0" w:type="dxa"/>
            <w:vAlign w:val="bottom"/>
          </w:tcPr>
          <w:p>
            <w:pPr>
              <w:spacing w:after="0"/>
              <w:rPr>
                <w:sz w:val="1"/>
                <w:szCs w:val="1"/>
                <w:color w:val="auto"/>
              </w:rPr>
            </w:pP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Tangible equity to tangible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10.59 %</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10.50 %</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w:t>
      </w:r>
    </w:p>
    <w:p>
      <w:pPr>
        <w:spacing w:after="0" w:line="9" w:lineRule="exact"/>
        <w:rPr>
          <w:sz w:val="20"/>
          <w:szCs w:val="20"/>
          <w:color w:val="auto"/>
        </w:rPr>
      </w:pPr>
    </w:p>
    <w:p>
      <w:pPr>
        <w:spacing w:after="0"/>
        <w:tabs>
          <w:tab w:leader="none" w:pos="2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0"/>
          <w:szCs w:val="10"/>
          <w:color w:val="auto"/>
        </w:rPr>
        <w:t>Tangible equity (or tangible book value) is equal to total stockholders' equity less goodwill and core deposit intangibles, net of related deferred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Comparison of Financial Condition at March 31, 2022 and June 30, 2021</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Total assets and liabilities increased by $17.1 million and $18.5 million to $3.5 billion and $3.1 billion, respectively, at March 31, 2022 as compared to June 30,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Deposits increased by $103.6 million, or 3.5%, which were used to continue paying down borrowings during the period. In addition, excess liquidity from a $50.1 million, or 32.0%, decrease in debt securities available for sale, a $33.7 million, or 1.2%, decrease in loans receivable, a $12.0 million, or 29.9%, decrease in certificates of deposit in other banks, and a $8.3 million, or 8.8% decrease in loans held for sale was invested in commercial paper which increased by $123.3 million, or 65.0%, during the period.</w:t>
      </w:r>
    </w:p>
    <w:p>
      <w:pPr>
        <w:spacing w:after="0" w:line="137"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i w:val="1"/>
          <w:iCs w:val="1"/>
          <w:color w:val="auto"/>
        </w:rPr>
        <w:t xml:space="preserve">Cash and cash equivalents and commercial paper. </w:t>
      </w:r>
      <w:r>
        <w:rPr>
          <w:rFonts w:ascii="Arial" w:cs="Arial" w:eastAsia="Arial" w:hAnsi="Arial"/>
          <w:sz w:val="15"/>
          <w:szCs w:val="15"/>
          <w:color w:val="auto"/>
        </w:rPr>
        <w:t>Total cash and cash equivalents increased $1.1 million, or 2.1%, to $52.1 million at March 31, 2022 from $51.0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 June 30, 2021. Commercial paper increased $123.3 million, or 65.0%, to $312.9 million at March 31, 2022 from $189.6 million at June 30, 2021.</w:t>
      </w:r>
    </w:p>
    <w:p>
      <w:pPr>
        <w:spacing w:after="0" w:line="94" w:lineRule="exact"/>
        <w:rPr>
          <w:sz w:val="20"/>
          <w:szCs w:val="20"/>
          <w:color w:val="auto"/>
        </w:rPr>
      </w:pPr>
    </w:p>
    <w:p>
      <w:pPr>
        <w:jc w:val="both"/>
        <w:spacing w:after="0" w:line="272" w:lineRule="auto"/>
        <w:rPr>
          <w:sz w:val="20"/>
          <w:szCs w:val="20"/>
          <w:color w:val="auto"/>
        </w:rPr>
      </w:pPr>
      <w:r>
        <w:rPr>
          <w:rFonts w:ascii="Arial" w:cs="Arial" w:eastAsia="Arial" w:hAnsi="Arial"/>
          <w:sz w:val="15"/>
          <w:szCs w:val="15"/>
          <w:b w:val="1"/>
          <w:bCs w:val="1"/>
          <w:i w:val="1"/>
          <w:iCs w:val="1"/>
          <w:color w:val="auto"/>
        </w:rPr>
        <w:t xml:space="preserve">Debt securities available for sale and other investments. </w:t>
      </w:r>
      <w:r>
        <w:rPr>
          <w:rFonts w:ascii="Arial" w:cs="Arial" w:eastAsia="Arial" w:hAnsi="Arial"/>
          <w:sz w:val="15"/>
          <w:szCs w:val="15"/>
          <w:color w:val="auto"/>
        </w:rPr>
        <w:t>Debt securities available for sale decreased $50.1 million, or 32.0%, to $106.3 million at March 31, 2022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$156.5 million at June 30, 2021. At March 31, 2022, certificates of deposit in other banks decreased $12.0 million, or 29.9%, to $28.1 million compared to $40.1 million at June 30, 2021. The decrease in certificates of deposit in other banks was due to $13.0 million in maturities partially offset by $1.0 million in purchases. All certificates of deposit in other banks are fully insured by the FDIC. Other investments at cost decreased $670,000, or 2.8%, to $23.0 million at March 31, 2022 from $23.7 million at June 30, 2021. Other investments at cost included SBIC investments, FRB stock, and FHLB stock totaling $12.6 million, $7.4 million, and $3.0 million, respectively. The overall decrease was driven by a $3.1 million, or 50.6%, reduction in FHLB stock as a result of the paydowns in borrowings.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Loans held for sale. </w:t>
      </w:r>
      <w:r>
        <w:rPr>
          <w:rFonts w:ascii="Arial" w:cs="Arial" w:eastAsia="Arial" w:hAnsi="Arial"/>
          <w:sz w:val="16"/>
          <w:szCs w:val="16"/>
          <w:color w:val="auto"/>
        </w:rPr>
        <w:t>Loans held for sale decreased $8.2 million, or 8.8%, to $85.3 million at March 31, 2022 from $93.5 million at June 30, 2021. The decrease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driven by a $17.2 million, or 39.7%, decrease in mortgage loans held for sale, offset by a $5.0 million, or 8.7%, increase in HELOCs originated for sale and a $4.0 million, or 94.8%, increase in SBA loans held for sale.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Loans, net of deferred loan fees and costs. </w:t>
      </w:r>
      <w:r>
        <w:rPr>
          <w:rFonts w:ascii="Arial" w:cs="Arial" w:eastAsia="Arial" w:hAnsi="Arial"/>
          <w:sz w:val="16"/>
          <w:szCs w:val="16"/>
          <w:color w:val="auto"/>
        </w:rPr>
        <w:t>Total loans decreased $33.7 million, or 1.2%, to $2.7 billion at March 31, 2022 from the balance at June 30, 2021. The decrease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loans was driven by PPP forgiveness of $43.9 million and a $98.5 million, or 12.9%, decrease in retail consumer loans primarily within the one-to-four family loans and indirect auto loan portfolios. This decrease was partially offset by a $108.7 million, or 5.7%, increase in commercial loans (excluding PPP loans) as the Company continues its focus on the growth of the commercial loan segment.</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Commercial and retail consumer loans consist of the following at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As of</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Percent of total</w:t>
            </w:r>
          </w:p>
        </w:tc>
      </w:tr>
      <w:tr>
        <w:trPr>
          <w:trHeight w:val="210"/>
        </w:trPr>
        <w:tc>
          <w:tcPr>
            <w:tcW w:w="320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040" w:type="dxa"/>
            <w:vAlign w:val="bottom"/>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Change</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400" w:type="dxa"/>
            <w:vAlign w:val="bottom"/>
          </w:tcPr>
          <w:p>
            <w:pPr>
              <w:jc w:val="right"/>
              <w:ind w:right="339"/>
              <w:spacing w:after="0"/>
              <w:rPr>
                <w:sz w:val="20"/>
                <w:szCs w:val="20"/>
                <w:color w:val="auto"/>
              </w:rPr>
            </w:pPr>
            <w:r>
              <w:rPr>
                <w:rFonts w:ascii="Arial" w:cs="Arial" w:eastAsia="Arial" w:hAnsi="Arial"/>
                <w:sz w:val="16"/>
                <w:szCs w:val="16"/>
                <w:b w:val="1"/>
                <w:bCs w:val="1"/>
                <w:color w:val="auto"/>
              </w:rPr>
              <w:t>June 30,</w:t>
            </w:r>
          </w:p>
        </w:tc>
      </w:tr>
      <w:tr>
        <w:trPr>
          <w:trHeight w:val="212"/>
        </w:trPr>
        <w:tc>
          <w:tcPr>
            <w:tcW w:w="3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22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Commercial loans: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3200" w:type="dxa"/>
            <w:vAlign w:val="bottom"/>
          </w:tcPr>
          <w:p>
            <w:pPr>
              <w:ind w:left="140"/>
              <w:spacing w:after="0"/>
              <w:rPr>
                <w:sz w:val="20"/>
                <w:szCs w:val="20"/>
                <w:color w:val="auto"/>
              </w:rPr>
            </w:pPr>
            <w:r>
              <w:rPr>
                <w:rFonts w:ascii="Arial" w:cs="Arial" w:eastAsia="Arial" w:hAnsi="Arial"/>
                <w:sz w:val="16"/>
                <w:szCs w:val="16"/>
                <w:color w:val="auto"/>
              </w:rPr>
              <w:t>Commercial real estate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1,102,184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1,142,276</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(40,092)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40.8 %</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41.8 %</w:t>
            </w:r>
          </w:p>
        </w:tc>
      </w:tr>
      <w:tr>
        <w:trPr>
          <w:trHeight w:val="219"/>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Construction and development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251,668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179,427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40.3</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r>
      <w:tr>
        <w:trPr>
          <w:trHeight w:val="213"/>
        </w:trPr>
        <w:tc>
          <w:tcPr>
            <w:tcW w:w="3200" w:type="dxa"/>
            <w:vAlign w:val="bottom"/>
          </w:tcPr>
          <w:p>
            <w:pPr>
              <w:ind w:left="140"/>
              <w:spacing w:after="0"/>
              <w:rPr>
                <w:sz w:val="20"/>
                <w:szCs w:val="20"/>
                <w:color w:val="auto"/>
              </w:rPr>
            </w:pPr>
            <w:r>
              <w:rPr>
                <w:rFonts w:ascii="Arial" w:cs="Arial" w:eastAsia="Arial" w:hAnsi="Arial"/>
                <w:sz w:val="16"/>
                <w:szCs w:val="16"/>
                <w:color w:val="auto"/>
              </w:rPr>
              <w:t>Commercial and industrial</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167,342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141,341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26,001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6.2</w:t>
            </w:r>
          </w:p>
        </w:tc>
        <w:tc>
          <w:tcPr>
            <w:tcW w:w="12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5.2</w:t>
            </w:r>
          </w:p>
        </w:tc>
      </w:tr>
      <w:tr>
        <w:trPr>
          <w:trHeight w:val="219"/>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Equipment finance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317,920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11.6</w:t>
            </w:r>
          </w:p>
        </w:tc>
      </w:tr>
      <w:tr>
        <w:trPr>
          <w:trHeight w:val="213"/>
        </w:trPr>
        <w:tc>
          <w:tcPr>
            <w:tcW w:w="3200" w:type="dxa"/>
            <w:vAlign w:val="bottom"/>
          </w:tcPr>
          <w:p>
            <w:pPr>
              <w:ind w:left="140"/>
              <w:spacing w:after="0"/>
              <w:rPr>
                <w:sz w:val="20"/>
                <w:szCs w:val="20"/>
                <w:color w:val="auto"/>
              </w:rPr>
            </w:pPr>
            <w:r>
              <w:rPr>
                <w:rFonts w:ascii="Arial" w:cs="Arial" w:eastAsia="Arial" w:hAnsi="Arial"/>
                <w:sz w:val="16"/>
                <w:szCs w:val="16"/>
                <w:color w:val="auto"/>
              </w:rPr>
              <w:t>Municipal leases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130,260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140,421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(10,161)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5.1</w:t>
            </w:r>
          </w:p>
        </w:tc>
      </w:tr>
      <w:tr>
        <w:trPr>
          <w:trHeight w:val="219"/>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PPP loans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(43,894)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(94.1)</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1.7</w:t>
            </w:r>
          </w:p>
        </w:tc>
      </w:tr>
      <w:tr>
        <w:trPr>
          <w:trHeight w:val="207"/>
        </w:trPr>
        <w:tc>
          <w:tcPr>
            <w:tcW w:w="320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commercial loans</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2,032,839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1,968,035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64,804</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72.0</w:t>
            </w:r>
          </w:p>
        </w:tc>
      </w:tr>
      <w:tr>
        <w:trPr>
          <w:trHeight w:val="199"/>
        </w:trPr>
        <w:tc>
          <w:tcPr>
            <w:tcW w:w="3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3200" w:type="dxa"/>
            <w:vAlign w:val="bottom"/>
          </w:tcPr>
          <w:p>
            <w:pPr>
              <w:ind w:left="20"/>
              <w:spacing w:after="0"/>
              <w:rPr>
                <w:sz w:val="20"/>
                <w:szCs w:val="20"/>
                <w:color w:val="auto"/>
              </w:rPr>
            </w:pPr>
            <w:r>
              <w:rPr>
                <w:rFonts w:ascii="Arial" w:cs="Arial" w:eastAsia="Arial" w:hAnsi="Arial"/>
                <w:sz w:val="16"/>
                <w:szCs w:val="16"/>
                <w:b w:val="1"/>
                <w:bCs w:val="1"/>
                <w:color w:val="auto"/>
              </w:rPr>
              <w:t>Retail consumer loans: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One-to-four family</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347,945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(58,604)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14.9</w:t>
            </w:r>
          </w:p>
        </w:tc>
      </w:tr>
      <w:tr>
        <w:trPr>
          <w:trHeight w:val="213"/>
        </w:trPr>
        <w:tc>
          <w:tcPr>
            <w:tcW w:w="3200" w:type="dxa"/>
            <w:vAlign w:val="bottom"/>
          </w:tcPr>
          <w:p>
            <w:pPr>
              <w:ind w:left="140"/>
              <w:spacing w:after="0"/>
              <w:rPr>
                <w:sz w:val="20"/>
                <w:szCs w:val="20"/>
                <w:color w:val="auto"/>
              </w:rPr>
            </w:pPr>
            <w:r>
              <w:rPr>
                <w:rFonts w:ascii="Arial" w:cs="Arial" w:eastAsia="Arial" w:hAnsi="Arial"/>
                <w:sz w:val="16"/>
                <w:szCs w:val="16"/>
                <w:color w:val="auto"/>
              </w:rPr>
              <w:t>HELOCs - originated</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128,445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130,225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4.8</w:t>
            </w:r>
          </w:p>
        </w:tc>
      </w:tr>
      <w:tr>
        <w:trPr>
          <w:trHeight w:val="219"/>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HELOCs - purchased</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38,976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w:t>
            </w:r>
          </w:p>
        </w:tc>
      </w:tr>
      <w:tr>
        <w:trPr>
          <w:trHeight w:val="213"/>
        </w:trPr>
        <w:tc>
          <w:tcPr>
            <w:tcW w:w="3200" w:type="dxa"/>
            <w:vAlign w:val="bottom"/>
          </w:tcPr>
          <w:p>
            <w:pPr>
              <w:ind w:left="140"/>
              <w:spacing w:after="0"/>
              <w:rPr>
                <w:sz w:val="20"/>
                <w:szCs w:val="20"/>
                <w:color w:val="auto"/>
              </w:rPr>
            </w:pPr>
            <w:r>
              <w:rPr>
                <w:rFonts w:ascii="Arial" w:cs="Arial" w:eastAsia="Arial" w:hAnsi="Arial"/>
                <w:sz w:val="16"/>
                <w:szCs w:val="16"/>
                <w:color w:val="auto"/>
              </w:rPr>
              <w:t>Construction and land/lots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72,735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66,027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6,708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ind w:right="119"/>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2.4</w:t>
            </w:r>
          </w:p>
        </w:tc>
      </w:tr>
      <w:tr>
        <w:trPr>
          <w:trHeight w:val="219"/>
        </w:trPr>
        <w:tc>
          <w:tcPr>
            <w:tcW w:w="3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Indirect auto finance</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115,093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(31,190)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4.2</w:t>
            </w:r>
          </w:p>
        </w:tc>
      </w:tr>
      <w:tr>
        <w:trPr>
          <w:trHeight w:val="213"/>
        </w:trPr>
        <w:tc>
          <w:tcPr>
            <w:tcW w:w="32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Consumer</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(1,602)</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(19.2)</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0.3</w:t>
            </w:r>
          </w:p>
        </w:tc>
      </w:tr>
      <w:tr>
        <w:trPr>
          <w:trHeight w:val="210"/>
        </w:trPr>
        <w:tc>
          <w:tcPr>
            <w:tcW w:w="32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retail consumer loans</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666,699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765,232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(98,533)</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(12.9)</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24.7</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28.0</w:t>
            </w:r>
          </w:p>
        </w:tc>
      </w:tr>
      <w:tr>
        <w:trPr>
          <w:trHeight w:val="213"/>
        </w:trPr>
        <w:tc>
          <w:tcPr>
            <w:tcW w:w="3200" w:type="dxa"/>
            <w:vAlign w:val="bottom"/>
          </w:tcPr>
          <w:p>
            <w:pPr>
              <w:ind w:left="240"/>
              <w:spacing w:after="0"/>
              <w:rPr>
                <w:sz w:val="20"/>
                <w:szCs w:val="20"/>
                <w:color w:val="auto"/>
              </w:rPr>
            </w:pPr>
            <w:r>
              <w:rPr>
                <w:rFonts w:ascii="Arial" w:cs="Arial" w:eastAsia="Arial" w:hAnsi="Arial"/>
                <w:sz w:val="16"/>
                <w:szCs w:val="16"/>
                <w:color w:val="auto"/>
              </w:rPr>
              <w:t>Total loans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2,699,538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2,733,267</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(33,729)</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304" w:lineRule="auto"/>
        <w:rPr>
          <w:sz w:val="20"/>
          <w:szCs w:val="20"/>
          <w:color w:val="auto"/>
        </w:rPr>
      </w:pPr>
      <w:r>
        <w:rPr>
          <w:rFonts w:ascii="Arial" w:cs="Arial" w:eastAsia="Arial" w:hAnsi="Arial"/>
          <w:sz w:val="14"/>
          <w:szCs w:val="14"/>
          <w:b w:val="1"/>
          <w:bCs w:val="1"/>
          <w:i w:val="1"/>
          <w:iCs w:val="1"/>
          <w:color w:val="auto"/>
        </w:rPr>
        <w:t xml:space="preserve">Asset quality. </w:t>
      </w:r>
      <w:r>
        <w:rPr>
          <w:rFonts w:ascii="Arial" w:cs="Arial" w:eastAsia="Arial" w:hAnsi="Arial"/>
          <w:sz w:val="14"/>
          <w:szCs w:val="14"/>
          <w:color w:val="auto"/>
        </w:rPr>
        <w:t>Nonperforming assets decreased by $7.0 million, or 54.6%, to $5.8 million, or 0.16%, of total assets at March 31, 2022 compared to $12.8 million, or 0.36%</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 total assets at June 30, 2021. The significant decrease from June 30, 2021 was primarily a result of the payoff of two commercial real estate loan relationships totaling $5.1 million during the nine month period. Nonperforming assets included $5.8 million in nonaccruing loans and no REO at March 31, 2022, compared to $12.6 million and $188,000 in nonaccruing loans and REO, respectively, at June 30, 2021. Nonperforming loans to total loans was 0.22% at March 31, 2022 and 0.46% at June 30, 2021.</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38" w:name="page39"/>
    <w:bookmarkEnd w:id="38"/>
    <w:p>
      <w:pPr>
        <w:jc w:val="both"/>
        <w:spacing w:after="0" w:line="256" w:lineRule="auto"/>
        <w:rPr>
          <w:sz w:val="20"/>
          <w:szCs w:val="20"/>
          <w:color w:val="auto"/>
        </w:rPr>
      </w:pPr>
      <w:r>
        <w:rPr>
          <w:rFonts w:ascii="Arial" w:cs="Arial" w:eastAsia="Arial" w:hAnsi="Arial"/>
          <w:sz w:val="16"/>
          <w:szCs w:val="16"/>
          <w:color w:val="auto"/>
        </w:rPr>
        <w:t>As of March 31, 2022, we had no loans with full principal and interest payment deferrals related to COVID-19 which had been granted prior to January 1, 2022, compared to $107,000 at June 30, 2021. All loans placed on full payment deferral during the pandemic have come out of deferral and borrowers are either making regular loan payments or interest-only payments. As of March 31, 2022, the Company had $9.6 million in commercial loan deferrals on interest-only payments compared to $78.9 million at June 30, 2021.</w:t>
      </w:r>
    </w:p>
    <w:p>
      <w:pPr>
        <w:spacing w:after="0" w:line="133" w:lineRule="exact"/>
        <w:rPr>
          <w:sz w:val="20"/>
          <w:szCs w:val="20"/>
          <w:color w:val="auto"/>
        </w:rPr>
      </w:pPr>
    </w:p>
    <w:p>
      <w:pPr>
        <w:jc w:val="both"/>
        <w:spacing w:after="0" w:line="310" w:lineRule="auto"/>
        <w:rPr>
          <w:sz w:val="20"/>
          <w:szCs w:val="20"/>
          <w:color w:val="auto"/>
        </w:rPr>
      </w:pPr>
      <w:r>
        <w:rPr>
          <w:rFonts w:ascii="Arial" w:cs="Arial" w:eastAsia="Arial" w:hAnsi="Arial"/>
          <w:sz w:val="15"/>
          <w:szCs w:val="15"/>
          <w:color w:val="auto"/>
        </w:rPr>
        <w:t>The ratio of classified assets to total assets decreased to 0.61% at March 31, 2022 from 0.76% at June 30, 2021. Classified assets decreased $5.0 million, or 18.5%, to $21.7 million at March 31, 2022 compared to $26.7 million at June 30, 2021 primarily due to the payoff of two commercial real estate loan relationships discussed above.</w:t>
      </w:r>
    </w:p>
    <w:p>
      <w:pPr>
        <w:spacing w:after="0" w:line="94"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Our individually evaluated loans include loans on nonaccrual status and all TDRs, whether performing or on nonaccrual status under their restructured terms. Individually evaluated loans may be evaluated for reserve purposes using either the discounted cash flow or the collateral valuation method. As of March 31, 2022, there were $4.9 million in loans individually evaluated. For more information on these individually evaluated loans, see "Note 6 - Loans and Allowance for Credit Losses on Loans" in this Quarterly Report on Form 10-Q.</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Allowance for credit losses. </w:t>
      </w:r>
      <w:r>
        <w:rPr>
          <w:rFonts w:ascii="Arial" w:cs="Arial" w:eastAsia="Arial" w:hAnsi="Arial"/>
          <w:sz w:val="16"/>
          <w:szCs w:val="16"/>
          <w:color w:val="auto"/>
        </w:rPr>
        <w:t>The ACL on loans was $31.0 million, or 1.15%, of total loans at March 31, 2022 compared to $35.5 million, or 1.30%, of total loans at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30, 2021. The overall decrease was driven by lower expected credit losses estimated by management based on an improving economic outlook.</w:t>
      </w:r>
    </w:p>
    <w:p>
      <w:pPr>
        <w:spacing w:after="0" w:line="118"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There was a net benefit for credit losses of $4.0 million for the nine months ended March 31, 2022, compared to a $6.2 million net benefit for the corresponding period in fiscal year 2021. Net loan charge-offs totaled $19,000 for the nine months ended March 31, 2022, compared to net charge-offs of $452,000 for the same period last year. Net charge-offs as a percentage of average loans was 0.00% for the nine months ended March 31, 2022 compared to net charge-offs of 0.02% for the corresponding period last year.</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color w:val="auto"/>
        </w:rPr>
        <w:t>The allowance as a percentage of nonperforming loans increased to 534.06% at March 31, 2022 from 281.38% at June 30, 2021.</w:t>
      </w:r>
    </w:p>
    <w:p>
      <w:pPr>
        <w:spacing w:after="0" w:line="167" w:lineRule="exact"/>
        <w:rPr>
          <w:sz w:val="20"/>
          <w:szCs w:val="20"/>
          <w:color w:val="auto"/>
        </w:rPr>
      </w:pPr>
    </w:p>
    <w:p>
      <w:pPr>
        <w:jc w:val="both"/>
        <w:ind w:right="20"/>
        <w:spacing w:after="0" w:line="310" w:lineRule="auto"/>
        <w:rPr>
          <w:sz w:val="20"/>
          <w:szCs w:val="20"/>
          <w:color w:val="auto"/>
        </w:rPr>
      </w:pPr>
      <w:r>
        <w:rPr>
          <w:rFonts w:ascii="Arial" w:cs="Arial" w:eastAsia="Arial" w:hAnsi="Arial"/>
          <w:sz w:val="15"/>
          <w:szCs w:val="15"/>
          <w:b w:val="1"/>
          <w:bCs w:val="1"/>
          <w:i w:val="1"/>
          <w:iCs w:val="1"/>
          <w:color w:val="auto"/>
        </w:rPr>
        <w:t xml:space="preserve">Deferred income taxes. </w:t>
      </w:r>
      <w:r>
        <w:rPr>
          <w:rFonts w:ascii="Arial" w:cs="Arial" w:eastAsia="Arial" w:hAnsi="Arial"/>
          <w:sz w:val="15"/>
          <w:szCs w:val="15"/>
          <w:color w:val="auto"/>
        </w:rPr>
        <w:t>Deferred income taxes decreased $4.4 million, or 26.1%, to $12.5 million at March 31, 2022 from $16.9 million at June 30, 2021. The decrease was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a result of a release and reduction of the ACL, depreciation on new equipment finance leases, and bonus tax depreciation on new premises.</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Other assets. </w:t>
      </w:r>
      <w:r>
        <w:rPr>
          <w:rFonts w:ascii="Arial" w:cs="Arial" w:eastAsia="Arial" w:hAnsi="Arial"/>
          <w:sz w:val="16"/>
          <w:szCs w:val="16"/>
          <w:color w:val="auto"/>
        </w:rPr>
        <w:t>Other assets decreased $2.5 million, or 4.4%, to $55.0 million at March 31, 2022 from $57.5 million at June 30, 2021. The decrease was primarily driven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lower net operated lease assets and current taxes receivable, offset by a reclassification of assets held for sale from premises and equipment related to the nine branch closures.</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Deposits. </w:t>
      </w:r>
      <w:r>
        <w:rPr>
          <w:rFonts w:ascii="Arial" w:cs="Arial" w:eastAsia="Arial" w:hAnsi="Arial"/>
          <w:sz w:val="16"/>
          <w:szCs w:val="16"/>
          <w:color w:val="auto"/>
        </w:rPr>
        <w:t>Deposits increased $103.6 million, or 3.5%, during the nine months ended March 31, 2022 to $3.1 billion, driven by our successful efforts to increase core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deposits which increased $133.6 million, or 5.4%. Partially offsetting this deposit increase was a decrease of $30.0 million, or 6.3%, in certificates of deposit as part of our managed runoff of the portfolio.</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our deposits by type of deposit account as of the dates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0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As of</w:t>
            </w: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Percent of total</w:t>
            </w:r>
          </w:p>
        </w:tc>
      </w:tr>
      <w:tr>
        <w:trPr>
          <w:trHeight w:val="210"/>
        </w:trPr>
        <w:tc>
          <w:tcPr>
            <w:tcW w:w="3040" w:type="dxa"/>
            <w:vAlign w:val="bottom"/>
          </w:tcPr>
          <w:p>
            <w:pPr>
              <w:ind w:left="20"/>
              <w:spacing w:after="0"/>
              <w:rPr>
                <w:sz w:val="20"/>
                <w:szCs w:val="20"/>
                <w:color w:val="auto"/>
              </w:rPr>
            </w:pPr>
            <w:r>
              <w:rPr>
                <w:rFonts w:ascii="Arial" w:cs="Arial" w:eastAsia="Arial" w:hAnsi="Arial"/>
                <w:sz w:val="16"/>
                <w:szCs w:val="16"/>
                <w:color w:val="auto"/>
              </w:rPr>
              <w:t>(Dollars in thousands)</w:t>
            </w:r>
          </w:p>
        </w:tc>
        <w:tc>
          <w:tcPr>
            <w:tcW w:w="18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Arial" w:cs="Arial" w:eastAsia="Arial" w:hAnsi="Arial"/>
                <w:sz w:val="16"/>
                <w:szCs w:val="16"/>
                <w:b w:val="1"/>
                <w:bCs w:val="1"/>
                <w:color w:val="auto"/>
              </w:rPr>
              <w:t>March 31,</w:t>
            </w:r>
          </w:p>
        </w:tc>
        <w:tc>
          <w:tcPr>
            <w:tcW w:w="24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640"/>
              <w:spacing w:after="0"/>
              <w:rPr>
                <w:sz w:val="20"/>
                <w:szCs w:val="20"/>
                <w:color w:val="auto"/>
              </w:rPr>
            </w:pPr>
            <w:r>
              <w:rPr>
                <w:rFonts w:ascii="Arial" w:cs="Arial" w:eastAsia="Arial" w:hAnsi="Arial"/>
                <w:sz w:val="16"/>
                <w:szCs w:val="16"/>
                <w:b w:val="1"/>
                <w:bCs w:val="1"/>
                <w:color w:val="auto"/>
              </w:rPr>
              <w:t>Change</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ind w:left="360"/>
              <w:spacing w:after="0"/>
              <w:rPr>
                <w:sz w:val="20"/>
                <w:szCs w:val="20"/>
                <w:color w:val="auto"/>
              </w:rPr>
            </w:pPr>
            <w:r>
              <w:rPr>
                <w:rFonts w:ascii="Arial" w:cs="Arial" w:eastAsia="Arial" w:hAnsi="Arial"/>
                <w:sz w:val="16"/>
                <w:szCs w:val="16"/>
                <w:b w:val="1"/>
                <w:bCs w:val="1"/>
                <w:color w:val="auto"/>
              </w:rPr>
              <w:t>March 31,</w:t>
            </w:r>
          </w:p>
        </w:tc>
        <w:tc>
          <w:tcPr>
            <w:tcW w:w="1400" w:type="dxa"/>
            <w:vAlign w:val="bottom"/>
          </w:tcPr>
          <w:p>
            <w:pPr>
              <w:jc w:val="right"/>
              <w:ind w:right="339"/>
              <w:spacing w:after="0"/>
              <w:rPr>
                <w:sz w:val="20"/>
                <w:szCs w:val="20"/>
                <w:color w:val="auto"/>
              </w:rPr>
            </w:pPr>
            <w:r>
              <w:rPr>
                <w:rFonts w:ascii="Arial" w:cs="Arial" w:eastAsia="Arial" w:hAnsi="Arial"/>
                <w:sz w:val="16"/>
                <w:szCs w:val="16"/>
                <w:b w:val="1"/>
                <w:bCs w:val="1"/>
                <w:color w:val="auto"/>
              </w:rPr>
              <w:t>June 30,</w:t>
            </w:r>
          </w:p>
        </w:tc>
      </w:tr>
      <w:tr>
        <w:trPr>
          <w:trHeight w:val="212"/>
        </w:trPr>
        <w:tc>
          <w:tcPr>
            <w:tcW w:w="30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140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r>
      <w:tr>
        <w:trPr>
          <w:trHeight w:val="19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Core deposits:</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13"/>
        </w:trPr>
        <w:tc>
          <w:tcPr>
            <w:tcW w:w="3040" w:type="dxa"/>
            <w:vAlign w:val="bottom"/>
          </w:tcPr>
          <w:p>
            <w:pPr>
              <w:ind w:left="220"/>
              <w:spacing w:after="0"/>
              <w:rPr>
                <w:sz w:val="20"/>
                <w:szCs w:val="20"/>
                <w:color w:val="auto"/>
              </w:rPr>
            </w:pPr>
            <w:r>
              <w:rPr>
                <w:rFonts w:ascii="Arial" w:cs="Arial" w:eastAsia="Arial" w:hAnsi="Arial"/>
                <w:sz w:val="16"/>
                <w:szCs w:val="16"/>
                <w:color w:val="auto"/>
              </w:rPr>
              <w:t>Noninterest-bearing accounts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704,344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636,414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67,930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10.7 %</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23.0 %</w:t>
            </w:r>
          </w:p>
        </w:tc>
        <w:tc>
          <w:tcPr>
            <w:tcW w:w="1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21.5 %</w:t>
            </w:r>
          </w:p>
        </w:tc>
      </w:tr>
      <w:tr>
        <w:trPr>
          <w:trHeight w:val="219"/>
        </w:trPr>
        <w:tc>
          <w:tcPr>
            <w:tcW w:w="3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NOW accounts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652,577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644,958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21.3</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21.8</w:t>
            </w:r>
          </w:p>
        </w:tc>
      </w:tr>
      <w:tr>
        <w:trPr>
          <w:trHeight w:val="213"/>
        </w:trPr>
        <w:tc>
          <w:tcPr>
            <w:tcW w:w="3040" w:type="dxa"/>
            <w:vAlign w:val="bottom"/>
          </w:tcPr>
          <w:p>
            <w:pPr>
              <w:ind w:left="220"/>
              <w:spacing w:after="0"/>
              <w:rPr>
                <w:sz w:val="20"/>
                <w:szCs w:val="20"/>
                <w:color w:val="auto"/>
              </w:rPr>
            </w:pPr>
            <w:r>
              <w:rPr>
                <w:rFonts w:ascii="Arial" w:cs="Arial" w:eastAsia="Arial" w:hAnsi="Arial"/>
                <w:sz w:val="16"/>
                <w:szCs w:val="16"/>
                <w:color w:val="auto"/>
              </w:rPr>
              <w:t>Money market accounts</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1,026,595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975,001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51,594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33.6</w:t>
            </w:r>
          </w:p>
        </w:tc>
        <w:tc>
          <w:tcPr>
            <w:tcW w:w="12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33.0</w:t>
            </w:r>
          </w:p>
        </w:tc>
      </w:tr>
      <w:tr>
        <w:trPr>
          <w:trHeight w:val="219"/>
        </w:trPr>
        <w:tc>
          <w:tcPr>
            <w:tcW w:w="3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Savings accounts</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232,831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226,391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7.7</w:t>
            </w:r>
          </w:p>
        </w:tc>
      </w:tr>
      <w:tr>
        <w:trPr>
          <w:trHeight w:val="206"/>
        </w:trPr>
        <w:tc>
          <w:tcPr>
            <w:tcW w:w="3040" w:type="dxa"/>
            <w:vAlign w:val="bottom"/>
          </w:tcPr>
          <w:p>
            <w:pPr>
              <w:ind w:left="360"/>
              <w:spacing w:after="0"/>
              <w:rPr>
                <w:sz w:val="20"/>
                <w:szCs w:val="20"/>
                <w:color w:val="auto"/>
              </w:rPr>
            </w:pPr>
            <w:r>
              <w:rPr>
                <w:rFonts w:ascii="Arial" w:cs="Arial" w:eastAsia="Arial" w:hAnsi="Arial"/>
                <w:sz w:val="16"/>
                <w:szCs w:val="16"/>
                <w:b w:val="1"/>
                <w:bCs w:val="1"/>
                <w:color w:val="auto"/>
              </w:rPr>
              <w:t>Core deposits</w:t>
            </w: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2,616,347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2,482,764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133,583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85.5</w:t>
            </w:r>
          </w:p>
        </w:tc>
        <w:tc>
          <w:tcPr>
            <w:tcW w:w="120" w:type="dxa"/>
            <w:vAlign w:val="bottom"/>
          </w:tcPr>
          <w:p>
            <w:pPr>
              <w:spacing w:after="0"/>
              <w:rPr>
                <w:sz w:val="17"/>
                <w:szCs w:val="17"/>
                <w:color w:val="auto"/>
              </w:rPr>
            </w:pPr>
          </w:p>
        </w:tc>
        <w:tc>
          <w:tcPr>
            <w:tcW w:w="1400" w:type="dxa"/>
            <w:vAlign w:val="bottom"/>
          </w:tcPr>
          <w:p>
            <w:pPr>
              <w:jc w:val="right"/>
              <w:ind w:right="119"/>
              <w:spacing w:after="0"/>
              <w:rPr>
                <w:sz w:val="20"/>
                <w:szCs w:val="20"/>
                <w:color w:val="auto"/>
              </w:rPr>
            </w:pPr>
            <w:r>
              <w:rPr>
                <w:rFonts w:ascii="Arial" w:cs="Arial" w:eastAsia="Arial" w:hAnsi="Arial"/>
                <w:sz w:val="16"/>
                <w:szCs w:val="16"/>
                <w:color w:val="auto"/>
              </w:rPr>
              <w:t>84.0</w:t>
            </w: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Certificates of deposit</w:t>
            </w: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442,810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472,777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6"/>
                <w:szCs w:val="16"/>
                <w:color w:val="auto"/>
                <w:w w:val="93"/>
              </w:rPr>
              <w:t>(29,967)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14.5</w:t>
            </w:r>
          </w:p>
        </w:tc>
        <w:tc>
          <w:tcPr>
            <w:tcW w:w="12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16.0</w:t>
            </w:r>
          </w:p>
        </w:tc>
      </w:tr>
      <w:tr>
        <w:trPr>
          <w:trHeight w:val="213"/>
        </w:trPr>
        <w:tc>
          <w:tcPr>
            <w:tcW w:w="3040" w:type="dxa"/>
            <w:vAlign w:val="bottom"/>
          </w:tcPr>
          <w:p>
            <w:pPr>
              <w:ind w:left="36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3,059,157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2,955,541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103,616</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3.5 %</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100.0 %</w:t>
            </w:r>
          </w:p>
        </w:tc>
      </w:tr>
      <w:tr>
        <w:trPr>
          <w:trHeight w:val="20"/>
        </w:trPr>
        <w:tc>
          <w:tcPr>
            <w:tcW w:w="3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6"/>
          <w:szCs w:val="16"/>
          <w:b w:val="1"/>
          <w:bCs w:val="1"/>
          <w:i w:val="1"/>
          <w:iCs w:val="1"/>
          <w:color w:val="auto"/>
        </w:rPr>
        <w:t xml:space="preserve">Borrowings. </w:t>
      </w:r>
      <w:r>
        <w:rPr>
          <w:rFonts w:ascii="Arial" w:cs="Arial" w:eastAsia="Arial" w:hAnsi="Arial"/>
          <w:sz w:val="16"/>
          <w:szCs w:val="16"/>
          <w:color w:val="auto"/>
        </w:rPr>
        <w:t>Borrowings decreased $85.0 million, or 73.9%, to $30.0 million at March 31, 2022 compared to $115.0 million at June 30, 2021 as excess liquidity was used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pay down borrowings.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Average Balances, Interest and Average Yield/Cost</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operating results depend primarily on our net interest income, which is the difference between interest income on interest-earning assets, including loans and securities, and interest expense incurred on interest-bearing liabilities, including deposits and other borrowed funds. Interest rate fluctuations, as well as changes in the amount and type of interest-earning assets and interest-bearing liabilities, combine to affect net interest income. Our net interest income is affected by changes in the amount and mix of interest-earning assets and interest-bearing liabilities, referred to as a "volume change". It is also affected by changes in yields earned on interest-earning assets and rates paid on interest-bearing liabilities, referred to as a "rate change".</w:t>
      </w:r>
    </w:p>
    <w:p>
      <w:pPr>
        <w:spacing w:after="0" w:line="137" w:lineRule="exact"/>
        <w:rPr>
          <w:sz w:val="20"/>
          <w:szCs w:val="20"/>
          <w:color w:val="auto"/>
        </w:rPr>
      </w:pPr>
    </w:p>
    <w:p>
      <w:pPr>
        <w:jc w:val="both"/>
        <w:spacing w:after="0" w:line="349" w:lineRule="auto"/>
        <w:rPr>
          <w:sz w:val="20"/>
          <w:szCs w:val="20"/>
          <w:color w:val="auto"/>
        </w:rPr>
      </w:pPr>
      <w:r>
        <w:rPr>
          <w:rFonts w:ascii="Arial" w:cs="Arial" w:eastAsia="Arial" w:hAnsi="Arial"/>
          <w:sz w:val="14"/>
          <w:szCs w:val="14"/>
          <w:color w:val="auto"/>
        </w:rPr>
        <w:t>The following table presents the distribution of average assets, liabilities and equity, as well as interest income on average interest-earning assets and interest expense paid on average interest-bearing liabilities. All average balances are daily average balances. Nonaccruing loans have been included in the table as loans carrying a zero yield.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0" w:name="page41"/>
    <w:bookmarkEnd w:id="40"/>
    <w:p>
      <w:pPr>
        <w:spacing w:after="0" w:line="275" w:lineRule="auto"/>
        <w:rPr>
          <w:sz w:val="20"/>
          <w:szCs w:val="20"/>
          <w:color w:val="auto"/>
        </w:rPr>
      </w:pPr>
      <w:r>
        <w:rPr>
          <w:rFonts w:ascii="Arial" w:cs="Arial" w:eastAsia="Arial" w:hAnsi="Arial"/>
          <w:sz w:val="16"/>
          <w:szCs w:val="16"/>
          <w:color w:val="auto"/>
        </w:rPr>
        <w:t>The following table presents the distribution of average assets, liabilities and equity, as well as interest income and fees on average interest-earning assets and interest expense and interest-bearing liabilities: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7"/>
          </w:tcPr>
          <w:p>
            <w:pPr>
              <w:ind w:left="20"/>
              <w:spacing w:after="0"/>
              <w:rPr>
                <w:sz w:val="20"/>
                <w:szCs w:val="20"/>
                <w:color w:val="auto"/>
              </w:rPr>
            </w:pPr>
            <w:r>
              <w:rPr>
                <w:rFonts w:ascii="Arial" w:cs="Arial" w:eastAsia="Arial" w:hAnsi="Arial"/>
                <w:sz w:val="16"/>
                <w:szCs w:val="16"/>
                <w:b w:val="1"/>
                <w:bCs w:val="1"/>
                <w:color w:val="auto"/>
                <w:w w:val="97"/>
              </w:rPr>
              <w:t>For the Three Months Ended March 31,</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440" w:type="dxa"/>
            <w:vAlign w:val="bottom"/>
          </w:tcPr>
          <w:p>
            <w:pPr>
              <w:ind w:left="20"/>
              <w:spacing w:after="0" w:line="161" w:lineRule="exact"/>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4"/>
                <w:szCs w:val="14"/>
                <w:color w:val="auto"/>
              </w:rPr>
            </w:pPr>
          </w:p>
        </w:tc>
        <w:tc>
          <w:tcPr>
            <w:tcW w:w="840" w:type="dxa"/>
            <w:vAlign w:val="bottom"/>
          </w:tcPr>
          <w:p>
            <w:pPr>
              <w:jc w:val="center"/>
              <w:ind w:right="59"/>
              <w:spacing w:after="0" w:line="161" w:lineRule="exact"/>
              <w:rPr>
                <w:sz w:val="20"/>
                <w:szCs w:val="20"/>
                <w:color w:val="auto"/>
              </w:rPr>
            </w:pPr>
            <w:r>
              <w:rPr>
                <w:rFonts w:ascii="Arial" w:cs="Arial" w:eastAsia="Arial" w:hAnsi="Arial"/>
                <w:sz w:val="16"/>
                <w:szCs w:val="16"/>
                <w:b w:val="1"/>
                <w:bCs w:val="1"/>
                <w:color w:val="auto"/>
                <w:w w:val="93"/>
              </w:rPr>
              <w:t>Interest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Yield/</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line="161" w:lineRule="exact"/>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4"/>
                <w:szCs w:val="14"/>
                <w:color w:val="auto"/>
              </w:rPr>
            </w:pPr>
          </w:p>
        </w:tc>
        <w:tc>
          <w:tcPr>
            <w:tcW w:w="880" w:type="dxa"/>
            <w:vAlign w:val="bottom"/>
          </w:tcPr>
          <w:p>
            <w:pPr>
              <w:ind w:left="80"/>
              <w:spacing w:after="0" w:line="161" w:lineRule="exact"/>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Yield/</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7"/>
              </w:rPr>
              <w:t>Balance</w:t>
            </w:r>
          </w:p>
        </w:tc>
        <w:tc>
          <w:tcPr>
            <w:tcW w:w="180" w:type="dxa"/>
            <w:vAlign w:val="bottom"/>
          </w:tcPr>
          <w:p>
            <w:pPr>
              <w:spacing w:after="0"/>
              <w:rPr>
                <w:sz w:val="14"/>
                <w:szCs w:val="14"/>
                <w:color w:val="auto"/>
              </w:rPr>
            </w:pPr>
          </w:p>
        </w:tc>
        <w:tc>
          <w:tcPr>
            <w:tcW w:w="84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w w:val="95"/>
              </w:rPr>
              <w:t>Earned/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7"/>
              </w:rPr>
              <w:t>Balance</w:t>
            </w:r>
          </w:p>
        </w:tc>
        <w:tc>
          <w:tcPr>
            <w:tcW w:w="180" w:type="dxa"/>
            <w:vAlign w:val="bottom"/>
          </w:tcPr>
          <w:p>
            <w:pPr>
              <w:spacing w:after="0"/>
              <w:rPr>
                <w:sz w:val="14"/>
                <w:szCs w:val="14"/>
                <w:color w:val="auto"/>
              </w:rPr>
            </w:pPr>
          </w:p>
        </w:tc>
        <w:tc>
          <w:tcPr>
            <w:tcW w:w="880" w:type="dxa"/>
            <w:vAlign w:val="bottom"/>
          </w:tcPr>
          <w:p>
            <w:pPr>
              <w:ind w:left="80"/>
              <w:spacing w:after="0" w:line="162" w:lineRule="exact"/>
              <w:rPr>
                <w:sz w:val="20"/>
                <w:szCs w:val="20"/>
                <w:color w:val="auto"/>
              </w:rPr>
            </w:pPr>
            <w:r>
              <w:rPr>
                <w:rFonts w:ascii="Arial" w:cs="Arial" w:eastAsia="Arial" w:hAnsi="Arial"/>
                <w:sz w:val="16"/>
                <w:szCs w:val="16"/>
                <w:b w:val="1"/>
                <w:bCs w:val="1"/>
                <w:color w:val="auto"/>
              </w:rPr>
              <w:t>Earned/</w:t>
            </w: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8"/>
              </w:rPr>
              <w:t>Paid</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Paid</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0" w:type="dxa"/>
            <w:vAlign w:val="bottom"/>
          </w:tcPr>
          <w:p>
            <w:pPr>
              <w:spacing w:after="0"/>
              <w:rPr>
                <w:sz w:val="1"/>
                <w:szCs w:val="1"/>
                <w:color w:val="auto"/>
              </w:rPr>
            </w:pPr>
          </w:p>
        </w:tc>
      </w:tr>
      <w:tr>
        <w:trPr>
          <w:trHeight w:val="199"/>
        </w:trPr>
        <w:tc>
          <w:tcPr>
            <w:tcW w:w="3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line="216" w:lineRule="exact"/>
              <w:rPr>
                <w:sz w:val="20"/>
                <w:szCs w:val="20"/>
                <w:color w:val="auto"/>
              </w:rPr>
            </w:pPr>
            <w:r>
              <w:rPr>
                <w:rFonts w:ascii="Arial" w:cs="Arial" w:eastAsia="Arial" w:hAnsi="Arial"/>
                <w:sz w:val="16"/>
                <w:szCs w:val="16"/>
                <w:color w:val="auto"/>
              </w:rPr>
              <w:t>Loans receivable</w:t>
            </w:r>
            <w:r>
              <w:rPr>
                <w:rFonts w:ascii="Arial" w:cs="Arial" w:eastAsia="Arial" w:hAnsi="Arial"/>
                <w:sz w:val="21"/>
                <w:szCs w:val="21"/>
                <w:color w:val="auto"/>
                <w:vertAlign w:val="superscript"/>
              </w:rPr>
              <w:t>(1)(2)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2,791,650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26,936</w:t>
            </w: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3.91 %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2,779,094</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27,955</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w w:val="92"/>
              </w:rPr>
              <w:t>4.08 %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 and deposits in other banks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342,878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522,256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0.47</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Debt securities available for sale</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111,874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384</w:t>
            </w:r>
          </w:p>
        </w:tc>
        <w:tc>
          <w:tcPr>
            <w:tcW w:w="1340" w:type="dxa"/>
            <w:vAlign w:val="bottom"/>
            <w:gridSpan w:val="3"/>
          </w:tcPr>
          <w:p>
            <w:pPr>
              <w:jc w:val="right"/>
              <w:ind w:right="119"/>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153,871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496</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Other interest-earning assets</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22,614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39,184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7"/>
        </w:trPr>
        <w:tc>
          <w:tcPr>
            <w:tcW w:w="3440" w:type="dxa"/>
            <w:vAlign w:val="bottom"/>
          </w:tcPr>
          <w:p>
            <w:pPr>
              <w:ind w:left="140"/>
              <w:spacing w:after="0"/>
              <w:rPr>
                <w:sz w:val="20"/>
                <w:szCs w:val="20"/>
                <w:color w:val="auto"/>
              </w:rPr>
            </w:pPr>
            <w:r>
              <w:rPr>
                <w:rFonts w:ascii="Arial" w:cs="Arial" w:eastAsia="Arial" w:hAnsi="Arial"/>
                <w:sz w:val="16"/>
                <w:szCs w:val="16"/>
                <w:color w:val="auto"/>
              </w:rPr>
              <w:t>Total interest-earning assets</w:t>
            </w:r>
          </w:p>
        </w:tc>
        <w:tc>
          <w:tcPr>
            <w:tcW w:w="1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3,269,016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28,515</w:t>
            </w:r>
          </w:p>
        </w:tc>
        <w:tc>
          <w:tcPr>
            <w:tcW w:w="1340" w:type="dxa"/>
            <w:vAlign w:val="bottom"/>
            <w:gridSpan w:val="3"/>
          </w:tcPr>
          <w:p>
            <w:pPr>
              <w:jc w:val="right"/>
              <w:ind w:right="11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3,494,405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29,647</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258,126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258,858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3,527,142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3,753,263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Interest-bearing deposits: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checking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650,072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0.19 %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637,381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w w:val="92"/>
              </w:rPr>
              <w:t>0.25 %</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Money market accounts</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1,020,734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340</w:t>
            </w:r>
          </w:p>
        </w:tc>
        <w:tc>
          <w:tcPr>
            <w:tcW w:w="1340" w:type="dxa"/>
            <w:vAlign w:val="bottom"/>
            <w:gridSpan w:val="3"/>
          </w:tcPr>
          <w:p>
            <w:pPr>
              <w:jc w:val="right"/>
              <w:ind w:right="11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907,228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373</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rPr>
              <w:t>0.17</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Savings accounts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227,936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212,809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0.08</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Certificate accounts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441,314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461</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0.42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516,221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0.94</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interest-bearing deposits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2,340,056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2,273,639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0.36</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Borrowings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33,599</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465,111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1,632</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Total interest-bearing liabilities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2,373,655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340" w:type="dxa"/>
            <w:vAlign w:val="bottom"/>
            <w:gridSpan w:val="3"/>
            <w:shd w:val="clear" w:color="auto" w:fill="CCEEFF"/>
          </w:tcPr>
          <w:p>
            <w:pPr>
              <w:jc w:val="right"/>
              <w:ind w:right="119"/>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2,738,750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3,628</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0.54</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Noninterest-bearing deposits</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714,753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553,045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39,374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56,655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3,127,782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3,348,450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399,360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404,813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3,527,142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3,753,263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4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6"/>
                <w:szCs w:val="16"/>
                <w:color w:val="auto"/>
              </w:rPr>
              <w:t>Net earning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895,361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755,655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interest-earning assets to</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average interest-bearing liabilities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137.72 %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127.59 %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Tax-equivalent: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Net interest income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27,360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26,019</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spread</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3.34 %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w w:val="92"/>
              </w:rPr>
              <w:t>2.90 %</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line="216"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3.39 %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w w:val="92"/>
              </w:rPr>
              <w:t>3.02 %</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Non-tax-equivalent: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Net interest income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27,040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25,693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spread</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3.30 %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w w:val="92"/>
              </w:rPr>
              <w:t>2.87 %</w:t>
            </w:r>
          </w:p>
        </w:tc>
        <w:tc>
          <w:tcPr>
            <w:tcW w:w="0" w:type="dxa"/>
            <w:vAlign w:val="bottom"/>
          </w:tcPr>
          <w:p>
            <w:pPr>
              <w:spacing w:after="0"/>
              <w:rPr>
                <w:sz w:val="1"/>
                <w:szCs w:val="1"/>
                <w:color w:val="auto"/>
              </w:rPr>
            </w:pPr>
          </w:p>
        </w:tc>
      </w:tr>
      <w:tr>
        <w:trPr>
          <w:trHeight w:val="273"/>
        </w:trPr>
        <w:tc>
          <w:tcPr>
            <w:tcW w:w="3440" w:type="dxa"/>
            <w:vAlign w:val="bottom"/>
          </w:tcPr>
          <w:p>
            <w:pPr>
              <w:ind w:left="140"/>
              <w:spacing w:after="0"/>
              <w:rPr>
                <w:sz w:val="20"/>
                <w:szCs w:val="20"/>
                <w:color w:val="auto"/>
              </w:rPr>
            </w:pPr>
            <w:r>
              <w:rPr>
                <w:rFonts w:ascii="Arial" w:cs="Arial" w:eastAsia="Arial" w:hAnsi="Arial"/>
                <w:sz w:val="16"/>
                <w:szCs w:val="16"/>
                <w:color w:val="auto"/>
              </w:rPr>
              <w:t>Net interest margin</w:t>
            </w:r>
            <w:r>
              <w:rPr>
                <w:rFonts w:ascii="Arial" w:cs="Arial" w:eastAsia="Arial" w:hAnsi="Arial"/>
                <w:sz w:val="21"/>
                <w:szCs w:val="21"/>
                <w:color w:val="auto"/>
                <w:vertAlign w:val="superscript"/>
              </w:rPr>
              <w:t>(4)</w:t>
            </w: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3.35 %</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w w:val="92"/>
              </w:rPr>
              <w:t>2.98 %</w:t>
            </w:r>
          </w:p>
        </w:tc>
        <w:tc>
          <w:tcPr>
            <w:tcW w:w="0" w:type="dxa"/>
            <w:vAlign w:val="bottom"/>
          </w:tcPr>
          <w:p>
            <w:pPr>
              <w:spacing w:after="0"/>
              <w:rPr>
                <w:sz w:val="1"/>
                <w:szCs w:val="1"/>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w:t>
      </w:r>
    </w:p>
    <w:p>
      <w:pPr>
        <w:spacing w:after="0" w:line="53" w:lineRule="exact"/>
        <w:rPr>
          <w:sz w:val="20"/>
          <w:szCs w:val="20"/>
          <w:color w:val="auto"/>
        </w:rPr>
      </w:pPr>
    </w:p>
    <w:p>
      <w:pPr>
        <w:ind w:left="420" w:hanging="4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average loans receivable balances include loans held for sale and nonaccruing loans.</w:t>
      </w:r>
    </w:p>
    <w:p>
      <w:pPr>
        <w:spacing w:after="0" w:line="9" w:lineRule="exact"/>
        <w:rPr>
          <w:rFonts w:ascii="Arial" w:cs="Arial" w:eastAsia="Arial" w:hAnsi="Arial"/>
          <w:sz w:val="13"/>
          <w:szCs w:val="13"/>
          <w:color w:val="auto"/>
        </w:rPr>
      </w:pPr>
    </w:p>
    <w:p>
      <w:pPr>
        <w:ind w:left="420" w:hanging="412"/>
        <w:spacing w:after="0" w:line="238" w:lineRule="auto"/>
        <w:tabs>
          <w:tab w:leader="none" w:pos="418"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Interest income used in the average interest earned and yield calculation includes the tax equivalent adjustment of $320 and $326 for the three months ended March 31, 2022 and 2021, respectively, calculated based on a combined federal and state tax rate of 24%.</w:t>
      </w:r>
    </w:p>
    <w:p>
      <w:pPr>
        <w:ind w:left="420" w:hanging="4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average other interest-earning assets consist of FRB stock, FHLB stock, and SBIC investments.</w:t>
      </w:r>
    </w:p>
    <w:p>
      <w:pPr>
        <w:ind w:left="420" w:hanging="412"/>
        <w:spacing w:after="0"/>
        <w:tabs>
          <w:tab w:leader="none" w:pos="4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Net interest income divided by average interest-earning assets.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3"/>
        </w:trPr>
        <w:tc>
          <w:tcPr>
            <w:tcW w:w="34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w w:val="99"/>
              </w:rPr>
              <w:t>For the Nine Months Ended March 31,</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3440" w:type="dxa"/>
            <w:vAlign w:val="bottom"/>
          </w:tcPr>
          <w:p>
            <w:pPr>
              <w:ind w:left="20"/>
              <w:spacing w:after="0" w:line="161" w:lineRule="exact"/>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line="161" w:lineRule="exact"/>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4"/>
                <w:szCs w:val="14"/>
                <w:color w:val="auto"/>
              </w:rPr>
            </w:pPr>
          </w:p>
        </w:tc>
        <w:tc>
          <w:tcPr>
            <w:tcW w:w="880" w:type="dxa"/>
            <w:vAlign w:val="bottom"/>
          </w:tcPr>
          <w:p>
            <w:pPr>
              <w:jc w:val="center"/>
              <w:ind w:right="99"/>
              <w:spacing w:after="0" w:line="161" w:lineRule="exact"/>
              <w:rPr>
                <w:sz w:val="20"/>
                <w:szCs w:val="20"/>
                <w:color w:val="auto"/>
              </w:rPr>
            </w:pPr>
            <w:r>
              <w:rPr>
                <w:rFonts w:ascii="Arial" w:cs="Arial" w:eastAsia="Arial" w:hAnsi="Arial"/>
                <w:sz w:val="16"/>
                <w:szCs w:val="16"/>
                <w:b w:val="1"/>
                <w:bCs w:val="1"/>
                <w:color w:val="auto"/>
                <w:w w:val="93"/>
              </w:rPr>
              <w:t>Interest</w:t>
            </w:r>
          </w:p>
        </w:tc>
        <w:tc>
          <w:tcPr>
            <w:tcW w:w="100" w:type="dxa"/>
            <w:vAlign w:val="bottom"/>
          </w:tcPr>
          <w:p>
            <w:pPr>
              <w:spacing w:after="0"/>
              <w:rPr>
                <w:sz w:val="14"/>
                <w:szCs w:val="14"/>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3"/>
              </w:rPr>
              <w:t>Yield/</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line="161" w:lineRule="exact"/>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4"/>
                <w:szCs w:val="14"/>
                <w:color w:val="auto"/>
              </w:rPr>
            </w:pPr>
          </w:p>
        </w:tc>
        <w:tc>
          <w:tcPr>
            <w:tcW w:w="880" w:type="dxa"/>
            <w:vAlign w:val="bottom"/>
          </w:tcPr>
          <w:p>
            <w:pPr>
              <w:ind w:left="80"/>
              <w:spacing w:after="0" w:line="161" w:lineRule="exact"/>
              <w:rPr>
                <w:sz w:val="20"/>
                <w:szCs w:val="20"/>
                <w:color w:val="auto"/>
              </w:rPr>
            </w:pPr>
            <w:r>
              <w:rPr>
                <w:rFonts w:ascii="Arial" w:cs="Arial" w:eastAsia="Arial" w:hAnsi="Arial"/>
                <w:sz w:val="16"/>
                <w:szCs w:val="16"/>
                <w:b w:val="1"/>
                <w:bCs w:val="1"/>
                <w:color w:val="auto"/>
              </w:rPr>
              <w:t>Interest</w:t>
            </w:r>
          </w:p>
        </w:tc>
        <w:tc>
          <w:tcPr>
            <w:tcW w:w="120" w:type="dxa"/>
            <w:vAlign w:val="bottom"/>
          </w:tcPr>
          <w:p>
            <w:pPr>
              <w:spacing w:after="0"/>
              <w:rPr>
                <w:sz w:val="14"/>
                <w:szCs w:val="14"/>
                <w:color w:val="auto"/>
              </w:rPr>
            </w:pPr>
          </w:p>
        </w:tc>
        <w:tc>
          <w:tcPr>
            <w:tcW w:w="11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Yield/</w:t>
            </w:r>
          </w:p>
        </w:tc>
        <w:tc>
          <w:tcPr>
            <w:tcW w:w="0" w:type="dxa"/>
            <w:vAlign w:val="bottom"/>
          </w:tcPr>
          <w:p>
            <w:pPr>
              <w:spacing w:after="0"/>
              <w:rPr>
                <w:sz w:val="1"/>
                <w:szCs w:val="1"/>
                <w:color w:val="auto"/>
              </w:rPr>
            </w:pPr>
          </w:p>
        </w:tc>
      </w:tr>
      <w:tr>
        <w:trPr>
          <w:trHeight w:val="162"/>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7"/>
              </w:rPr>
              <w:t>Balance</w:t>
            </w:r>
          </w:p>
        </w:tc>
        <w:tc>
          <w:tcPr>
            <w:tcW w:w="180" w:type="dxa"/>
            <w:vAlign w:val="bottom"/>
          </w:tcPr>
          <w:p>
            <w:pPr>
              <w:spacing w:after="0"/>
              <w:rPr>
                <w:sz w:val="14"/>
                <w:szCs w:val="14"/>
                <w:color w:val="auto"/>
              </w:rPr>
            </w:pPr>
          </w:p>
        </w:tc>
        <w:tc>
          <w:tcPr>
            <w:tcW w:w="88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5"/>
              </w:rPr>
              <w:t>Earned/</w:t>
            </w:r>
          </w:p>
        </w:tc>
        <w:tc>
          <w:tcPr>
            <w:tcW w:w="1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87"/>
              </w:rPr>
              <w:t>Balance</w:t>
            </w:r>
          </w:p>
        </w:tc>
        <w:tc>
          <w:tcPr>
            <w:tcW w:w="180" w:type="dxa"/>
            <w:vAlign w:val="bottom"/>
          </w:tcPr>
          <w:p>
            <w:pPr>
              <w:spacing w:after="0"/>
              <w:rPr>
                <w:sz w:val="14"/>
                <w:szCs w:val="14"/>
                <w:color w:val="auto"/>
              </w:rPr>
            </w:pPr>
          </w:p>
        </w:tc>
        <w:tc>
          <w:tcPr>
            <w:tcW w:w="880" w:type="dxa"/>
            <w:vAlign w:val="bottom"/>
          </w:tcPr>
          <w:p>
            <w:pPr>
              <w:ind w:left="80"/>
              <w:spacing w:after="0" w:line="162" w:lineRule="exact"/>
              <w:rPr>
                <w:sz w:val="20"/>
                <w:szCs w:val="20"/>
                <w:color w:val="auto"/>
              </w:rPr>
            </w:pPr>
            <w:r>
              <w:rPr>
                <w:rFonts w:ascii="Arial" w:cs="Arial" w:eastAsia="Arial" w:hAnsi="Arial"/>
                <w:sz w:val="16"/>
                <w:szCs w:val="16"/>
                <w:b w:val="1"/>
                <w:bCs w:val="1"/>
                <w:color w:val="auto"/>
              </w:rPr>
              <w:t>Earned/</w:t>
            </w:r>
          </w:p>
        </w:tc>
        <w:tc>
          <w:tcPr>
            <w:tcW w:w="1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8"/>
              </w:rPr>
              <w:t>Paid</w:t>
            </w: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w w:val="92"/>
              </w:rPr>
              <w:t>Rate</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Outstanding</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Paid</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Rate</w:t>
            </w:r>
          </w:p>
        </w:tc>
        <w:tc>
          <w:tcPr>
            <w:tcW w:w="0" w:type="dxa"/>
            <w:vAlign w:val="bottom"/>
          </w:tcPr>
          <w:p>
            <w:pPr>
              <w:spacing w:after="0"/>
              <w:rPr>
                <w:sz w:val="1"/>
                <w:szCs w:val="1"/>
                <w:color w:val="auto"/>
              </w:rPr>
            </w:pPr>
          </w:p>
        </w:tc>
      </w:tr>
      <w:tr>
        <w:trPr>
          <w:trHeight w:val="239"/>
        </w:trPr>
        <w:tc>
          <w:tcPr>
            <w:tcW w:w="3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Interest-earning assets: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40" w:type="dxa"/>
            <w:vAlign w:val="bottom"/>
          </w:tcPr>
          <w:p>
            <w:pPr>
              <w:ind w:left="20"/>
              <w:spacing w:after="0" w:line="216" w:lineRule="exact"/>
              <w:rPr>
                <w:sz w:val="20"/>
                <w:szCs w:val="20"/>
                <w:color w:val="auto"/>
              </w:rPr>
            </w:pPr>
            <w:r>
              <w:rPr>
                <w:rFonts w:ascii="Arial" w:cs="Arial" w:eastAsia="Arial" w:hAnsi="Arial"/>
                <w:sz w:val="16"/>
                <w:szCs w:val="16"/>
                <w:color w:val="auto"/>
              </w:rPr>
              <w:t>Loans receivable</w:t>
            </w:r>
            <w:r>
              <w:rPr>
                <w:rFonts w:ascii="Arial" w:cs="Arial" w:eastAsia="Arial" w:hAnsi="Arial"/>
                <w:sz w:val="21"/>
                <w:szCs w:val="21"/>
                <w:color w:val="auto"/>
                <w:vertAlign w:val="superscript"/>
              </w:rPr>
              <w:t>(1)(2)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2,810,205</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82,377</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3.90 %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2,826,886</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85,505</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w w:val="92"/>
              </w:rPr>
              <w:t>4.03 %</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 and deposits in other banks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311,457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13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454,609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Debt securities available for sale</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124,053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1,319</w:t>
            </w:r>
          </w:p>
        </w:tc>
        <w:tc>
          <w:tcPr>
            <w:tcW w:w="1300" w:type="dxa"/>
            <w:vAlign w:val="bottom"/>
            <w:gridSpan w:val="2"/>
          </w:tcPr>
          <w:p>
            <w:pPr>
              <w:jc w:val="right"/>
              <w:ind w:right="1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131,332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1,528</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rPr>
              <w:t>1.55</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line="219" w:lineRule="exact"/>
              <w:rPr>
                <w:sz w:val="20"/>
                <w:szCs w:val="20"/>
                <w:color w:val="auto"/>
              </w:rPr>
            </w:pPr>
            <w:r>
              <w:rPr>
                <w:rFonts w:ascii="Arial" w:cs="Arial" w:eastAsia="Arial" w:hAnsi="Arial"/>
                <w:sz w:val="16"/>
                <w:szCs w:val="16"/>
                <w:color w:val="auto"/>
              </w:rPr>
              <w:t>Other interest-earning assets</w:t>
            </w:r>
            <w:r>
              <w:rPr>
                <w:rFonts w:ascii="Arial" w:cs="Arial" w:eastAsia="Arial" w:hAnsi="Arial"/>
                <w:sz w:val="21"/>
                <w:szCs w:val="21"/>
                <w:color w:val="auto"/>
                <w:vertAlign w:val="superscript"/>
              </w:rPr>
              <w:t>(3)</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22,218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100" w:type="dxa"/>
            <w:vAlign w:val="bottom"/>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39,140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6"/>
                <w:szCs w:val="16"/>
                <w:color w:val="auto"/>
              </w:rPr>
              <w:t>5.88</w:t>
            </w:r>
          </w:p>
        </w:tc>
        <w:tc>
          <w:tcPr>
            <w:tcW w:w="0" w:type="dxa"/>
            <w:vAlign w:val="bottom"/>
          </w:tcPr>
          <w:p>
            <w:pPr>
              <w:spacing w:after="0"/>
              <w:rPr>
                <w:sz w:val="1"/>
                <w:szCs w:val="1"/>
                <w:color w:val="auto"/>
              </w:rPr>
            </w:pPr>
          </w:p>
        </w:tc>
      </w:tr>
      <w:tr>
        <w:trPr>
          <w:trHeight w:val="207"/>
        </w:trPr>
        <w:tc>
          <w:tcPr>
            <w:tcW w:w="3440" w:type="dxa"/>
            <w:vAlign w:val="bottom"/>
          </w:tcPr>
          <w:p>
            <w:pPr>
              <w:ind w:left="140"/>
              <w:spacing w:after="0"/>
              <w:rPr>
                <w:sz w:val="20"/>
                <w:szCs w:val="20"/>
                <w:color w:val="auto"/>
              </w:rPr>
            </w:pPr>
            <w:r>
              <w:rPr>
                <w:rFonts w:ascii="Arial" w:cs="Arial" w:eastAsia="Arial" w:hAnsi="Arial"/>
                <w:sz w:val="16"/>
                <w:szCs w:val="16"/>
                <w:color w:val="auto"/>
              </w:rPr>
              <w:t>Total interest-earning assets</w:t>
            </w:r>
          </w:p>
        </w:tc>
        <w:tc>
          <w:tcPr>
            <w:tcW w:w="1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3,267,933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86,925</w:t>
            </w:r>
          </w:p>
        </w:tc>
        <w:tc>
          <w:tcPr>
            <w:tcW w:w="1300" w:type="dxa"/>
            <w:vAlign w:val="bottom"/>
            <w:gridSpan w:val="2"/>
          </w:tcPr>
          <w:p>
            <w:pPr>
              <w:jc w:val="right"/>
              <w:ind w:right="119"/>
              <w:spacing w:after="0"/>
              <w:rPr>
                <w:sz w:val="20"/>
                <w:szCs w:val="20"/>
                <w:color w:val="auto"/>
              </w:rPr>
            </w:pPr>
            <w:r>
              <w:rPr>
                <w:rFonts w:ascii="Arial" w:cs="Arial" w:eastAsia="Arial" w:hAnsi="Arial"/>
                <w:sz w:val="16"/>
                <w:szCs w:val="16"/>
                <w:color w:val="auto"/>
              </w:rPr>
              <w:t>3.54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3,451,967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90,868</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rPr>
              <w:t>3.51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259,570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256,026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4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3,527,503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3,707,993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Interest-bearing liabilities: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Interest-bearing checking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640,194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593,815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w w:val="92"/>
              </w:rPr>
              <w:t>0.26 %</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Money market accounts</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1,002,542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1,056</w:t>
            </w:r>
          </w:p>
        </w:tc>
        <w:tc>
          <w:tcPr>
            <w:tcW w:w="1300" w:type="dxa"/>
            <w:vAlign w:val="bottom"/>
            <w:gridSpan w:val="2"/>
          </w:tcPr>
          <w:p>
            <w:pPr>
              <w:jc w:val="right"/>
              <w:ind w:right="119"/>
              <w:spacing w:after="0"/>
              <w:rPr>
                <w:sz w:val="20"/>
                <w:szCs w:val="20"/>
                <w:color w:val="auto"/>
              </w:rPr>
            </w:pPr>
            <w:r>
              <w:rPr>
                <w:rFonts w:ascii="Arial" w:cs="Arial" w:eastAsia="Arial" w:hAnsi="Arial"/>
                <w:sz w:val="16"/>
                <w:szCs w:val="16"/>
                <w:color w:val="auto"/>
              </w:rPr>
              <w:t>0.14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860,170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1,337</w:t>
            </w: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rPr>
              <w:t>0.21</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Savings accounts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224,664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w:t>
            </w:r>
          </w:p>
        </w:tc>
        <w:tc>
          <w:tcPr>
            <w:tcW w:w="13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206,478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Certificate accounts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447,623</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594,565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5,003</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2"/>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interest-bearing deposits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2,315,023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4,028</w:t>
            </w:r>
          </w:p>
        </w:tc>
        <w:tc>
          <w:tcPr>
            <w:tcW w:w="13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2,255,028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7,596</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0.45</w:t>
            </w:r>
          </w:p>
        </w:tc>
        <w:tc>
          <w:tcPr>
            <w:tcW w:w="0" w:type="dxa"/>
            <w:vAlign w:val="bottom"/>
          </w:tcPr>
          <w:p>
            <w:pPr>
              <w:spacing w:after="0"/>
              <w:rPr>
                <w:sz w:val="1"/>
                <w:szCs w:val="1"/>
                <w:color w:val="auto"/>
              </w:rPr>
            </w:pPr>
          </w:p>
        </w:tc>
      </w:tr>
      <w:tr>
        <w:trPr>
          <w:trHeight w:val="21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Borrowings</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48,894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471,716</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5,007</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interest-bearing liabilities</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2,363,917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4,073</w:t>
            </w:r>
          </w:p>
        </w:tc>
        <w:tc>
          <w:tcPr>
            <w:tcW w:w="1300" w:type="dxa"/>
            <w:vAlign w:val="bottom"/>
            <w:gridSpan w:val="2"/>
            <w:shd w:val="clear" w:color="auto" w:fill="CCEEFF"/>
          </w:tcPr>
          <w:p>
            <w:pPr>
              <w:jc w:val="right"/>
              <w:ind w:right="119"/>
              <w:spacing w:after="0"/>
              <w:rPr>
                <w:sz w:val="20"/>
                <w:szCs w:val="20"/>
                <w:color w:val="auto"/>
              </w:rPr>
            </w:pPr>
            <w:r>
              <w:rPr>
                <w:rFonts w:ascii="Arial" w:cs="Arial" w:eastAsia="Arial" w:hAnsi="Arial"/>
                <w:sz w:val="16"/>
                <w:szCs w:val="16"/>
                <w:color w:val="auto"/>
              </w:rPr>
              <w:t>0.23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2,726,744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12,603</w:t>
            </w: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rPr>
              <w:t>0.62</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Arial" w:cs="Arial" w:eastAsia="Arial" w:hAnsi="Arial"/>
                <w:sz w:val="16"/>
                <w:szCs w:val="16"/>
                <w:color w:val="auto"/>
              </w:rPr>
              <w:t>Noninterest-bearing deposits</w:t>
            </w:r>
          </w:p>
        </w:tc>
        <w:tc>
          <w:tcPr>
            <w:tcW w:w="16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719,872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522,406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45,443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56,141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140"/>
              <w:spacing w:after="0"/>
              <w:rPr>
                <w:sz w:val="20"/>
                <w:szCs w:val="20"/>
                <w:color w:val="auto"/>
              </w:rPr>
            </w:pPr>
            <w:r>
              <w:rPr>
                <w:rFonts w:ascii="Arial" w:cs="Arial" w:eastAsia="Arial" w:hAnsi="Arial"/>
                <w:sz w:val="16"/>
                <w:szCs w:val="16"/>
                <w:color w:val="auto"/>
              </w:rPr>
              <w:t>Total liabilities</w:t>
            </w:r>
          </w:p>
        </w:tc>
        <w:tc>
          <w:tcPr>
            <w:tcW w:w="16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3,129,232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3,305,291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398,271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402,702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3,527,503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3,707,993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44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3440" w:type="dxa"/>
            <w:vAlign w:val="bottom"/>
          </w:tcPr>
          <w:p>
            <w:pPr>
              <w:ind w:left="20"/>
              <w:spacing w:after="0"/>
              <w:rPr>
                <w:sz w:val="20"/>
                <w:szCs w:val="20"/>
                <w:color w:val="auto"/>
              </w:rPr>
            </w:pPr>
            <w:r>
              <w:rPr>
                <w:rFonts w:ascii="Arial" w:cs="Arial" w:eastAsia="Arial" w:hAnsi="Arial"/>
                <w:sz w:val="16"/>
                <w:szCs w:val="16"/>
                <w:color w:val="auto"/>
              </w:rPr>
              <w:t>Net earning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904,016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725,223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interest-earning assets to</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average interest-bearing liabilities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138.24 %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126.60 %</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Tax-equivalent: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Net interest income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82,852</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78,265</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spread</w:t>
            </w: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3.31 %</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w w:val="92"/>
              </w:rPr>
              <w:t>2.89 %</w:t>
            </w:r>
          </w:p>
        </w:tc>
        <w:tc>
          <w:tcPr>
            <w:tcW w:w="0" w:type="dxa"/>
            <w:vAlign w:val="bottom"/>
          </w:tcPr>
          <w:p>
            <w:pPr>
              <w:spacing w:after="0"/>
              <w:rPr>
                <w:sz w:val="1"/>
                <w:szCs w:val="1"/>
                <w:color w:val="auto"/>
              </w:rPr>
            </w:pPr>
          </w:p>
        </w:tc>
      </w:tr>
      <w:tr>
        <w:trPr>
          <w:trHeight w:val="216"/>
        </w:trPr>
        <w:tc>
          <w:tcPr>
            <w:tcW w:w="3440" w:type="dxa"/>
            <w:vAlign w:val="bottom"/>
          </w:tcPr>
          <w:p>
            <w:pPr>
              <w:ind w:left="140"/>
              <w:spacing w:after="0" w:line="216" w:lineRule="exact"/>
              <w:rPr>
                <w:sz w:val="20"/>
                <w:szCs w:val="20"/>
                <w:color w:val="auto"/>
              </w:rPr>
            </w:pPr>
            <w:r>
              <w:rPr>
                <w:rFonts w:ascii="Arial" w:cs="Arial" w:eastAsia="Arial" w:hAnsi="Arial"/>
                <w:sz w:val="16"/>
                <w:szCs w:val="16"/>
                <w:color w:val="auto"/>
              </w:rPr>
              <w:t>Net interest margin</w:t>
            </w:r>
            <w:r>
              <w:rPr>
                <w:rFonts w:ascii="Arial" w:cs="Arial" w:eastAsia="Arial" w:hAnsi="Arial"/>
                <w:sz w:val="21"/>
                <w:szCs w:val="21"/>
                <w:color w:val="auto"/>
                <w:vertAlign w:val="superscript"/>
              </w:rPr>
              <w:t>(4)</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3.38 %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w w:val="92"/>
              </w:rPr>
              <w:t>3.02 %</w:t>
            </w: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Non-tax-equivalent: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140"/>
              <w:spacing w:after="0"/>
              <w:rPr>
                <w:sz w:val="20"/>
                <w:szCs w:val="20"/>
                <w:color w:val="auto"/>
              </w:rPr>
            </w:pPr>
            <w:r>
              <w:rPr>
                <w:rFonts w:ascii="Arial" w:cs="Arial" w:eastAsia="Arial" w:hAnsi="Arial"/>
                <w:sz w:val="16"/>
                <w:szCs w:val="16"/>
                <w:color w:val="auto"/>
              </w:rPr>
              <w:t>Net interest income</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81,915</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77,323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rate spread</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3.28 %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6"/>
                <w:szCs w:val="16"/>
                <w:color w:val="auto"/>
                <w:w w:val="92"/>
              </w:rPr>
              <w:t>2.85 %</w:t>
            </w:r>
          </w:p>
        </w:tc>
        <w:tc>
          <w:tcPr>
            <w:tcW w:w="0" w:type="dxa"/>
            <w:vAlign w:val="bottom"/>
          </w:tcPr>
          <w:p>
            <w:pPr>
              <w:spacing w:after="0"/>
              <w:rPr>
                <w:sz w:val="1"/>
                <w:szCs w:val="1"/>
                <w:color w:val="auto"/>
              </w:rPr>
            </w:pPr>
          </w:p>
        </w:tc>
      </w:tr>
      <w:tr>
        <w:trPr>
          <w:trHeight w:val="279"/>
        </w:trPr>
        <w:tc>
          <w:tcPr>
            <w:tcW w:w="3440" w:type="dxa"/>
            <w:vAlign w:val="bottom"/>
          </w:tcPr>
          <w:p>
            <w:pPr>
              <w:ind w:left="140"/>
              <w:spacing w:after="0"/>
              <w:rPr>
                <w:sz w:val="20"/>
                <w:szCs w:val="20"/>
                <w:color w:val="auto"/>
              </w:rPr>
            </w:pPr>
            <w:r>
              <w:rPr>
                <w:rFonts w:ascii="Arial" w:cs="Arial" w:eastAsia="Arial" w:hAnsi="Arial"/>
                <w:sz w:val="16"/>
                <w:szCs w:val="16"/>
                <w:color w:val="auto"/>
              </w:rPr>
              <w:t>Net interest margin</w:t>
            </w:r>
            <w:r>
              <w:rPr>
                <w:rFonts w:ascii="Arial" w:cs="Arial" w:eastAsia="Arial" w:hAnsi="Arial"/>
                <w:sz w:val="21"/>
                <w:szCs w:val="21"/>
                <w:color w:val="auto"/>
                <w:vertAlign w:val="superscript"/>
              </w:rPr>
              <w:t>(4)</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3.34 %</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gridSpan w:val="2"/>
          </w:tcPr>
          <w:p>
            <w:pPr>
              <w:ind w:left="820"/>
              <w:spacing w:after="0"/>
              <w:rPr>
                <w:sz w:val="20"/>
                <w:szCs w:val="20"/>
                <w:color w:val="auto"/>
              </w:rPr>
            </w:pPr>
            <w:r>
              <w:rPr>
                <w:rFonts w:ascii="Arial" w:cs="Arial" w:eastAsia="Arial" w:hAnsi="Arial"/>
                <w:sz w:val="16"/>
                <w:szCs w:val="16"/>
                <w:color w:val="auto"/>
                <w:w w:val="92"/>
              </w:rPr>
              <w:t>2.98 %</w:t>
            </w:r>
          </w:p>
        </w:tc>
        <w:tc>
          <w:tcPr>
            <w:tcW w:w="0" w:type="dxa"/>
            <w:vAlign w:val="bottom"/>
          </w:tcPr>
          <w:p>
            <w:pPr>
              <w:spacing w:after="0"/>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w:t>
      </w:r>
    </w:p>
    <w:p>
      <w:pPr>
        <w:spacing w:after="0" w:line="53" w:lineRule="exact"/>
        <w:rPr>
          <w:sz w:val="20"/>
          <w:szCs w:val="20"/>
          <w:color w:val="auto"/>
        </w:rPr>
      </w:pPr>
    </w:p>
    <w:p>
      <w:pPr>
        <w:ind w:left="420" w:hanging="4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average loans receivable balances include loans held for sale and nonaccruing loans.</w:t>
      </w:r>
    </w:p>
    <w:p>
      <w:pPr>
        <w:spacing w:after="0" w:line="9" w:lineRule="exact"/>
        <w:rPr>
          <w:rFonts w:ascii="Arial" w:cs="Arial" w:eastAsia="Arial" w:hAnsi="Arial"/>
          <w:sz w:val="13"/>
          <w:szCs w:val="13"/>
          <w:color w:val="auto"/>
        </w:rPr>
      </w:pPr>
    </w:p>
    <w:p>
      <w:pPr>
        <w:ind w:left="420" w:hanging="412"/>
        <w:spacing w:after="0" w:line="238" w:lineRule="auto"/>
        <w:tabs>
          <w:tab w:leader="none" w:pos="418" w:val="left"/>
        </w:tabs>
        <w:numPr>
          <w:ilvl w:val="0"/>
          <w:numId w:val="13"/>
        </w:numPr>
        <w:rPr>
          <w:rFonts w:ascii="Arial" w:cs="Arial" w:eastAsia="Arial" w:hAnsi="Arial"/>
          <w:sz w:val="13"/>
          <w:szCs w:val="13"/>
          <w:color w:val="auto"/>
        </w:rPr>
      </w:pPr>
      <w:r>
        <w:rPr>
          <w:rFonts w:ascii="Arial" w:cs="Arial" w:eastAsia="Arial" w:hAnsi="Arial"/>
          <w:sz w:val="13"/>
          <w:szCs w:val="13"/>
          <w:color w:val="auto"/>
        </w:rPr>
        <w:t>Interest income used in the average interest earned and yield calculation includes the tax equivalent adjustment of $937 and $942 for the nine months ended March 31, 2022 and 2021, respectively, calculated based on a combined federal and state tax rate of 24%.</w:t>
      </w:r>
    </w:p>
    <w:p>
      <w:pPr>
        <w:ind w:left="420" w:hanging="4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average other interest-earning assets consist of FRB stock, FHLB stock, and SBIC investments.</w:t>
      </w:r>
    </w:p>
    <w:p>
      <w:pPr>
        <w:ind w:left="420" w:hanging="412"/>
        <w:spacing w:after="0"/>
        <w:tabs>
          <w:tab w:leader="none" w:pos="4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Net interest income divided by average interest-earning assets.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2" w:right="339" w:bottom="1440" w:gutter="0" w:footer="0" w:header="0"/>
        </w:sectPr>
      </w:pPr>
    </w:p>
    <w:bookmarkStart w:id="42" w:name="page43"/>
    <w:bookmarkEnd w:id="42"/>
    <w:p>
      <w:pPr>
        <w:spacing w:after="0"/>
        <w:rPr>
          <w:sz w:val="20"/>
          <w:szCs w:val="20"/>
          <w:color w:val="auto"/>
        </w:rPr>
      </w:pPr>
      <w:r>
        <w:rPr>
          <w:rFonts w:ascii="Arial" w:cs="Arial" w:eastAsia="Arial" w:hAnsi="Arial"/>
          <w:sz w:val="16"/>
          <w:szCs w:val="16"/>
          <w:b w:val="1"/>
          <w:bCs w:val="1"/>
          <w:color w:val="auto"/>
        </w:rPr>
        <w:t>Rate/Volume Analysis</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The following table shows the effects that changes in average balances (volume) and average interest rates (rate) had on the interest earned on our interest-earning assets and interest-bearing liabilities: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6"/>
          </w:tcPr>
          <w:p>
            <w:pPr>
              <w:jc w:val="center"/>
              <w:ind w:left="179"/>
              <w:spacing w:after="0"/>
              <w:rPr>
                <w:sz w:val="20"/>
                <w:szCs w:val="20"/>
                <w:color w:val="auto"/>
              </w:rPr>
            </w:pPr>
            <w:r>
              <w:rPr>
                <w:rFonts w:ascii="Arial" w:cs="Arial" w:eastAsia="Arial" w:hAnsi="Arial"/>
                <w:sz w:val="16"/>
                <w:szCs w:val="16"/>
                <w:b w:val="1"/>
                <w:bCs w:val="1"/>
                <w:color w:val="auto"/>
                <w:w w:val="94"/>
              </w:rPr>
              <w:t>Three Months Ended March 31, 2022</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3"/>
              </w:rPr>
              <w:t>Compared to</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jc w:val="center"/>
              <w:ind w:left="179"/>
              <w:spacing w:after="0"/>
              <w:rPr>
                <w:sz w:val="20"/>
                <w:szCs w:val="20"/>
                <w:color w:val="auto"/>
              </w:rPr>
            </w:pPr>
            <w:r>
              <w:rPr>
                <w:rFonts w:ascii="Arial" w:cs="Arial" w:eastAsia="Arial" w:hAnsi="Arial"/>
                <w:sz w:val="16"/>
                <w:szCs w:val="16"/>
                <w:b w:val="1"/>
                <w:bCs w:val="1"/>
                <w:color w:val="auto"/>
                <w:w w:val="94"/>
              </w:rPr>
              <w:t>Three Months Ended March 31, 2021</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6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jc w:val="center"/>
              <w:ind w:left="599"/>
              <w:spacing w:after="0" w:line="158" w:lineRule="exact"/>
              <w:rPr>
                <w:sz w:val="20"/>
                <w:szCs w:val="20"/>
                <w:color w:val="auto"/>
              </w:rPr>
            </w:pPr>
            <w:r>
              <w:rPr>
                <w:rFonts w:ascii="Arial" w:cs="Arial" w:eastAsia="Arial" w:hAnsi="Arial"/>
                <w:sz w:val="16"/>
                <w:szCs w:val="16"/>
                <w:b w:val="1"/>
                <w:bCs w:val="1"/>
                <w:color w:val="auto"/>
                <w:w w:val="89"/>
              </w:rPr>
              <w:t>Increase/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40" w:type="dxa"/>
            <w:vAlign w:val="bottom"/>
            <w:vMerge w:val="restart"/>
          </w:tcPr>
          <w:p>
            <w:pPr>
              <w:ind w:left="20"/>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4"/>
                <w:szCs w:val="14"/>
                <w:color w:val="auto"/>
              </w:rPr>
            </w:pPr>
          </w:p>
        </w:tc>
        <w:tc>
          <w:tcPr>
            <w:tcW w:w="1580" w:type="dxa"/>
            <w:vAlign w:val="bottom"/>
            <w:gridSpan w:val="3"/>
          </w:tcPr>
          <w:p>
            <w:pPr>
              <w:jc w:val="center"/>
              <w:ind w:left="599"/>
              <w:spacing w:after="0" w:line="162" w:lineRule="exact"/>
              <w:rPr>
                <w:sz w:val="20"/>
                <w:szCs w:val="20"/>
                <w:color w:val="auto"/>
              </w:rPr>
            </w:pPr>
            <w:r>
              <w:rPr>
                <w:rFonts w:ascii="Arial" w:cs="Arial" w:eastAsia="Arial" w:hAnsi="Arial"/>
                <w:sz w:val="16"/>
                <w:szCs w:val="16"/>
                <w:b w:val="1"/>
                <w:bCs w:val="1"/>
                <w:color w:val="auto"/>
                <w:w w:val="90"/>
              </w:rPr>
              <w:t>(Decrease)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9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6"/>
                <w:szCs w:val="16"/>
                <w:b w:val="1"/>
                <w:bCs w:val="1"/>
                <w:color w:val="auto"/>
                <w:w w:val="87"/>
              </w:rPr>
              <w:t>due to</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ind w:left="520"/>
              <w:spacing w:after="0"/>
              <w:rPr>
                <w:sz w:val="20"/>
                <w:szCs w:val="20"/>
                <w:color w:val="auto"/>
              </w:rPr>
            </w:pPr>
            <w:r>
              <w:rPr>
                <w:rFonts w:ascii="Arial" w:cs="Arial" w:eastAsia="Arial" w:hAnsi="Arial"/>
                <w:sz w:val="16"/>
                <w:szCs w:val="16"/>
                <w:b w:val="1"/>
                <w:bCs w:val="1"/>
                <w:color w:val="auto"/>
                <w:w w:val="88"/>
              </w:rPr>
              <w:t>Total</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Volume</w:t>
            </w:r>
          </w:p>
        </w:tc>
        <w:tc>
          <w:tcPr>
            <w:tcW w:w="400" w:type="dxa"/>
            <w:vAlign w:val="bottom"/>
          </w:tcPr>
          <w:p>
            <w:pPr>
              <w:spacing w:after="0"/>
              <w:rPr>
                <w:sz w:val="3"/>
                <w:szCs w:val="3"/>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Rate</w:t>
            </w:r>
          </w:p>
        </w:tc>
        <w:tc>
          <w:tcPr>
            <w:tcW w:w="8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Increase/(Decrease)</w:t>
            </w: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40"/>
              <w:spacing w:after="0" w:line="216" w:lineRule="exact"/>
              <w:rPr>
                <w:sz w:val="20"/>
                <w:szCs w:val="20"/>
                <w:color w:val="auto"/>
              </w:rPr>
            </w:pPr>
            <w:r>
              <w:rPr>
                <w:rFonts w:ascii="Arial" w:cs="Arial" w:eastAsia="Arial" w:hAnsi="Arial"/>
                <w:sz w:val="16"/>
                <w:szCs w:val="16"/>
                <w:color w:val="auto"/>
              </w:rPr>
              <w:t>Loans receivable</w:t>
            </w:r>
            <w:r>
              <w:rPr>
                <w:rFonts w:ascii="Arial" w:cs="Arial" w:eastAsia="Arial" w:hAnsi="Arial"/>
                <w:sz w:val="21"/>
                <w:szCs w:val="21"/>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(1,145)</w:t>
            </w:r>
          </w:p>
        </w:tc>
        <w:tc>
          <w:tcPr>
            <w:tcW w:w="12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0"/>
              </w:rPr>
              <w:t>(1,019)</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paper and deposits in other banks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Debt securities available for sale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interest-earning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7"/>
        </w:trPr>
        <w:tc>
          <w:tcPr>
            <w:tcW w:w="69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interest-earning assets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(466)</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(1,132)</w:t>
            </w:r>
          </w:p>
        </w:tc>
        <w:tc>
          <w:tcPr>
            <w:tcW w:w="0" w:type="dxa"/>
            <w:vAlign w:val="bottom"/>
          </w:tcPr>
          <w:p>
            <w:pPr>
              <w:spacing w:after="0"/>
              <w:rPr>
                <w:sz w:val="1"/>
                <w:szCs w:val="1"/>
                <w:color w:val="auto"/>
              </w:rPr>
            </w:pP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Interest-bearing liabilities: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Interest-bearing checking accounts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 accounts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Savings accounts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Certificate accounts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07"/>
        </w:trPr>
        <w:tc>
          <w:tcPr>
            <w:tcW w:w="6940" w:type="dxa"/>
            <w:vAlign w:val="bottom"/>
          </w:tcPr>
          <w:p>
            <w:pPr>
              <w:ind w:left="280"/>
              <w:spacing w:after="0"/>
              <w:rPr>
                <w:sz w:val="20"/>
                <w:szCs w:val="20"/>
                <w:color w:val="auto"/>
              </w:rPr>
            </w:pPr>
            <w:r>
              <w:rPr>
                <w:rFonts w:ascii="Arial" w:cs="Arial" w:eastAsia="Arial" w:hAnsi="Arial"/>
                <w:sz w:val="16"/>
                <w:szCs w:val="16"/>
                <w:color w:val="auto"/>
              </w:rPr>
              <w:t>Total interest-bearing deposits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(729)</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(1,628)</w:t>
            </w:r>
          </w:p>
        </w:tc>
        <w:tc>
          <w:tcPr>
            <w:tcW w:w="0" w:type="dxa"/>
            <w:vAlign w:val="bottom"/>
          </w:tcPr>
          <w:p>
            <w:pPr>
              <w:spacing w:after="0"/>
              <w:rPr>
                <w:sz w:val="1"/>
                <w:szCs w:val="1"/>
                <w:color w:val="auto"/>
              </w:rPr>
            </w:pPr>
          </w:p>
        </w:tc>
      </w:tr>
      <w:tr>
        <w:trPr>
          <w:trHeight w:val="207"/>
        </w:trPr>
        <w:tc>
          <w:tcPr>
            <w:tcW w:w="69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interest-bearing liabilities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(843)</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(2,473)</w:t>
            </w:r>
          </w:p>
        </w:tc>
        <w:tc>
          <w:tcPr>
            <w:tcW w:w="0" w:type="dxa"/>
            <w:vAlign w:val="bottom"/>
          </w:tcPr>
          <w:p>
            <w:pPr>
              <w:spacing w:after="0"/>
              <w:rPr>
                <w:sz w:val="1"/>
                <w:szCs w:val="1"/>
                <w:color w:val="auto"/>
              </w:rPr>
            </w:pPr>
          </w:p>
        </w:tc>
      </w:tr>
      <w:tr>
        <w:trPr>
          <w:trHeight w:val="237"/>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tax equivalent interest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6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500" w:type="dxa"/>
            <w:vAlign w:val="bottom"/>
            <w:gridSpan w:val="6"/>
          </w:tcPr>
          <w:p>
            <w:pPr>
              <w:jc w:val="center"/>
              <w:ind w:left="179"/>
              <w:spacing w:after="0"/>
              <w:rPr>
                <w:sz w:val="20"/>
                <w:szCs w:val="20"/>
                <w:color w:val="auto"/>
              </w:rPr>
            </w:pPr>
            <w:r>
              <w:rPr>
                <w:rFonts w:ascii="Arial" w:cs="Arial" w:eastAsia="Arial" w:hAnsi="Arial"/>
                <w:sz w:val="16"/>
                <w:szCs w:val="16"/>
                <w:b w:val="1"/>
                <w:bCs w:val="1"/>
                <w:color w:val="auto"/>
                <w:w w:val="92"/>
              </w:rPr>
              <w:t>Nine Months Ended March 31, 2022</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3"/>
          </w:tcPr>
          <w:p>
            <w:pPr>
              <w:jc w:val="center"/>
              <w:ind w:right="40"/>
              <w:spacing w:after="0"/>
              <w:rPr>
                <w:sz w:val="20"/>
                <w:szCs w:val="20"/>
                <w:color w:val="auto"/>
              </w:rPr>
            </w:pPr>
            <w:r>
              <w:rPr>
                <w:rFonts w:ascii="Arial" w:cs="Arial" w:eastAsia="Arial" w:hAnsi="Arial"/>
                <w:sz w:val="16"/>
                <w:szCs w:val="16"/>
                <w:b w:val="1"/>
                <w:bCs w:val="1"/>
                <w:color w:val="auto"/>
                <w:w w:val="93"/>
              </w:rPr>
              <w:t>Compared to</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500" w:type="dxa"/>
            <w:vAlign w:val="bottom"/>
            <w:tcBorders>
              <w:bottom w:val="single" w:sz="8" w:color="auto"/>
            </w:tcBorders>
            <w:gridSpan w:val="6"/>
          </w:tcPr>
          <w:p>
            <w:pPr>
              <w:jc w:val="center"/>
              <w:ind w:left="179"/>
              <w:spacing w:after="0"/>
              <w:rPr>
                <w:sz w:val="20"/>
                <w:szCs w:val="20"/>
                <w:color w:val="auto"/>
              </w:rPr>
            </w:pPr>
            <w:r>
              <w:rPr>
                <w:rFonts w:ascii="Arial" w:cs="Arial" w:eastAsia="Arial" w:hAnsi="Arial"/>
                <w:sz w:val="16"/>
                <w:szCs w:val="16"/>
                <w:b w:val="1"/>
                <w:bCs w:val="1"/>
                <w:color w:val="auto"/>
                <w:w w:val="92"/>
              </w:rPr>
              <w:t>Nine Months Ended March 31, 2021</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6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gridSpan w:val="3"/>
          </w:tcPr>
          <w:p>
            <w:pPr>
              <w:jc w:val="center"/>
              <w:ind w:left="599"/>
              <w:spacing w:after="0" w:line="158" w:lineRule="exact"/>
              <w:rPr>
                <w:sz w:val="20"/>
                <w:szCs w:val="20"/>
                <w:color w:val="auto"/>
              </w:rPr>
            </w:pPr>
            <w:r>
              <w:rPr>
                <w:rFonts w:ascii="Arial" w:cs="Arial" w:eastAsia="Arial" w:hAnsi="Arial"/>
                <w:sz w:val="16"/>
                <w:szCs w:val="16"/>
                <w:b w:val="1"/>
                <w:bCs w:val="1"/>
                <w:color w:val="auto"/>
                <w:w w:val="89"/>
              </w:rPr>
              <w:t>Increase/</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40" w:type="dxa"/>
            <w:vAlign w:val="bottom"/>
            <w:vMerge w:val="restart"/>
          </w:tcPr>
          <w:p>
            <w:pPr>
              <w:ind w:left="20"/>
              <w:spacing w:after="0"/>
              <w:rPr>
                <w:sz w:val="20"/>
                <w:szCs w:val="20"/>
                <w:color w:val="auto"/>
              </w:rPr>
            </w:pPr>
            <w:r>
              <w:rPr>
                <w:rFonts w:ascii="Arial" w:cs="Arial" w:eastAsia="Arial" w:hAnsi="Arial"/>
                <w:sz w:val="16"/>
                <w:szCs w:val="16"/>
                <w:color w:val="auto"/>
              </w:rPr>
              <w:t>(Dollars in thousands)</w:t>
            </w:r>
          </w:p>
        </w:tc>
        <w:tc>
          <w:tcPr>
            <w:tcW w:w="240" w:type="dxa"/>
            <w:vAlign w:val="bottom"/>
          </w:tcPr>
          <w:p>
            <w:pPr>
              <w:spacing w:after="0"/>
              <w:rPr>
                <w:sz w:val="14"/>
                <w:szCs w:val="14"/>
                <w:color w:val="auto"/>
              </w:rPr>
            </w:pPr>
          </w:p>
        </w:tc>
        <w:tc>
          <w:tcPr>
            <w:tcW w:w="1580" w:type="dxa"/>
            <w:vAlign w:val="bottom"/>
            <w:gridSpan w:val="3"/>
          </w:tcPr>
          <w:p>
            <w:pPr>
              <w:jc w:val="center"/>
              <w:ind w:left="599"/>
              <w:spacing w:after="0" w:line="162" w:lineRule="exact"/>
              <w:rPr>
                <w:sz w:val="20"/>
                <w:szCs w:val="20"/>
                <w:color w:val="auto"/>
              </w:rPr>
            </w:pPr>
            <w:r>
              <w:rPr>
                <w:rFonts w:ascii="Arial" w:cs="Arial" w:eastAsia="Arial" w:hAnsi="Arial"/>
                <w:sz w:val="16"/>
                <w:szCs w:val="16"/>
                <w:b w:val="1"/>
                <w:bCs w:val="1"/>
                <w:color w:val="auto"/>
                <w:w w:val="90"/>
              </w:rPr>
              <w:t>(Decrease)</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694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6"/>
                <w:szCs w:val="16"/>
                <w:b w:val="1"/>
                <w:bCs w:val="1"/>
                <w:color w:val="auto"/>
                <w:w w:val="87"/>
              </w:rPr>
              <w:t>due to</w:t>
            </w:r>
          </w:p>
        </w:tc>
        <w:tc>
          <w:tcPr>
            <w:tcW w:w="9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vMerge w:val="restart"/>
          </w:tcPr>
          <w:p>
            <w:pPr>
              <w:ind w:left="520"/>
              <w:spacing w:after="0"/>
              <w:rPr>
                <w:sz w:val="20"/>
                <w:szCs w:val="20"/>
                <w:color w:val="auto"/>
              </w:rPr>
            </w:pPr>
            <w:r>
              <w:rPr>
                <w:rFonts w:ascii="Arial" w:cs="Arial" w:eastAsia="Arial" w:hAnsi="Arial"/>
                <w:sz w:val="16"/>
                <w:szCs w:val="16"/>
                <w:b w:val="1"/>
                <w:bCs w:val="1"/>
                <w:color w:val="auto"/>
                <w:w w:val="88"/>
              </w:rPr>
              <w:t>Total</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6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80" w:type="dxa"/>
            <w:vAlign w:val="bottom"/>
            <w:gridSpan w:val="2"/>
            <w:vMerge w:val="restart"/>
          </w:tcPr>
          <w:p>
            <w:pPr>
              <w:ind w:left="160"/>
              <w:spacing w:after="0"/>
              <w:rPr>
                <w:sz w:val="20"/>
                <w:szCs w:val="20"/>
                <w:color w:val="auto"/>
              </w:rPr>
            </w:pPr>
            <w:r>
              <w:rPr>
                <w:rFonts w:ascii="Arial" w:cs="Arial" w:eastAsia="Arial" w:hAnsi="Arial"/>
                <w:sz w:val="16"/>
                <w:szCs w:val="16"/>
                <w:b w:val="1"/>
                <w:bCs w:val="1"/>
                <w:color w:val="auto"/>
              </w:rPr>
              <w:t>Volume</w:t>
            </w:r>
          </w:p>
        </w:tc>
        <w:tc>
          <w:tcPr>
            <w:tcW w:w="400" w:type="dxa"/>
            <w:vAlign w:val="bottom"/>
          </w:tcPr>
          <w:p>
            <w:pPr>
              <w:spacing w:after="0"/>
              <w:rPr>
                <w:sz w:val="3"/>
                <w:szCs w:val="3"/>
                <w:color w:val="auto"/>
              </w:rPr>
            </w:pPr>
          </w:p>
        </w:tc>
        <w:tc>
          <w:tcPr>
            <w:tcW w:w="104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Rate</w:t>
            </w:r>
          </w:p>
        </w:tc>
        <w:tc>
          <w:tcPr>
            <w:tcW w:w="88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80" w:type="dxa"/>
            <w:vAlign w:val="bottom"/>
            <w:gridSpan w:val="2"/>
          </w:tcPr>
          <w:p>
            <w:pPr>
              <w:ind w:left="20"/>
              <w:spacing w:after="0"/>
              <w:rPr>
                <w:sz w:val="20"/>
                <w:szCs w:val="20"/>
                <w:color w:val="auto"/>
              </w:rPr>
            </w:pPr>
            <w:r>
              <w:rPr>
                <w:rFonts w:ascii="Arial" w:cs="Arial" w:eastAsia="Arial" w:hAnsi="Arial"/>
                <w:sz w:val="16"/>
                <w:szCs w:val="16"/>
                <w:b w:val="1"/>
                <w:bCs w:val="1"/>
                <w:color w:val="auto"/>
                <w:w w:val="88"/>
              </w:rPr>
              <w:t>Increase/(Decrease)</w:t>
            </w:r>
          </w:p>
        </w:tc>
        <w:tc>
          <w:tcPr>
            <w:tcW w:w="0" w:type="dxa"/>
            <w:vAlign w:val="bottom"/>
          </w:tcPr>
          <w:p>
            <w:pPr>
              <w:spacing w:after="0"/>
              <w:rPr>
                <w:sz w:val="1"/>
                <w:szCs w:val="1"/>
                <w:color w:val="auto"/>
              </w:rPr>
            </w:pPr>
          </w:p>
        </w:tc>
      </w:tr>
      <w:tr>
        <w:trPr>
          <w:trHeight w:val="199"/>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Interest-earning assets:</w:t>
            </w:r>
          </w:p>
        </w:tc>
        <w:tc>
          <w:tcPr>
            <w:tcW w:w="2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40" w:type="dxa"/>
            <w:vAlign w:val="bottom"/>
          </w:tcPr>
          <w:p>
            <w:pPr>
              <w:ind w:left="140"/>
              <w:spacing w:after="0" w:line="216" w:lineRule="exact"/>
              <w:rPr>
                <w:sz w:val="20"/>
                <w:szCs w:val="20"/>
                <w:color w:val="auto"/>
              </w:rPr>
            </w:pPr>
            <w:r>
              <w:rPr>
                <w:rFonts w:ascii="Arial" w:cs="Arial" w:eastAsia="Arial" w:hAnsi="Arial"/>
                <w:sz w:val="16"/>
                <w:szCs w:val="16"/>
                <w:color w:val="auto"/>
              </w:rPr>
              <w:t>Loans receivable</w:t>
            </w:r>
            <w:r>
              <w:rPr>
                <w:rFonts w:ascii="Arial" w:cs="Arial" w:eastAsia="Arial" w:hAnsi="Arial"/>
                <w:sz w:val="21"/>
                <w:szCs w:val="21"/>
                <w:color w:val="auto"/>
                <w:vertAlign w:val="superscript"/>
              </w:rPr>
              <w:t>(1)</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(2,624)</w:t>
            </w:r>
          </w:p>
        </w:tc>
        <w:tc>
          <w:tcPr>
            <w:tcW w:w="120" w:type="dxa"/>
            <w:vAlign w:val="bottom"/>
          </w:tcPr>
          <w:p>
            <w:pPr>
              <w:spacing w:after="0"/>
              <w:rPr>
                <w:sz w:val="18"/>
                <w:szCs w:val="18"/>
                <w:color w:val="auto"/>
              </w:rPr>
            </w:pPr>
          </w:p>
        </w:tc>
        <w:tc>
          <w:tcPr>
            <w:tcW w:w="880" w:type="dxa"/>
            <w:vAlign w:val="bottom"/>
          </w:tcPr>
          <w:p>
            <w:pPr>
              <w:ind w:left="20"/>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0"/>
              </w:rPr>
              <w:t>(3,128)</w:t>
            </w:r>
          </w:p>
        </w:tc>
        <w:tc>
          <w:tcPr>
            <w:tcW w:w="0" w:type="dxa"/>
            <w:vAlign w:val="bottom"/>
          </w:tcPr>
          <w:p>
            <w:pPr>
              <w:spacing w:after="0"/>
              <w:rPr>
                <w:sz w:val="1"/>
                <w:szCs w:val="1"/>
                <w:color w:val="auto"/>
              </w:rPr>
            </w:pPr>
          </w:p>
        </w:tc>
      </w:tr>
      <w:tr>
        <w:trPr>
          <w:trHeight w:val="216"/>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Commercial paper and deposits in other banks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Debt securities available for sale</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interest-earning assets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885</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06"/>
        </w:trPr>
        <w:tc>
          <w:tcPr>
            <w:tcW w:w="69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interest-earning assets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(3,943)</w:t>
            </w:r>
          </w:p>
        </w:tc>
        <w:tc>
          <w:tcPr>
            <w:tcW w:w="0" w:type="dxa"/>
            <w:vAlign w:val="bottom"/>
          </w:tcPr>
          <w:p>
            <w:pPr>
              <w:spacing w:after="0"/>
              <w:rPr>
                <w:sz w:val="1"/>
                <w:szCs w:val="1"/>
                <w:color w:val="auto"/>
              </w:rPr>
            </w:pPr>
          </w:p>
        </w:tc>
      </w:tr>
      <w:tr>
        <w:trPr>
          <w:trHeight w:val="199"/>
        </w:trPr>
        <w:tc>
          <w:tcPr>
            <w:tcW w:w="69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Interest-bearing liabilities:</w:t>
            </w: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Interest-bearing checking accounts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Money market accounts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0" w:type="dxa"/>
            <w:vAlign w:val="bottom"/>
          </w:tcPr>
          <w:p>
            <w:pPr>
              <w:spacing w:after="0"/>
              <w:rPr>
                <w:sz w:val="1"/>
                <w:szCs w:val="1"/>
                <w:color w:val="auto"/>
              </w:rPr>
            </w:pPr>
          </w:p>
        </w:tc>
      </w:tr>
      <w:tr>
        <w:trPr>
          <w:trHeight w:val="213"/>
        </w:trPr>
        <w:tc>
          <w:tcPr>
            <w:tcW w:w="6940" w:type="dxa"/>
            <w:vAlign w:val="bottom"/>
          </w:tcPr>
          <w:p>
            <w:pPr>
              <w:ind w:left="140"/>
              <w:spacing w:after="0"/>
              <w:rPr>
                <w:sz w:val="20"/>
                <w:szCs w:val="20"/>
                <w:color w:val="auto"/>
              </w:rPr>
            </w:pPr>
            <w:r>
              <w:rPr>
                <w:rFonts w:ascii="Arial" w:cs="Arial" w:eastAsia="Arial" w:hAnsi="Arial"/>
                <w:sz w:val="16"/>
                <w:szCs w:val="16"/>
                <w:color w:val="auto"/>
              </w:rPr>
              <w:t>Savings accounts</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Certificate accounts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(1,953)</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(3,189)</w:t>
            </w:r>
          </w:p>
        </w:tc>
        <w:tc>
          <w:tcPr>
            <w:tcW w:w="0" w:type="dxa"/>
            <w:vAlign w:val="bottom"/>
          </w:tcPr>
          <w:p>
            <w:pPr>
              <w:spacing w:after="0"/>
              <w:rPr>
                <w:sz w:val="1"/>
                <w:szCs w:val="1"/>
                <w:color w:val="auto"/>
              </w:rPr>
            </w:pPr>
          </w:p>
        </w:tc>
      </w:tr>
      <w:tr>
        <w:trPr>
          <w:trHeight w:val="206"/>
        </w:trPr>
        <w:tc>
          <w:tcPr>
            <w:tcW w:w="6940" w:type="dxa"/>
            <w:vAlign w:val="bottom"/>
          </w:tcPr>
          <w:p>
            <w:pPr>
              <w:ind w:left="280"/>
              <w:spacing w:after="0"/>
              <w:rPr>
                <w:sz w:val="20"/>
                <w:szCs w:val="20"/>
                <w:color w:val="auto"/>
              </w:rPr>
            </w:pPr>
            <w:r>
              <w:rPr>
                <w:rFonts w:ascii="Arial" w:cs="Arial" w:eastAsia="Arial" w:hAnsi="Arial"/>
                <w:sz w:val="16"/>
                <w:szCs w:val="16"/>
                <w:color w:val="auto"/>
              </w:rPr>
              <w:t>Total interest-bearing deposits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(2,652)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0"/>
              </w:rPr>
              <w:t>(3,568)</w:t>
            </w:r>
          </w:p>
        </w:tc>
        <w:tc>
          <w:tcPr>
            <w:tcW w:w="0" w:type="dxa"/>
            <w:vAlign w:val="bottom"/>
          </w:tcPr>
          <w:p>
            <w:pPr>
              <w:spacing w:after="0"/>
              <w:rPr>
                <w:sz w:val="1"/>
                <w:szCs w:val="1"/>
                <w:color w:val="auto"/>
              </w:rPr>
            </w:pPr>
          </w:p>
        </w:tc>
      </w:tr>
      <w:tr>
        <w:trPr>
          <w:trHeight w:val="219"/>
        </w:trPr>
        <w:tc>
          <w:tcPr>
            <w:tcW w:w="6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Borrowings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0"/>
              </w:rPr>
              <w:t>(4,962)</w:t>
            </w:r>
          </w:p>
        </w:tc>
        <w:tc>
          <w:tcPr>
            <w:tcW w:w="0" w:type="dxa"/>
            <w:vAlign w:val="bottom"/>
          </w:tcPr>
          <w:p>
            <w:pPr>
              <w:spacing w:after="0"/>
              <w:rPr>
                <w:sz w:val="1"/>
                <w:szCs w:val="1"/>
                <w:color w:val="auto"/>
              </w:rPr>
            </w:pPr>
          </w:p>
        </w:tc>
      </w:tr>
      <w:tr>
        <w:trPr>
          <w:trHeight w:val="207"/>
        </w:trPr>
        <w:tc>
          <w:tcPr>
            <w:tcW w:w="6940" w:type="dxa"/>
            <w:vAlign w:val="bottom"/>
            <w:tcBorders>
              <w:bottom w:val="single" w:sz="8" w:color="CCEEFF"/>
            </w:tcBorders>
          </w:tcPr>
          <w:p>
            <w:pPr>
              <w:ind w:left="300"/>
              <w:spacing w:after="0"/>
              <w:rPr>
                <w:sz w:val="20"/>
                <w:szCs w:val="20"/>
                <w:color w:val="auto"/>
              </w:rPr>
            </w:pPr>
            <w:r>
              <w:rPr>
                <w:rFonts w:ascii="Arial" w:cs="Arial" w:eastAsia="Arial" w:hAnsi="Arial"/>
                <w:sz w:val="16"/>
                <w:szCs w:val="16"/>
                <w:color w:val="auto"/>
              </w:rPr>
              <w:t>Total interest-bearing liabilities</w:t>
            </w: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(3,126)</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(8,530)</w:t>
            </w:r>
          </w:p>
        </w:tc>
        <w:tc>
          <w:tcPr>
            <w:tcW w:w="0" w:type="dxa"/>
            <w:vAlign w:val="bottom"/>
          </w:tcPr>
          <w:p>
            <w:pPr>
              <w:spacing w:after="0"/>
              <w:rPr>
                <w:sz w:val="1"/>
                <w:szCs w:val="1"/>
                <w:color w:val="auto"/>
              </w:rPr>
            </w:pPr>
          </w:p>
        </w:tc>
      </w:tr>
      <w:tr>
        <w:trPr>
          <w:trHeight w:val="238"/>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increase (decrease) in tax equivalent interest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3,404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4,587</w:t>
            </w:r>
          </w:p>
        </w:tc>
        <w:tc>
          <w:tcPr>
            <w:tcW w:w="0" w:type="dxa"/>
            <w:vAlign w:val="bottom"/>
          </w:tcPr>
          <w:p>
            <w:pPr>
              <w:spacing w:after="0"/>
              <w:rPr>
                <w:sz w:val="1"/>
                <w:szCs w:val="1"/>
                <w:color w:val="auto"/>
              </w:rPr>
            </w:pP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_________________________________________________________________</w:t>
      </w:r>
    </w:p>
    <w:p>
      <w:pPr>
        <w:spacing w:after="0" w:line="9" w:lineRule="exact"/>
        <w:rPr>
          <w:sz w:val="20"/>
          <w:szCs w:val="20"/>
          <w:color w:val="auto"/>
        </w:rPr>
      </w:pPr>
    </w:p>
    <w:p>
      <w:pPr>
        <w:jc w:val="both"/>
        <w:ind w:left="180" w:hanging="172"/>
        <w:spacing w:after="0" w:line="239" w:lineRule="auto"/>
        <w:tabs>
          <w:tab w:leader="none" w:pos="197"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Interest income used in the average interest earned and yield calculation includes the tax equivalent adjustment of $320 and $326 for the three months ended March 31, 2022 and 2021, respectively, calculated based on a combined federal and state income tax rate of 24%. Interest income used in the average interest earned and yield calculation includes the tax equivalent adjustment of $937 and $942 for the nine months ended March 31, 2022 and 2021, respectively, calculated based on a combined federal and state income tax rate of 24%.</w:t>
      </w:r>
    </w:p>
    <w:p>
      <w:pPr>
        <w:sectPr>
          <w:pgSz w:w="11900" w:h="16838" w:orient="portrait"/>
          <w:cols w:equalWidth="0" w:num="1">
            <w:col w:w="11240"/>
          </w:cols>
          <w:pgMar w:left="320" w:top="109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Comparison of Results of Operations for the Three Months Ended March 31, 2022 and 2021</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During the three months ended March 31, 2022, net income increased $154,000, or 2.0% to $8.0 million compared to $7.9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31, 2021, while our diluted earnings per share increased to $0.51 compared to $0.48 for the same period in fiscal 2021. Third quarter of fiscal 2022 earnings were positively impacted by a $1.3 million, or 5.2%, increase in net interest income driven by lower borrowing costs, and a $4.7 million, or 15.4%, decrease in noninterest expense.</w:t>
      </w:r>
    </w:p>
    <w:p>
      <w:pPr>
        <w:spacing w:after="0" w:line="13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Net Interest Income. </w:t>
      </w:r>
      <w:r>
        <w:rPr>
          <w:rFonts w:ascii="Arial" w:cs="Arial" w:eastAsia="Arial" w:hAnsi="Arial"/>
          <w:sz w:val="16"/>
          <w:szCs w:val="16"/>
          <w:color w:val="auto"/>
        </w:rPr>
        <w:t>Net interest income increased by $1.3 million, or 5.2%, to $27.0 million for the quarter ended March 31, 2022, compared to $25.7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comparative quarter in fiscal 2021. Interest and dividend income decreased by $1.1 million, or 3.8%, primarily driven by lower average balances on interest-earning assets combined with lower loan yields. This decrease was offset by a $2.5 million, or 68.2% decrease in interest expense.</w:t>
      </w:r>
    </w:p>
    <w:p>
      <w:pPr>
        <w:spacing w:after="0" w:line="12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Average interest-earning assets decreased $225.4 million, or 6.4%, to $3.3 billion for the quarter ended March 31, 2022. The main drivers of the change were decreases of $179.4 million, or 34.3%, in the average balance of commercial paper and deposits in other banks and $42.0 million, or 27.3%, in debt securities available for sale as the Company used excess liquidity to reduce borrowings, which declined by $431.5 million, or 92.8%, when compared to the prior period. Net interest margin (on a fully taxable-equivalent basis) for the three months ended March 31, 2022 increased to 3.39% from 3.02% for the same period a year ago as all higher rate long-term borrowings were repaid during the quarter ended June 30, 2021.</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Total interest and dividend income decreased $1.1 million, or 3.8%, for the quarter ended March 31, 2022 as compared to the same quarter last year, which was primarily a result of a $1.0 million, or 3.7%, decrease in loan interest income. The lower loan interest income was driven by a decline in the average yield on loans of 17 basis points, from 4.08% to 3.91%. Loan interest income for the quarter included the amortization of $265,000 of PPP loan origination fees, a decline of $349,000 when compared to the $614,000 recognized in the prior period. The overall average yield on interest-earning assets increased 10 basis points to 3.54% for the current quarter compared to 3.44% in the same quarter last year primarily due to the change in the mix of interest-earning assets.</w:t>
      </w:r>
    </w:p>
    <w:p>
      <w:pPr>
        <w:spacing w:after="0" w:line="13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Total interest expense decreased $2.5 million, or 68.2%, for the quarter ended March 31, 2022 compared to the same period last year. The decrease was driven by a $1.6 million, or 99.8%, decrease in interest expense on borrowings as discussed above and a $845,000, or 42.3%, decrease in interest expense on deposits. The average balance of total deposits increased by $228.1 million, or 8.1%, with noninterest-bearing deposits and interest-bearing deposits increasing $161.7 million and $66.4 million, respectively. The increase in interest-bearing deposits was driven by a $113.5 million, or 12.5% increase in money market accounts, partially offset by a $74.9 million, or 14.5%, decrease in certificates of deposit. As stated above, average borrowings for the quarter ended March 31, 2022 decreased $431.5 million, or 92.8%, along with a 137 basis point decrease in the average cost of borrowings compared to the same period last year. The decrease in the average cost of borrowings was primarily driven by the early retirement of long-term borrowings reducing the average balance and partially driven by a shift to short-term borrowings at lower rates. The overall average cost of funds decreased 34 basis points to 0.20% for the current quarter compared to 0.54% in the same quarter last year.</w:t>
      </w:r>
    </w:p>
    <w:p>
      <w:pPr>
        <w:spacing w:after="0" w:line="73" w:lineRule="exact"/>
        <w:rPr>
          <w:sz w:val="20"/>
          <w:szCs w:val="20"/>
          <w:color w:val="auto"/>
        </w:rPr>
      </w:pPr>
    </w:p>
    <w:p>
      <w:pPr>
        <w:jc w:val="both"/>
        <w:spacing w:after="0" w:line="256" w:lineRule="auto"/>
        <w:rPr>
          <w:sz w:val="20"/>
          <w:szCs w:val="20"/>
          <w:color w:val="auto"/>
        </w:rPr>
      </w:pPr>
      <w:r>
        <w:rPr>
          <w:rFonts w:ascii="Arial" w:cs="Arial" w:eastAsia="Arial" w:hAnsi="Arial"/>
          <w:sz w:val="16"/>
          <w:szCs w:val="16"/>
          <w:b w:val="1"/>
          <w:bCs w:val="1"/>
          <w:i w:val="1"/>
          <w:iCs w:val="1"/>
          <w:color w:val="auto"/>
        </w:rPr>
        <w:t xml:space="preserve">Provision (Benefit) for Credit Losses. </w:t>
      </w:r>
      <w:r>
        <w:rPr>
          <w:rFonts w:ascii="Arial" w:cs="Arial" w:eastAsia="Arial" w:hAnsi="Arial"/>
          <w:sz w:val="16"/>
          <w:szCs w:val="16"/>
          <w:color w:val="auto"/>
        </w:rPr>
        <w:t>During the three months ended March 31, 2022, there was a $45,000 net benefit for credit losses compared to a $4.1 million net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benefit for the corresponding quarter of fiscal 2021. Net loan recoveries totaled $741,000 for the three months ended March 31, 2022, compared to net recoveries of $185,000 for the same period last year. Annualized net recoveries as a percentage of average loans were 0.11% for the quarter ended March 31, 2022 compared to 0.03% for the corresponding quarter last year. See "Comparison of Financial Condition - Asset Quality" for additional details.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b w:val="1"/>
          <w:bCs w:val="1"/>
          <w:i w:val="1"/>
          <w:iCs w:val="1"/>
          <w:color w:val="auto"/>
        </w:rPr>
        <w:t xml:space="preserve">Noninterest Income. </w:t>
      </w:r>
      <w:r>
        <w:rPr>
          <w:rFonts w:ascii="Arial" w:cs="Arial" w:eastAsia="Arial" w:hAnsi="Arial"/>
          <w:sz w:val="15"/>
          <w:szCs w:val="15"/>
          <w:color w:val="auto"/>
        </w:rPr>
        <w:t>Noninterest income decreased $1.7 million, or 16.2%, to $8.9 million for the quarter ended March 31, 2022 from $10.7 million for the same period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previous year. This change was primarily due to a $1.9 million, or 39.2%, decrease in gain on sale of loans, partially offset by a $229,000, or 16.0%, increase in operating lease income. The decrease in gain on sale of loans was driven by decreases in loan principal sold across all portfolios. During the quarter ended March 31, 2022, $53.4 million of residential mortgage loans originated for sale were sold with gains of $1.3 million compared to $106.5 million sold and gains of $2.7 million in the corresponding period in the prior year. There were $16.5 million of sales of the guaranteed portion of SBA commercial loans with gains of $1.5 million in the current quarter compared to $20.2 million sold and gains of $1.8 million for the same period last year. The Company sold $25.0 million of HELOCs during the quarter for a gain of $156,000 compared to $43.8 million sold and gains of $301,000 in the corresponding period last year.</w:t>
      </w:r>
    </w:p>
    <w:p>
      <w:pPr>
        <w:spacing w:after="0" w:line="12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Noninterest Expense. </w:t>
      </w:r>
      <w:r>
        <w:rPr>
          <w:rFonts w:ascii="Arial" w:cs="Arial" w:eastAsia="Arial" w:hAnsi="Arial"/>
          <w:sz w:val="16"/>
          <w:szCs w:val="16"/>
          <w:color w:val="auto"/>
        </w:rPr>
        <w:t>Noninterest expense decreased $4.7 million, or 15.4%, for the quarter ended March 31, 2022 as compared to the same period last year, which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a result of a decrease of $3.7 million in prepayment penalties on long-term borrowings, and a $1.1 million, or 6.7%, decrease in salaries and benefits expense due to branch closures and lower mortgage banking incentive pay in the period.</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Our income tax expense for the three months ended March 31, 2022 increased $114,000, or 5.4%, to $2.2 million from $2.1 million for the three months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ended March 31, 2021 primarily as a result of higher taxable income. The effective tax rates for the quarters ended March 31, 2022 and 2021 were 21.6% and 21.0%,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Comparison of Results of Operations for the Nine Months Ended March 31, 2022 and 2021</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General. </w:t>
      </w:r>
      <w:r>
        <w:rPr>
          <w:rFonts w:ascii="Arial" w:cs="Arial" w:eastAsia="Arial" w:hAnsi="Arial"/>
          <w:sz w:val="15"/>
          <w:szCs w:val="15"/>
          <w:color w:val="auto"/>
        </w:rPr>
        <w:t>During the nine months ended March 31, 2022, net income increased by $6.5 million, or 28.4%, to $29.6 million from $23.1 million for the nine months ended</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March 31, 2021, while our diluted earnings per share increased to $1.84 for the nine months ended March 31, 2022 compared to $1.40 in the same period in fiscal 2021.</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Year-to-date earnings were positively impacted by a $5.2 million, or 6.3%, decrease in noninterest expense and a $4.6 million, or 5.9%, increase in net interest margin.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4" w:name="page45"/>
    <w:bookmarkEnd w:id="44"/>
    <w:p>
      <w:pPr>
        <w:jc w:val="both"/>
        <w:spacing w:after="0" w:line="261" w:lineRule="auto"/>
        <w:rPr>
          <w:sz w:val="20"/>
          <w:szCs w:val="20"/>
          <w:color w:val="auto"/>
        </w:rPr>
      </w:pPr>
      <w:r>
        <w:rPr>
          <w:rFonts w:ascii="Arial" w:cs="Arial" w:eastAsia="Arial" w:hAnsi="Arial"/>
          <w:sz w:val="16"/>
          <w:szCs w:val="16"/>
          <w:b w:val="1"/>
          <w:bCs w:val="1"/>
          <w:i w:val="1"/>
          <w:iCs w:val="1"/>
          <w:color w:val="auto"/>
        </w:rPr>
        <w:t xml:space="preserve">Net Interest Income. </w:t>
      </w:r>
      <w:r>
        <w:rPr>
          <w:rFonts w:ascii="Arial" w:cs="Arial" w:eastAsia="Arial" w:hAnsi="Arial"/>
          <w:sz w:val="16"/>
          <w:szCs w:val="16"/>
          <w:color w:val="auto"/>
        </w:rPr>
        <w:t>Net interest income increased by $4.6 million, or 5.9%, to $81.9 million for the nine months ended March 31, 2022, compared to the same period last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Interest and dividend income decreased by $3.9 million, or 4.4%, primarily driven by lower average balances on interest-earning assets. This decrease was offset by a $8.5 million, or 67.7%, decrease in interest expense.</w:t>
      </w:r>
    </w:p>
    <w:p>
      <w:pPr>
        <w:spacing w:after="0" w:line="129" w:lineRule="exact"/>
        <w:rPr>
          <w:sz w:val="20"/>
          <w:szCs w:val="20"/>
          <w:color w:val="auto"/>
        </w:rPr>
      </w:pPr>
    </w:p>
    <w:p>
      <w:pPr>
        <w:jc w:val="both"/>
        <w:spacing w:after="0" w:line="278" w:lineRule="auto"/>
        <w:rPr>
          <w:sz w:val="20"/>
          <w:szCs w:val="20"/>
          <w:color w:val="auto"/>
        </w:rPr>
      </w:pPr>
      <w:r>
        <w:rPr>
          <w:rFonts w:ascii="Arial" w:cs="Arial" w:eastAsia="Arial" w:hAnsi="Arial"/>
          <w:sz w:val="15"/>
          <w:szCs w:val="15"/>
          <w:color w:val="auto"/>
        </w:rPr>
        <w:t>Average interest-earning assets decreased $184.0 million, or 5.3%, to $3.3 billion for the nine months ended March 31, 2022. The biggest reason for the change was a decrease of $143.2 million, or 31.5%, in commercial paper and deposits in other banks, as the Company used excess liquidity to reduce borrowings, where the average balance declined from $471.7 million to $48.9 million. Net interest margin (on a fully taxable-equivalent basis) for the nine months ended March 31, 2022 increased to 3.38% from 3.02% for the same period a year ago as all higher rate long-term borrowings were repaid during the quarter ended June 30, 2021.</w:t>
      </w:r>
    </w:p>
    <w:p>
      <w:pPr>
        <w:spacing w:after="0" w:line="119"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Total interest and dividend income decreased $3.9 million, or 4.4%, for the nine months ended March 31, 2022 as compared to the same period last year, which was primarily a result of a $3.1 million, or 3.7%, decrease in loan interest income and a $744,000, or 35.3%, decrease in interest income on commercial paper and deposits in other banks. The lower interest income in each category was driven by the combined effect of a decrease in average balances, as discussed above, and a decline in average loan yields which decreased 13 basis points to 3.90%, and average yields on debt securities available for sale which decreased 13 basis points to 1.42%. Loan interest income for the nine months included the amortization of $975,000 of PPP loan origination fees, a decline of $381,000 when compared to the $1.4 million recognized in the prior period. The overall average yield on interest-earning assets increased three basis points to 3.54% for the nine months compared to 3.51% in the same period last year as a result of a shift to higher yielding assets.</w:t>
      </w:r>
    </w:p>
    <w:p>
      <w:pPr>
        <w:spacing w:after="0" w:line="138"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Total interest expense decreased $8.5 million, or 67.7%, for the nine months ended March 31, 2022 compared to the same period last year. The decrease was driven by a $5.0 million, or 99.1%, decrease in interest expense on borrowings as discussed above and a $3.6 million, or 47.0%, decrease in interest expense on deposits. The average balance of total deposits increased by $257.5 million, or 9.3%, with noninterest-bearing deposits and interest-bearing deposits increasing $197.5 million and $60.0 million, respectively. The increase in interest-bearing deposits was driven by a $142.4 million, or 16.6%, increase in money market accounts and $46.4 million, or 7.8%, increase in interest-bearing checking accounts, partially offset by a $146.9 million, or 24.7%, decrease in certificates of deposit. As stated above average borrowings for the nine months ended March 31, 2022 decreased $422.8 million, or 89.6%, along with a 129 basis point decrease in the average cost of borrowings compared to the same period last year. The increase in average deposits (interest and noninterest-bearing) was due to successful deposit gathering campaigns and the effect of government stimulus in prior periods. The decrease in the average cost of borrowings was primarily driven by the early retirement of long-term borrowings reducing the average balance and partially driven by a shift to short-term borrowings at lower rates. The overall average cost of funds decreased 39 basis points to 0.23% for the nine months compared to 0.62% in the same period last year.</w:t>
      </w:r>
    </w:p>
    <w:p>
      <w:pPr>
        <w:spacing w:after="0" w:line="126" w:lineRule="exact"/>
        <w:rPr>
          <w:sz w:val="20"/>
          <w:szCs w:val="20"/>
          <w:color w:val="auto"/>
        </w:rPr>
      </w:pPr>
    </w:p>
    <w:p>
      <w:pPr>
        <w:jc w:val="both"/>
        <w:spacing w:after="0" w:line="291" w:lineRule="auto"/>
        <w:rPr>
          <w:sz w:val="20"/>
          <w:szCs w:val="20"/>
          <w:color w:val="auto"/>
        </w:rPr>
      </w:pPr>
      <w:r>
        <w:rPr>
          <w:rFonts w:ascii="Arial" w:cs="Arial" w:eastAsia="Arial" w:hAnsi="Arial"/>
          <w:sz w:val="15"/>
          <w:szCs w:val="15"/>
          <w:b w:val="1"/>
          <w:bCs w:val="1"/>
          <w:i w:val="1"/>
          <w:iCs w:val="1"/>
          <w:color w:val="auto"/>
        </w:rPr>
        <w:t xml:space="preserve">Provision (Benefit) for Loan Losses. </w:t>
      </w:r>
      <w:r>
        <w:rPr>
          <w:rFonts w:ascii="Arial" w:cs="Arial" w:eastAsia="Arial" w:hAnsi="Arial"/>
          <w:sz w:val="15"/>
          <w:szCs w:val="15"/>
          <w:color w:val="auto"/>
        </w:rPr>
        <w:t>During the nine months ended March 31, 2022 there was a $4.0 million net benefit for credit losses compared to a $6.2 million net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benefit for credit losses for the corresponding period of fiscal 2021. Net loan charge-offs totaled $19,000 for the nine months ended March 31, 2022, compared to net loan charge-offs of $452,000 for the same period last year. Net charge-offs as a percentage of average loans was 0.00% for the nine months ended March 31, 2022 compared to net charge-offs of 0.02% for the corresponding period last year. See "Comparison of Financial Condition - Asset Quality" for additional details.</w:t>
      </w:r>
    </w:p>
    <w:p>
      <w:pPr>
        <w:spacing w:after="0" w:line="108" w:lineRule="exact"/>
        <w:rPr>
          <w:sz w:val="20"/>
          <w:szCs w:val="20"/>
          <w:color w:val="auto"/>
        </w:rPr>
      </w:pPr>
    </w:p>
    <w:p>
      <w:pPr>
        <w:jc w:val="both"/>
        <w:spacing w:after="0" w:line="267" w:lineRule="auto"/>
        <w:rPr>
          <w:sz w:val="20"/>
          <w:szCs w:val="20"/>
          <w:color w:val="auto"/>
        </w:rPr>
      </w:pPr>
      <w:r>
        <w:rPr>
          <w:rFonts w:ascii="Arial" w:cs="Arial" w:eastAsia="Arial" w:hAnsi="Arial"/>
          <w:sz w:val="15"/>
          <w:szCs w:val="15"/>
          <w:b w:val="1"/>
          <w:bCs w:val="1"/>
          <w:i w:val="1"/>
          <w:iCs w:val="1"/>
          <w:color w:val="auto"/>
        </w:rPr>
        <w:t xml:space="preserve">Noninterest Income. </w:t>
      </w:r>
      <w:r>
        <w:rPr>
          <w:rFonts w:ascii="Arial" w:cs="Arial" w:eastAsia="Arial" w:hAnsi="Arial"/>
          <w:sz w:val="15"/>
          <w:szCs w:val="15"/>
          <w:color w:val="auto"/>
        </w:rPr>
        <w:t>Noninterest income increased $819,000, or 2.9%, to $29.5 million for the nine months ended March 31, 2022 from $28.7 million for the same period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the previous year. This change was due to an $857,000, or 51.0%, increase in loan income and fees, an $813,000, or 19.8% increase in operating lease income, a $394,000, or 5.9% increase in service charges and fees on deposit accounts, partially offset by a $1.0 million, or 8.4%, decrease in gain on sale of loans. The increase in loan income and fees was primarily a result of $924,000 in additional loan servicing fees as a result of bringing the Company's SBA loan servicing process in-house, which began July 1, 2021. The increase in operating lease income was primarily driven by increases in loan originations and higher outstanding lease balances during the period, while the increase in service charges on deposit accounts was the result of a $234,000 increase in interchange income driven by higher debit card usage. During the nine months ended March 31, 2022, $204.1 million of residential mortgage loans originated for sale were sold with gains of $5.6 million compared to $297.2 million sold and gains of $7.7 million in the corresponding period in the prior year. There were $43.5 million of sales of the guaranteed portion of SBA commercial loans with gains of $4.5 million in the nine months compared to $44.6 million sold and gains of $3.7 million for the same period last year. The Company sold $97.2 million of HELOCs during the nine months ended March 31, 2022 for a gain of $581,000 compared to $85.9 million sold and gains of $559,000 in the corresponding period last year. Lastly, $11.5 million of indirect auto finance loans were sold out of the held for investment portfolio during the current period for a gain of $205,000. No such sales occurred in the same period in the prior year.</w:t>
      </w:r>
    </w:p>
    <w:p>
      <w:pPr>
        <w:spacing w:after="0" w:line="12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b w:val="1"/>
          <w:bCs w:val="1"/>
          <w:i w:val="1"/>
          <w:iCs w:val="1"/>
          <w:color w:val="auto"/>
        </w:rPr>
        <w:t xml:space="preserve">Noninterest Expense. </w:t>
      </w:r>
      <w:r>
        <w:rPr>
          <w:rFonts w:ascii="Arial" w:cs="Arial" w:eastAsia="Arial" w:hAnsi="Arial"/>
          <w:sz w:val="16"/>
          <w:szCs w:val="16"/>
          <w:color w:val="auto"/>
        </w:rPr>
        <w:t>Noninterest expense decreased $5.2 million, or 6.3%, for the nine months ended March 31, 2022 as compared to the same period last year, which was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primarily a result of a decrease of $3.7 million in prepayment penalties on borrowings, a $1.8 million, or 3.9%, decrease in salaries and benefits expense due to branch closures and lower mortgage banking incentive pay in the period, and a reduction of core deposit amortization expense of $397,000, or 65.6%, partially offset by an increase of $1.1 million, or 117.2%, in marketing and advertising expense driven by reduced media advertising in prior periods as a result of the pandemic as well as current year advertising for newly opened locations.</w:t>
      </w:r>
    </w:p>
    <w:p>
      <w:pPr>
        <w:spacing w:after="0" w:line="137" w:lineRule="exact"/>
        <w:rPr>
          <w:sz w:val="20"/>
          <w:szCs w:val="20"/>
          <w:color w:val="auto"/>
        </w:rPr>
      </w:pPr>
    </w:p>
    <w:p>
      <w:pPr>
        <w:jc w:val="both"/>
        <w:spacing w:after="0" w:line="310"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For the nine months ended March 31, 2022, the Company's income tax expense increased $1.9 million, or 31.2%, to $8.0 million from $6.1 million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primarily as a result of higher taxable income. The effective tax rates for the nine months ended March 31, 2022 and 2021 were 21.4% and 21.0%, respectively.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5" w:name="page46"/>
    <w:bookmarkEnd w:id="45"/>
    <w:p>
      <w:pPr>
        <w:spacing w:after="0"/>
        <w:rPr>
          <w:sz w:val="20"/>
          <w:szCs w:val="20"/>
          <w:color w:val="auto"/>
        </w:rPr>
      </w:pPr>
      <w:r>
        <w:rPr>
          <w:rFonts w:ascii="Arial" w:cs="Arial" w:eastAsia="Arial" w:hAnsi="Arial"/>
          <w:sz w:val="16"/>
          <w:szCs w:val="16"/>
          <w:b w:val="1"/>
          <w:bCs w:val="1"/>
          <w:color w:val="auto"/>
        </w:rPr>
        <w:t>Liquidity</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Management maintains a liquidity position that it believes will adequately provide funding for loan demand and deposit run-off that may occur in the normal course of business. We rely on a number of different sources in order to meet our potential liquidity demands. The primary sources are increases in deposit accounts, cash flows from loan payments, commercial paper, and the securities portfolio.</w:t>
      </w:r>
    </w:p>
    <w:p>
      <w:pPr>
        <w:spacing w:after="0" w:line="129"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In addition to these primary sources of funds, management has several secondary sources available to meet potential funding requirements. As of March 31, 2022, the Bank had an available borrowing capacity of $255.7 million with the FHLB of Atlanta, a $72.1 million line of credit with the FRB and a line of credit with three unaffiliated banks totaling $125.0 million. At March 31, 2022, we had $30.0 million in FHLB advances outstanding, nothing in FRB borrowings outstanding, and nothing outstanding under our other lines of credit. Additionally, we classify our securities portfolio as available for sale, providing an additional source of liquidity. Management believes that our securities portfolio is of high quality and the securities would therefore be marketable. We have historically sold longer term fixed-rate mortgage loans in the secondary market to reduce interest rate risk and to create still another source of liquidity. From time to time we also utilize brokered time deposits to supplement our other sources of funds. Brokered time deposits are obtained by utilizing an outside broker that is paid a fee. This funding requires advance notification to structure the type of deposit desired by us. Brokered deposits can vary in term from one month to several years and have the benefit of being a source of longer-term funding. We also may utilize brokered deposits to help manage interest rate risk by extending the term to repricing of our liabilities, enhance our liquidity and fund asset growth. Brokered deposits are typically from outside our primary market areas, and our brokered deposit levels may vary from time to time depending on competitive interest rate conditions and other factors. At March 31, 2022 brokered deposits totaled $2.3 million, or 0.1%, of total deposits, compared to $4.3 million, or 0.2%, of total deposits, at June 30, 2021.</w:t>
      </w:r>
    </w:p>
    <w:p>
      <w:pPr>
        <w:spacing w:after="0" w:line="11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Liquidity management is both a daily and long-term function of business management. Excess liquidity is generally invested in short-term investments, such as overnight deposits, federal funds, and commercial paper. On a longer term basis, we maintain a strategy of investing in various lending products and investment securities, including MBS. HomeTrust Bancshares on a stand-alone basis is a separate legal entity from the Bank and must provide for its own liquidity and payment of its own operating expenses. It has the ability to receive dividends or capital distributions from the Bank, although there are regulatory restrictions on the ability of the Bank to pay dividends. At March 31, 2022, HomeTrust Bancshares on a stand-alone basis had liquid assets of $8.5 million.</w:t>
      </w:r>
    </w:p>
    <w:p>
      <w:pPr>
        <w:spacing w:after="0" w:line="13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use our sources of funds primarily to meet our ongoing commitments, pay maturing deposits and fund withdrawals, and to fund loan commitments. At March 31, 2022, the total approved loan commitments and unused lines of credit outstanding amounted to $386.4 million and $498.3 million, respectively, as compared to $401.1 million and $530.5 million, respectively, as of June 30, 2021. Certificates of deposit scheduled to mature in one year or less at March 31, 2022 totaled $389.4 million. It is management's policy to manage deposit rates that are competitive with other local financial institutions. Based on this management strategy, we believe a majority of our maturing deposits will continue to remain with us.</w:t>
      </w:r>
    </w:p>
    <w:p>
      <w:pPr>
        <w:spacing w:after="0" w:line="137"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During the first nine months of fiscal 2022, cash and cash equivalents increased $1.1 million, or 2.1%, to $52.1 million as of March 31, 2022 from $51.0 million as of June 30, 2021.</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Activities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the normal course of operations, we engage in a variety of financial transactions that are not recorded in our financial statements. These transactions involve varying degrees of off-balance sheet credit, interest rate and liquidity risks. These transactions are used primarily to manage customers' requests for funding and take the form of loan commitments and lines of credit. For the nine months ended March 31, 2022, we did not engage in any off-balance sheet transactions likely to have a material effect on our financial condition, results of operations or cash flows.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860" w:type="dxa"/>
            <w:vAlign w:val="bottom"/>
          </w:tcPr>
          <w:p>
            <w:pPr>
              <w:spacing w:after="0"/>
              <w:rPr>
                <w:sz w:val="20"/>
                <w:szCs w:val="20"/>
                <w:color w:val="auto"/>
              </w:rPr>
            </w:pPr>
            <w:r>
              <w:rPr>
                <w:rFonts w:ascii="Arial" w:cs="Arial" w:eastAsia="Arial" w:hAnsi="Arial"/>
                <w:sz w:val="16"/>
                <w:szCs w:val="16"/>
                <w:color w:val="auto"/>
              </w:rPr>
              <w:t>A summary of our off-balance sheet commitments to extend credit at March 31, 2022, is as follows:</w:t>
            </w:r>
          </w:p>
        </w:tc>
        <w:tc>
          <w:tcPr>
            <w:tcW w:w="42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82"/>
        </w:trPr>
        <w:tc>
          <w:tcPr>
            <w:tcW w:w="98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(Dollars in thousands)</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Undisbursed portion of construction loans</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290,532</w:t>
            </w:r>
          </w:p>
        </w:tc>
      </w:tr>
      <w:tr>
        <w:trPr>
          <w:trHeight w:val="213"/>
        </w:trPr>
        <w:tc>
          <w:tcPr>
            <w:tcW w:w="9860" w:type="dxa"/>
            <w:vAlign w:val="bottom"/>
          </w:tcPr>
          <w:p>
            <w:pPr>
              <w:ind w:left="20"/>
              <w:spacing w:after="0"/>
              <w:rPr>
                <w:sz w:val="20"/>
                <w:szCs w:val="20"/>
                <w:color w:val="auto"/>
              </w:rPr>
            </w:pPr>
            <w:r>
              <w:rPr>
                <w:rFonts w:ascii="Arial" w:cs="Arial" w:eastAsia="Arial" w:hAnsi="Arial"/>
                <w:sz w:val="16"/>
                <w:szCs w:val="16"/>
                <w:color w:val="auto"/>
              </w:rPr>
              <w:t>Commitments to originate loans</w:t>
            </w: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95,848</w:t>
            </w:r>
          </w:p>
        </w:tc>
      </w:tr>
      <w:tr>
        <w:trPr>
          <w:trHeight w:val="219"/>
        </w:trPr>
        <w:tc>
          <w:tcPr>
            <w:tcW w:w="9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Unused lines of credit</w:t>
            </w: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498,315</w:t>
            </w:r>
          </w:p>
        </w:tc>
      </w:tr>
      <w:tr>
        <w:trPr>
          <w:trHeight w:val="213"/>
        </w:trPr>
        <w:tc>
          <w:tcPr>
            <w:tcW w:w="9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Standby letters of credit</w:t>
            </w: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17,492</w:t>
            </w:r>
          </w:p>
        </w:tc>
      </w:tr>
      <w:tr>
        <w:trPr>
          <w:trHeight w:val="238"/>
        </w:trPr>
        <w:tc>
          <w:tcPr>
            <w:tcW w:w="9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loan commitments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902,187</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Resources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At March 31, 2022, stockholders' equity totaled $395.1 million. HomeTrust Bancshares, Inc. is a bank holding company and a financial holding company subject to regulation by the Federal Reserve. As a bank holding company, we are subject to capital adequacy requirements of the Federal Reserve under the Bank Holding Company Act of 1956, as amended and the regulations of the Federal Reserve. Our subsidiary, the Bank, an FDIC-insured, North Carolina state-chartered bank and a member of the Federal Reserve, is supervised and regulated by the Federal Reserve and the NCCOB and is subject to minimum capital requirements applicable to state member banks established by the Federal Reserve that are calculated in a manner similar to those applicable to bank holding companies.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6" w:name="page47"/>
    <w:bookmarkEnd w:id="46"/>
    <w:p>
      <w:pPr>
        <w:jc w:val="both"/>
        <w:spacing w:after="0" w:line="261" w:lineRule="auto"/>
        <w:rPr>
          <w:sz w:val="20"/>
          <w:szCs w:val="20"/>
          <w:color w:val="auto"/>
        </w:rPr>
      </w:pPr>
      <w:r>
        <w:rPr>
          <w:rFonts w:ascii="Arial" w:cs="Arial" w:eastAsia="Arial" w:hAnsi="Arial"/>
          <w:sz w:val="16"/>
          <w:szCs w:val="16"/>
          <w:color w:val="auto"/>
        </w:rPr>
        <w:t>Under capital adequacy guidelines and the regulatory framework for prompt corrective action, the Bank must meet specific capital guidelines that involve quantitative measures of the Bank’s assets, liabilities and certain off-balance-sheet items as calculated under regulatory accounting practices. The Bank’s capital amounts and classification are also subject to qualitative judgments by the regulators about components, risk weightings and other factors.</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HomeTrust Bancshares, Inc. and the Bank each exceeded all regulatory capital requirements as of March 31, 2022. Consistent with our goals to operate a sound and profitable organization, our policy is for the Bank to maintain a “well-capitalized” status under the regulatory capital categories of the Federal Reserve. The Bank was categorized as "well-capitalized" at March 31, 2022 under applicable regulatory requirements.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HomeTrust Bancshares, Inc. and the Bank's actual and required minimum capital amounts and ratios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5"/>
          </w:tcPr>
          <w:p>
            <w:pPr>
              <w:ind w:left="300"/>
              <w:spacing w:after="0"/>
              <w:rPr>
                <w:sz w:val="20"/>
                <w:szCs w:val="20"/>
                <w:color w:val="auto"/>
              </w:rPr>
            </w:pPr>
            <w:r>
              <w:rPr>
                <w:rFonts w:ascii="Arial" w:cs="Arial" w:eastAsia="Arial" w:hAnsi="Arial"/>
                <w:sz w:val="16"/>
                <w:szCs w:val="16"/>
                <w:b w:val="1"/>
                <w:bCs w:val="1"/>
                <w:color w:val="auto"/>
              </w:rPr>
              <w:t>Regulatory Requirements</w:t>
            </w:r>
          </w:p>
        </w:tc>
        <w:tc>
          <w:tcPr>
            <w:tcW w:w="1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260" w:type="dxa"/>
            <w:vAlign w:val="bottom"/>
            <w:vMerge w:val="restart"/>
          </w:tcPr>
          <w:p>
            <w:pPr>
              <w:ind w:left="20"/>
              <w:spacing w:after="0"/>
              <w:rPr>
                <w:sz w:val="20"/>
                <w:szCs w:val="20"/>
                <w:color w:val="auto"/>
              </w:rPr>
            </w:pPr>
            <w:r>
              <w:rPr>
                <w:rFonts w:ascii="Arial" w:cs="Arial" w:eastAsia="Arial" w:hAnsi="Arial"/>
                <w:sz w:val="16"/>
                <w:szCs w:val="16"/>
                <w:color w:val="auto"/>
              </w:rPr>
              <w:t>(Dollars in thousands)</w:t>
            </w:r>
          </w:p>
        </w:tc>
        <w:tc>
          <w:tcPr>
            <w:tcW w:w="160" w:type="dxa"/>
            <w:vAlign w:val="bottom"/>
          </w:tcPr>
          <w:p>
            <w:pPr>
              <w:spacing w:after="0"/>
              <w:rPr>
                <w:sz w:val="13"/>
                <w:szCs w:val="13"/>
                <w:color w:val="auto"/>
              </w:rPr>
            </w:pPr>
          </w:p>
        </w:tc>
        <w:tc>
          <w:tcPr>
            <w:tcW w:w="1260" w:type="dxa"/>
            <w:vAlign w:val="bottom"/>
            <w:gridSpan w:val="3"/>
            <w:vMerge w:val="restart"/>
          </w:tcPr>
          <w:p>
            <w:pPr>
              <w:ind w:left="740"/>
              <w:spacing w:after="0"/>
              <w:rPr>
                <w:sz w:val="20"/>
                <w:szCs w:val="20"/>
                <w:color w:val="auto"/>
              </w:rPr>
            </w:pPr>
            <w:r>
              <w:rPr>
                <w:rFonts w:ascii="Arial" w:cs="Arial" w:eastAsia="Arial" w:hAnsi="Arial"/>
                <w:sz w:val="16"/>
                <w:szCs w:val="16"/>
                <w:b w:val="1"/>
                <w:bCs w:val="1"/>
                <w:color w:val="auto"/>
              </w:rPr>
              <w:t>Actual</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0" w:type="dxa"/>
            <w:vAlign w:val="bottom"/>
            <w:gridSpan w:val="4"/>
          </w:tcPr>
          <w:p>
            <w:pPr>
              <w:jc w:val="right"/>
              <w:ind w:right="480"/>
              <w:spacing w:after="0" w:line="158" w:lineRule="exact"/>
              <w:rPr>
                <w:sz w:val="20"/>
                <w:szCs w:val="20"/>
                <w:color w:val="auto"/>
              </w:rPr>
            </w:pPr>
            <w:r>
              <w:rPr>
                <w:rFonts w:ascii="Arial" w:cs="Arial" w:eastAsia="Arial" w:hAnsi="Arial"/>
                <w:sz w:val="16"/>
                <w:szCs w:val="16"/>
                <w:b w:val="1"/>
                <w:bCs w:val="1"/>
                <w:color w:val="auto"/>
              </w:rPr>
              <w:t>Minimum for Capital</w:t>
            </w:r>
          </w:p>
        </w:tc>
        <w:tc>
          <w:tcPr>
            <w:tcW w:w="160" w:type="dxa"/>
            <w:vAlign w:val="bottom"/>
          </w:tcPr>
          <w:p>
            <w:pPr>
              <w:spacing w:after="0"/>
              <w:rPr>
                <w:sz w:val="13"/>
                <w:szCs w:val="13"/>
                <w:color w:val="auto"/>
              </w:rPr>
            </w:pPr>
          </w:p>
        </w:tc>
        <w:tc>
          <w:tcPr>
            <w:tcW w:w="2100" w:type="dxa"/>
            <w:vAlign w:val="bottom"/>
            <w:gridSpan w:val="3"/>
          </w:tcPr>
          <w:p>
            <w:pPr>
              <w:jc w:val="right"/>
              <w:ind w:right="499"/>
              <w:spacing w:after="0" w:line="158" w:lineRule="exact"/>
              <w:rPr>
                <w:sz w:val="20"/>
                <w:szCs w:val="20"/>
                <w:color w:val="auto"/>
              </w:rPr>
            </w:pPr>
            <w:r>
              <w:rPr>
                <w:rFonts w:ascii="Arial" w:cs="Arial" w:eastAsia="Arial" w:hAnsi="Arial"/>
                <w:sz w:val="16"/>
                <w:szCs w:val="16"/>
                <w:b w:val="1"/>
                <w:bCs w:val="1"/>
                <w:color w:val="auto"/>
              </w:rPr>
              <w:t>Minimum to Be</w:t>
            </w:r>
          </w:p>
        </w:tc>
        <w:tc>
          <w:tcPr>
            <w:tcW w:w="0" w:type="dxa"/>
            <w:vAlign w:val="bottom"/>
          </w:tcPr>
          <w:p>
            <w:pPr>
              <w:spacing w:after="0"/>
              <w:rPr>
                <w:sz w:val="1"/>
                <w:szCs w:val="1"/>
                <w:color w:val="auto"/>
              </w:rPr>
            </w:pPr>
          </w:p>
        </w:tc>
      </w:tr>
      <w:tr>
        <w:trPr>
          <w:trHeight w:val="213"/>
        </w:trPr>
        <w:tc>
          <w:tcPr>
            <w:tcW w:w="42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gridSpan w:val="4"/>
          </w:tcPr>
          <w:p>
            <w:pPr>
              <w:ind w:left="280"/>
              <w:spacing w:after="0"/>
              <w:rPr>
                <w:sz w:val="20"/>
                <w:szCs w:val="20"/>
                <w:color w:val="auto"/>
              </w:rPr>
            </w:pPr>
            <w:r>
              <w:rPr>
                <w:rFonts w:ascii="Arial" w:cs="Arial" w:eastAsia="Arial" w:hAnsi="Arial"/>
                <w:sz w:val="16"/>
                <w:szCs w:val="16"/>
                <w:b w:val="1"/>
                <w:bCs w:val="1"/>
                <w:color w:val="auto"/>
              </w:rPr>
              <w:t>Adequacy Purposes</w:t>
            </w:r>
          </w:p>
        </w:tc>
        <w:tc>
          <w:tcPr>
            <w:tcW w:w="160" w:type="dxa"/>
            <w:vAlign w:val="bottom"/>
          </w:tcPr>
          <w:p>
            <w:pPr>
              <w:spacing w:after="0"/>
              <w:rPr>
                <w:sz w:val="18"/>
                <w:szCs w:val="18"/>
                <w:color w:val="auto"/>
              </w:rPr>
            </w:pPr>
          </w:p>
        </w:tc>
        <w:tc>
          <w:tcPr>
            <w:tcW w:w="2100" w:type="dxa"/>
            <w:vAlign w:val="bottom"/>
            <w:gridSpan w:val="3"/>
          </w:tcPr>
          <w:p>
            <w:pPr>
              <w:jc w:val="right"/>
              <w:ind w:right="479"/>
              <w:spacing w:after="0"/>
              <w:rPr>
                <w:sz w:val="20"/>
                <w:szCs w:val="20"/>
                <w:color w:val="auto"/>
              </w:rPr>
            </w:pPr>
            <w:r>
              <w:rPr>
                <w:rFonts w:ascii="Arial" w:cs="Arial" w:eastAsia="Arial" w:hAnsi="Arial"/>
                <w:sz w:val="16"/>
                <w:szCs w:val="16"/>
                <w:b w:val="1"/>
                <w:bCs w:val="1"/>
                <w:color w:val="auto"/>
              </w:rPr>
              <w:t>Well Capitalized</w:t>
            </w:r>
          </w:p>
        </w:tc>
        <w:tc>
          <w:tcPr>
            <w:tcW w:w="0" w:type="dxa"/>
            <w:vAlign w:val="bottom"/>
          </w:tcPr>
          <w:p>
            <w:pPr>
              <w:spacing w:after="0"/>
              <w:rPr>
                <w:sz w:val="1"/>
                <w:szCs w:val="1"/>
                <w:color w:val="auto"/>
              </w:rPr>
            </w:pPr>
          </w:p>
        </w:tc>
      </w:tr>
      <w:tr>
        <w:trPr>
          <w:trHeight w:val="209"/>
        </w:trPr>
        <w:tc>
          <w:tcPr>
            <w:tcW w:w="4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Amount</w:t>
            </w:r>
          </w:p>
        </w:tc>
        <w:tc>
          <w:tcPr>
            <w:tcW w:w="8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Ratio</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14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Ratio</w:t>
            </w: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HomeTrust Bancshares, Inc.</w:t>
            </w: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156,538</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226,110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376,838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140,287</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175,359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376,838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208,717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278,289</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396,908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11.41 %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278,289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347,861</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165"/>
        </w:trPr>
        <w:tc>
          <w:tcPr>
            <w:tcW w:w="4260" w:type="dxa"/>
            <w:vAlign w:val="bottom"/>
            <w:tcBorders>
              <w:bottom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CCEEFF"/>
            </w:tcBorders>
          </w:tcPr>
          <w:p>
            <w:pPr>
              <w:spacing w:after="0"/>
              <w:rPr>
                <w:sz w:val="21"/>
                <w:szCs w:val="21"/>
                <w:color w:val="auto"/>
              </w:rPr>
            </w:pPr>
          </w:p>
        </w:tc>
        <w:tc>
          <w:tcPr>
            <w:tcW w:w="8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8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CET1 Capital (to risk-weighted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149,943</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4.50 %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216,584</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6.50 %</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Tier I Capital (to total adjusted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375,320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145,915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182,393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Tier I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375,320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199,924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266,565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Total Risk-based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398,408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11.96 %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266,565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333,206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165"/>
        </w:trPr>
        <w:tc>
          <w:tcPr>
            <w:tcW w:w="4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4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HomeTrust Bank:</w:t>
            </w: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March 31, 2022</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6"/>
                <w:szCs w:val="16"/>
                <w:color w:val="auto"/>
              </w:rPr>
              <w:t>CET1 Capital (to risk-weighted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368,478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10.59 %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156,536</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226,107</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6.50 %</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Tier I Capital (to total adjusted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368,478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140,244</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175,305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Tier I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368,478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10.59 %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208,714</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278,286</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8.00 %</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Risk-based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388,548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11.17 %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278,286</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347,857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162"/>
        </w:trPr>
        <w:tc>
          <w:tcPr>
            <w:tcW w:w="426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June 30, 2021</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260" w:type="dxa"/>
            <w:vAlign w:val="bottom"/>
          </w:tcPr>
          <w:p>
            <w:pPr>
              <w:ind w:left="20"/>
              <w:spacing w:after="0"/>
              <w:rPr>
                <w:sz w:val="20"/>
                <w:szCs w:val="20"/>
                <w:color w:val="auto"/>
              </w:rPr>
            </w:pPr>
            <w:r>
              <w:rPr>
                <w:rFonts w:ascii="Arial" w:cs="Arial" w:eastAsia="Arial" w:hAnsi="Arial"/>
                <w:sz w:val="16"/>
                <w:szCs w:val="16"/>
                <w:color w:val="auto"/>
              </w:rPr>
              <w:t>CET1 Capital (to risk-weighted assets)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357,767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10.74 %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149,936</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4.50 %</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216,575</w:t>
            </w:r>
          </w:p>
        </w:tc>
        <w:tc>
          <w:tcPr>
            <w:tcW w:w="1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6.50 %</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Tier I Capital (to total adjusted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145,933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182,417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5.00 %</w:t>
            </w:r>
          </w:p>
        </w:tc>
        <w:tc>
          <w:tcPr>
            <w:tcW w:w="0" w:type="dxa"/>
            <w:vAlign w:val="bottom"/>
          </w:tcPr>
          <w:p>
            <w:pPr>
              <w:spacing w:after="0"/>
              <w:rPr>
                <w:sz w:val="1"/>
                <w:szCs w:val="1"/>
                <w:color w:val="auto"/>
              </w:rPr>
            </w:pPr>
          </w:p>
        </w:tc>
      </w:tr>
      <w:tr>
        <w:trPr>
          <w:trHeight w:val="213"/>
        </w:trPr>
        <w:tc>
          <w:tcPr>
            <w:tcW w:w="4260" w:type="dxa"/>
            <w:vAlign w:val="bottom"/>
          </w:tcPr>
          <w:p>
            <w:pPr>
              <w:ind w:left="20"/>
              <w:spacing w:after="0"/>
              <w:rPr>
                <w:sz w:val="20"/>
                <w:szCs w:val="20"/>
                <w:color w:val="auto"/>
              </w:rPr>
            </w:pPr>
            <w:r>
              <w:rPr>
                <w:rFonts w:ascii="Arial" w:cs="Arial" w:eastAsia="Arial" w:hAnsi="Arial"/>
                <w:sz w:val="16"/>
                <w:szCs w:val="16"/>
                <w:color w:val="auto"/>
              </w:rPr>
              <w:t>Tier I Capital (to risk-weighted assets)</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357,767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10.74 %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199,915</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6.00 %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266,553</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8.00 %</w:t>
            </w:r>
          </w:p>
        </w:tc>
        <w:tc>
          <w:tcPr>
            <w:tcW w:w="0" w:type="dxa"/>
            <w:vAlign w:val="bottom"/>
          </w:tcPr>
          <w:p>
            <w:pPr>
              <w:spacing w:after="0"/>
              <w:rPr>
                <w:sz w:val="1"/>
                <w:szCs w:val="1"/>
                <w:color w:val="auto"/>
              </w:rPr>
            </w:pPr>
          </w:p>
        </w:tc>
      </w:tr>
      <w:tr>
        <w:trPr>
          <w:trHeight w:val="219"/>
        </w:trPr>
        <w:tc>
          <w:tcPr>
            <w:tcW w:w="4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Risk-based Capital (to risk-weighted assets)</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380,855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11.43 %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266,553</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333,192</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bl>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In addition to the minimum CET1, Tier 1 and total risk-based capital ratios, both HomeTrust Bancshares, Inc. and the Bank have to maintain a capital conservation buffer consisting of additional CET1 capital of more than 2.5% above the required minimum levels in order to avoid limitations on paying dividends, engaging in share repurchases, and paying discretionary bonuses based on percentages of eligible retained income that could be utilized for such actions. At March 31, 2022, the conservation buffer was 3.41% and 3.17% for HomeTrust Bancshares, Inc. and the Bank,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Inflation</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effects of price changes and inflation can vary substantially for most financial institutions. While management believes that inflation affects the growth of total assets, it believes that it is difficult to assess the overall impact. Management believes this to be the case due to the fact that generally neither the timing nor the magnitude of the inflationary changes in the CPI coincides with changes in interest rates. The price of one or more of the components of the CPI may fluctuate considerably and thereby influence the overall CPI without having a corresponding effect on interest rates or upon the cost of those goods and services normally purchased by us. In years of high inflation and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7" w:name="page48"/>
    <w:bookmarkEnd w:id="47"/>
    <w:p>
      <w:pPr>
        <w:jc w:val="both"/>
        <w:ind w:left="100"/>
        <w:spacing w:after="0" w:line="349" w:lineRule="auto"/>
        <w:rPr>
          <w:sz w:val="20"/>
          <w:szCs w:val="20"/>
          <w:color w:val="auto"/>
        </w:rPr>
      </w:pPr>
      <w:r>
        <w:rPr>
          <w:rFonts w:ascii="Arial" w:cs="Arial" w:eastAsia="Arial" w:hAnsi="Arial"/>
          <w:sz w:val="14"/>
          <w:szCs w:val="14"/>
          <w:color w:val="auto"/>
        </w:rPr>
        <w:t>high interest rates, intermediate and long-term interest rates tend to increase, thereby adversely impacting the market values of investment securities, mortgage loans and other long-term fixed rate loans. In addition, higher short-term interest rates caused by inflation tend to increase the cost of funds. In other years, the opposite may occur.</w:t>
      </w:r>
    </w:p>
    <w:p>
      <w:pPr>
        <w:spacing w:after="0" w:line="68" w:lineRule="exact"/>
        <w:rPr>
          <w:sz w:val="20"/>
          <w:szCs w:val="20"/>
          <w:color w:val="auto"/>
        </w:rPr>
      </w:pPr>
    </w:p>
    <w:p>
      <w:pPr>
        <w:ind w:left="100"/>
        <w:spacing w:after="0"/>
        <w:tabs>
          <w:tab w:leader="none" w:pos="8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Quantitative and Qualitative Disclosure About Market Risk</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There has not been any material change in the market risk disclosures contained in our 2021 Form 10-K.</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Item 4. Controls and Procedures</w:t>
      </w:r>
    </w:p>
    <w:p>
      <w:pPr>
        <w:spacing w:after="0" w:line="171" w:lineRule="exact"/>
        <w:rPr>
          <w:sz w:val="20"/>
          <w:szCs w:val="20"/>
          <w:color w:val="auto"/>
        </w:rPr>
      </w:pPr>
    </w:p>
    <w:p>
      <w:pPr>
        <w:jc w:val="both"/>
        <w:ind w:left="100"/>
        <w:spacing w:after="0" w:line="252" w:lineRule="auto"/>
        <w:rPr>
          <w:sz w:val="20"/>
          <w:szCs w:val="20"/>
          <w:color w:val="auto"/>
        </w:rPr>
      </w:pPr>
      <w:r>
        <w:rPr>
          <w:rFonts w:ascii="Arial" w:cs="Arial" w:eastAsia="Arial" w:hAnsi="Arial"/>
          <w:sz w:val="16"/>
          <w:szCs w:val="16"/>
          <w:color w:val="auto"/>
        </w:rPr>
        <w:t>An evaluation of our disclosure controls and procedures (as defined in Rule 13a-15(e) of the Securities Exchange Act of 1934 (the "Act")) as of March 31, 2022, was carried out under the supervision and with the participation of the Company's Chief Executive Officer, Chief Financial Officer and several other members of the Company's senior management. The Company's Chief Executive Officer and Chief Financial Officer concluded that the Company's disclosure controls and procedures in effect as of March 31, 2022, were effective in ensuring that the information required to be disclosed by the Company in the reports it files or submits under the Act is: (i) accumulated and communicated to the Company's management (including the Chief Executive Officer and Chief Financial Officer) in a timely manner and (ii) recorded, processed, summarized and reported within the time periods specified in the SEC's rules and forms.</w:t>
      </w:r>
    </w:p>
    <w:p>
      <w:pPr>
        <w:spacing w:after="0" w:line="137" w:lineRule="exact"/>
        <w:rPr>
          <w:sz w:val="20"/>
          <w:szCs w:val="20"/>
          <w:color w:val="auto"/>
        </w:rPr>
      </w:pPr>
    </w:p>
    <w:p>
      <w:pPr>
        <w:jc w:val="both"/>
        <w:ind w:left="100"/>
        <w:spacing w:after="0" w:line="250" w:lineRule="auto"/>
        <w:rPr>
          <w:sz w:val="20"/>
          <w:szCs w:val="20"/>
          <w:color w:val="auto"/>
        </w:rPr>
      </w:pPr>
      <w:r>
        <w:rPr>
          <w:rFonts w:ascii="Arial" w:cs="Arial" w:eastAsia="Arial" w:hAnsi="Arial"/>
          <w:sz w:val="16"/>
          <w:szCs w:val="16"/>
          <w:color w:val="auto"/>
        </w:rPr>
        <w:t>The Company does not expect that its disclosure controls and procedures and internal control over financial reporting will prevent all errors and all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procedure, misstatements due to error or fraud may occur and not be detected.</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16"/>
          <w:szCs w:val="16"/>
          <w:b w:val="1"/>
          <w:bCs w:val="1"/>
          <w:color w:val="auto"/>
        </w:rPr>
        <w:t>PART II. OTHER INFORMATION</w:t>
      </w:r>
    </w:p>
    <w:p>
      <w:pPr>
        <w:spacing w:after="0" w:line="167" w:lineRule="exact"/>
        <w:rPr>
          <w:sz w:val="20"/>
          <w:szCs w:val="20"/>
          <w:color w:val="auto"/>
        </w:rPr>
      </w:pPr>
    </w:p>
    <w:p>
      <w:pPr>
        <w:ind w:left="100"/>
        <w:spacing w:after="0"/>
        <w:tabs>
          <w:tab w:leader="none" w:pos="74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171" w:lineRule="exact"/>
        <w:rPr>
          <w:sz w:val="20"/>
          <w:szCs w:val="20"/>
          <w:color w:val="auto"/>
        </w:rPr>
      </w:pPr>
    </w:p>
    <w:p>
      <w:pPr>
        <w:jc w:val="both"/>
        <w:ind w:left="100" w:right="20"/>
        <w:spacing w:after="0" w:line="275" w:lineRule="auto"/>
        <w:rPr>
          <w:sz w:val="20"/>
          <w:szCs w:val="20"/>
          <w:color w:val="auto"/>
        </w:rPr>
      </w:pPr>
      <w:r>
        <w:rPr>
          <w:rFonts w:ascii="Arial" w:cs="Arial" w:eastAsia="Arial" w:hAnsi="Arial"/>
          <w:sz w:val="16"/>
          <w:szCs w:val="16"/>
          <w:color w:val="auto"/>
        </w:rPr>
        <w:t>The "Litigation" section of "Note 9 - Commitments and Contingencies" to the Consolidated Financial Statements included in Part I, Item 1 is incorporated herein by reference.</w:t>
      </w:r>
    </w:p>
    <w:p>
      <w:pPr>
        <w:spacing w:after="0" w:line="114" w:lineRule="exact"/>
        <w:rPr>
          <w:sz w:val="20"/>
          <w:szCs w:val="20"/>
          <w:color w:val="auto"/>
        </w:rPr>
      </w:pPr>
    </w:p>
    <w:p>
      <w:pPr>
        <w:ind w:left="100"/>
        <w:spacing w:after="0"/>
        <w:tabs>
          <w:tab w:leader="none" w:pos="8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There have been no material changes in the Risk Factors previously disclosed in Item 1A of the 2021 Form 10-K.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(a) Not applicable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(b) Not applicable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100" w:type="dxa"/>
            <w:vAlign w:val="bottom"/>
          </w:tcPr>
          <w:p>
            <w:pPr>
              <w:spacing w:after="0"/>
              <w:rPr>
                <w:sz w:val="24"/>
                <w:szCs w:val="24"/>
                <w:color w:val="auto"/>
              </w:rPr>
            </w:pPr>
          </w:p>
        </w:tc>
        <w:tc>
          <w:tcPr>
            <w:tcW w:w="5460" w:type="dxa"/>
            <w:vAlign w:val="bottom"/>
          </w:tcPr>
          <w:p>
            <w:pPr>
              <w:spacing w:after="0"/>
              <w:rPr>
                <w:sz w:val="20"/>
                <w:szCs w:val="20"/>
                <w:color w:val="auto"/>
              </w:rPr>
            </w:pPr>
            <w:r>
              <w:rPr>
                <w:rFonts w:ascii="Arial" w:cs="Arial" w:eastAsia="Arial" w:hAnsi="Arial"/>
                <w:sz w:val="16"/>
                <w:szCs w:val="16"/>
                <w:color w:val="auto"/>
              </w:rPr>
              <w:t>(c) Not applicable</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339"/>
              <w:spacing w:after="0" w:line="181" w:lineRule="exact"/>
              <w:rPr>
                <w:sz w:val="20"/>
                <w:szCs w:val="20"/>
                <w:color w:val="auto"/>
              </w:rPr>
            </w:pPr>
            <w:r>
              <w:rPr>
                <w:rFonts w:ascii="Arial" w:cs="Arial" w:eastAsia="Arial" w:hAnsi="Arial"/>
                <w:sz w:val="16"/>
                <w:szCs w:val="16"/>
                <w:b w:val="1"/>
                <w:bCs w:val="1"/>
                <w:color w:val="auto"/>
              </w:rPr>
              <w:t>Maximum</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2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Total Number Of</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Number of</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2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w w:val="96"/>
              </w:rPr>
              <w:t>Total Number</w:t>
            </w:r>
          </w:p>
        </w:tc>
        <w:tc>
          <w:tcPr>
            <w:tcW w:w="128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Average</w:t>
            </w:r>
          </w:p>
        </w:tc>
        <w:tc>
          <w:tcPr>
            <w:tcW w:w="1520" w:type="dxa"/>
            <w:vAlign w:val="bottom"/>
            <w:gridSpan w:val="3"/>
            <w:vMerge w:val="continue"/>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Shares that May</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w w:val="97"/>
              </w:rPr>
              <w:t>Shares Purchased</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Yet Be Purchased</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20" w:type="dxa"/>
            <w:vAlign w:val="bottom"/>
            <w:gridSpan w:val="2"/>
          </w:tcPr>
          <w:p>
            <w:pPr>
              <w:jc w:val="right"/>
              <w:ind w:right="420"/>
              <w:spacing w:after="0" w:line="162" w:lineRule="exact"/>
              <w:rPr>
                <w:sz w:val="20"/>
                <w:szCs w:val="20"/>
                <w:color w:val="auto"/>
              </w:rPr>
            </w:pPr>
            <w:r>
              <w:rPr>
                <w:rFonts w:ascii="Arial" w:cs="Arial" w:eastAsia="Arial" w:hAnsi="Arial"/>
                <w:sz w:val="16"/>
                <w:szCs w:val="16"/>
                <w:b w:val="1"/>
                <w:bCs w:val="1"/>
                <w:color w:val="auto"/>
              </w:rPr>
              <w:t>Of Shares</w:t>
            </w:r>
          </w:p>
        </w:tc>
        <w:tc>
          <w:tcPr>
            <w:tcW w:w="1280" w:type="dxa"/>
            <w:vAlign w:val="bottom"/>
          </w:tcPr>
          <w:p>
            <w:pPr>
              <w:jc w:val="right"/>
              <w:ind w:right="59"/>
              <w:spacing w:after="0" w:line="162" w:lineRule="exact"/>
              <w:rPr>
                <w:sz w:val="20"/>
                <w:szCs w:val="20"/>
                <w:color w:val="auto"/>
              </w:rPr>
            </w:pPr>
            <w:r>
              <w:rPr>
                <w:rFonts w:ascii="Arial" w:cs="Arial" w:eastAsia="Arial" w:hAnsi="Arial"/>
                <w:sz w:val="16"/>
                <w:szCs w:val="16"/>
                <w:b w:val="1"/>
                <w:bCs w:val="1"/>
                <w:color w:val="auto"/>
              </w:rPr>
              <w:t>Price Paid per</w:t>
            </w:r>
          </w:p>
        </w:tc>
        <w:tc>
          <w:tcPr>
            <w:tcW w:w="100" w:type="dxa"/>
            <w:vAlign w:val="bottom"/>
          </w:tcPr>
          <w:p>
            <w:pPr>
              <w:spacing w:after="0"/>
              <w:rPr>
                <w:sz w:val="14"/>
                <w:szCs w:val="14"/>
                <w:color w:val="auto"/>
              </w:rPr>
            </w:pPr>
          </w:p>
        </w:tc>
        <w:tc>
          <w:tcPr>
            <w:tcW w:w="142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9"/>
              </w:rPr>
              <w:t>as Part of Publicly</w:t>
            </w:r>
          </w:p>
        </w:tc>
        <w:tc>
          <w:tcPr>
            <w:tcW w:w="13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Under Publicly</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546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Purchased</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w w:val="91"/>
              </w:rPr>
              <w:t>Announced Plans</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Announced Plans</w:t>
            </w:r>
          </w:p>
        </w:tc>
        <w:tc>
          <w:tcPr>
            <w:tcW w:w="0" w:type="dxa"/>
            <w:vAlign w:val="bottom"/>
          </w:tcPr>
          <w:p>
            <w:pPr>
              <w:spacing w:after="0"/>
              <w:rPr>
                <w:sz w:val="1"/>
                <w:szCs w:val="1"/>
                <w:color w:val="auto"/>
              </w:rPr>
            </w:pPr>
          </w:p>
        </w:tc>
      </w:tr>
      <w:tr>
        <w:trPr>
          <w:trHeight w:val="212"/>
        </w:trPr>
        <w:tc>
          <w:tcPr>
            <w:tcW w:w="1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6"/>
                <w:szCs w:val="16"/>
                <w:color w:val="auto"/>
              </w:rPr>
              <w:t>nuary 1 - January 31, 2022</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57,394$</w:t>
            </w: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57,394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210,372</w:t>
            </w:r>
          </w:p>
        </w:tc>
        <w:tc>
          <w:tcPr>
            <w:tcW w:w="0" w:type="dxa"/>
            <w:vAlign w:val="bottom"/>
          </w:tcPr>
          <w:p>
            <w:pPr>
              <w:spacing w:after="0"/>
              <w:rPr>
                <w:sz w:val="1"/>
                <w:szCs w:val="1"/>
                <w:color w:val="auto"/>
              </w:rPr>
            </w:pPr>
          </w:p>
        </w:tc>
      </w:tr>
      <w:tr>
        <w:trPr>
          <w:trHeight w:val="210"/>
        </w:trPr>
        <w:tc>
          <w:tcPr>
            <w:tcW w:w="5560" w:type="dxa"/>
            <w:vAlign w:val="bottom"/>
            <w:gridSpan w:val="2"/>
          </w:tcPr>
          <w:p>
            <w:pPr>
              <w:spacing w:after="0"/>
              <w:rPr>
                <w:sz w:val="20"/>
                <w:szCs w:val="20"/>
                <w:color w:val="auto"/>
              </w:rPr>
            </w:pPr>
            <w:r>
              <w:rPr>
                <w:rFonts w:ascii="Arial" w:cs="Arial" w:eastAsia="Arial" w:hAnsi="Arial"/>
                <w:sz w:val="16"/>
                <w:szCs w:val="16"/>
                <w:color w:val="auto"/>
              </w:rPr>
              <w:t>ebruary 1 - February 28, 2022</w:t>
            </w:r>
          </w:p>
        </w:tc>
        <w:tc>
          <w:tcPr>
            <w:tcW w:w="1320" w:type="dxa"/>
            <w:vAlign w:val="bottom"/>
          </w:tcPr>
          <w:p>
            <w:pPr>
              <w:ind w:left="720"/>
              <w:spacing w:after="0"/>
              <w:rPr>
                <w:sz w:val="20"/>
                <w:szCs w:val="20"/>
                <w:color w:val="auto"/>
              </w:rPr>
            </w:pPr>
            <w:r>
              <w:rPr>
                <w:rFonts w:ascii="Arial" w:cs="Arial" w:eastAsia="Arial" w:hAnsi="Arial"/>
                <w:sz w:val="16"/>
                <w:szCs w:val="16"/>
                <w:color w:val="auto"/>
              </w:rPr>
              <w:t>210,372</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31.07</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210,372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806,000</w:t>
            </w:r>
          </w:p>
        </w:tc>
        <w:tc>
          <w:tcPr>
            <w:tcW w:w="0" w:type="dxa"/>
            <w:vAlign w:val="bottom"/>
          </w:tcPr>
          <w:p>
            <w:pPr>
              <w:spacing w:after="0"/>
              <w:rPr>
                <w:sz w:val="1"/>
                <w:szCs w:val="1"/>
                <w:color w:val="auto"/>
              </w:rPr>
            </w:pPr>
          </w:p>
        </w:tc>
      </w:tr>
      <w:tr>
        <w:trPr>
          <w:trHeight w:val="219"/>
        </w:trPr>
        <w:tc>
          <w:tcPr>
            <w:tcW w:w="5560" w:type="dxa"/>
            <w:vAlign w:val="bottom"/>
            <w:gridSpan w:val="2"/>
          </w:tcPr>
          <w:p>
            <w:pPr>
              <w:ind w:left="20"/>
              <w:spacing w:after="0"/>
              <w:rPr>
                <w:sz w:val="20"/>
                <w:szCs w:val="20"/>
                <w:color w:val="auto"/>
              </w:rPr>
            </w:pPr>
            <w:r>
              <w:rPr>
                <w:rFonts w:ascii="Arial" w:cs="Arial" w:eastAsia="Arial" w:hAnsi="Arial"/>
                <w:sz w:val="16"/>
                <w:szCs w:val="16"/>
                <w:color w:val="auto"/>
              </w:rPr>
              <w:t>arch 1 - March 31, 2022</w:t>
            </w:r>
          </w:p>
        </w:tc>
        <w:tc>
          <w:tcPr>
            <w:tcW w:w="132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152,165</w:t>
            </w:r>
          </w:p>
        </w:tc>
        <w:tc>
          <w:tcPr>
            <w:tcW w:w="100" w:type="dxa"/>
            <w:vAlign w:val="bottom"/>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30.07</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152,165</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653,835</w:t>
            </w:r>
          </w:p>
        </w:tc>
        <w:tc>
          <w:tcPr>
            <w:tcW w:w="0" w:type="dxa"/>
            <w:vAlign w:val="bottom"/>
          </w:tcPr>
          <w:p>
            <w:pPr>
              <w:spacing w:after="0"/>
              <w:rPr>
                <w:sz w:val="1"/>
                <w:szCs w:val="1"/>
                <w:color w:val="auto"/>
              </w:rPr>
            </w:pPr>
          </w:p>
        </w:tc>
      </w:tr>
      <w:tr>
        <w:trPr>
          <w:trHeight w:val="213"/>
        </w:trPr>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1320" w:type="dxa"/>
            <w:vAlign w:val="bottom"/>
          </w:tcPr>
          <w:p>
            <w:pPr>
              <w:ind w:left="720"/>
              <w:spacing w:after="0"/>
              <w:rPr>
                <w:sz w:val="20"/>
                <w:szCs w:val="20"/>
                <w:color w:val="auto"/>
              </w:rPr>
            </w:pPr>
            <w:r>
              <w:rPr>
                <w:rFonts w:ascii="Arial" w:cs="Arial" w:eastAsia="Arial" w:hAnsi="Arial"/>
                <w:sz w:val="16"/>
                <w:szCs w:val="16"/>
                <w:color w:val="auto"/>
                <w:w w:val="86"/>
              </w:rPr>
              <w:t>419,931$</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30.76</w:t>
            </w:r>
          </w:p>
        </w:tc>
        <w:tc>
          <w:tcPr>
            <w:tcW w:w="1420" w:type="dxa"/>
            <w:vAlign w:val="bottom"/>
            <w:gridSpan w:val="2"/>
          </w:tcPr>
          <w:p>
            <w:pPr>
              <w:jc w:val="right"/>
              <w:spacing w:after="0"/>
              <w:rPr>
                <w:sz w:val="20"/>
                <w:szCs w:val="20"/>
                <w:color w:val="auto"/>
              </w:rPr>
            </w:pPr>
            <w:r>
              <w:rPr>
                <w:rFonts w:ascii="Arial" w:cs="Arial" w:eastAsia="Arial" w:hAnsi="Arial"/>
                <w:sz w:val="16"/>
                <w:szCs w:val="16"/>
                <w:color w:val="auto"/>
              </w:rPr>
              <w:t>419,931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653,835</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-316230</wp:posOffset>
            </wp:positionV>
            <wp:extent cx="6978015"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78015" cy="137160"/>
                    </a:xfrm>
                    <a:prstGeom prst="rect">
                      <a:avLst/>
                    </a:prstGeom>
                    <a:noFill/>
                  </pic:spPr>
                </pic:pic>
              </a:graphicData>
            </a:graphic>
          </wp:anchor>
        </w:drawing>
      </w:r>
    </w:p>
    <w:p>
      <w:pPr>
        <w:spacing w:after="0" w:line="227" w:lineRule="exact"/>
        <w:rPr>
          <w:sz w:val="20"/>
          <w:szCs w:val="20"/>
          <w:color w:val="auto"/>
        </w:rPr>
      </w:pPr>
    </w:p>
    <w:p>
      <w:pPr>
        <w:jc w:val="both"/>
        <w:ind w:left="100"/>
        <w:spacing w:after="0" w:line="256" w:lineRule="auto"/>
        <w:rPr>
          <w:sz w:val="20"/>
          <w:szCs w:val="20"/>
          <w:color w:val="auto"/>
        </w:rPr>
      </w:pPr>
      <w:r>
        <w:rPr>
          <w:rFonts w:ascii="Arial" w:cs="Arial" w:eastAsia="Arial" w:hAnsi="Arial"/>
          <w:sz w:val="16"/>
          <w:szCs w:val="16"/>
          <w:color w:val="auto"/>
        </w:rPr>
        <w:t>On April 2, 2020, the Company's Board of Directors authorized the repurchase of up to 851,004 shares of the Company's common stock, representing 5% of its outstanding shares at the time of the announcement. This repurchase plan was completed on July 26, 2021. On July 28, 2021, 825,941 shares of common stock were authorized for repurchase representing 5% of the Company's outstanding shares at the time of the announcement. This repurchase plan was completed on February 28, 2022. Also on February 28, 2022, an additional 806,000 shares of</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220" w:top="1102" w:right="339" w:bottom="1440" w:gutter="0" w:footer="0" w:header="0"/>
        </w:sectPr>
      </w:pPr>
    </w:p>
    <w:bookmarkStart w:id="48" w:name="page49"/>
    <w:bookmarkEnd w:id="48"/>
    <w:p>
      <w:pPr>
        <w:jc w:val="both"/>
        <w:spacing w:after="0" w:line="261" w:lineRule="auto"/>
        <w:rPr>
          <w:sz w:val="20"/>
          <w:szCs w:val="20"/>
          <w:color w:val="auto"/>
        </w:rPr>
      </w:pPr>
      <w:r>
        <w:rPr>
          <w:rFonts w:ascii="Arial" w:cs="Arial" w:eastAsia="Arial" w:hAnsi="Arial"/>
          <w:sz w:val="16"/>
          <w:szCs w:val="16"/>
          <w:color w:val="auto"/>
        </w:rPr>
        <w:t>common stock were authorized for repurchase representing approximately 5% of the Company's outstanding shares at the time of the announcement. For the nine months ended March 31, 2022, 1,095,763 shares were repurchased at an average price of $29.50 per share. The shares may be purchased in the open market or in privately negotiated transactions, from time to time depending upon market conditions and other factors.</w:t>
      </w:r>
    </w:p>
    <w:p>
      <w:pPr>
        <w:spacing w:after="0" w:line="125"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Defaults Upon Senior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Nothing to report.</w:t>
      </w:r>
    </w:p>
    <w:p>
      <w:pPr>
        <w:spacing w:after="0" w:line="163"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63" w:lineRule="exact"/>
        <w:rPr>
          <w:sz w:val="20"/>
          <w:szCs w:val="20"/>
          <w:color w:val="auto"/>
        </w:rPr>
      </w:pPr>
    </w:p>
    <w:p>
      <w:pPr>
        <w:spacing w:after="0"/>
        <w:tabs>
          <w:tab w:leader="none" w:pos="68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5"/>
          <w:szCs w:val="15"/>
          <w:b w:val="1"/>
          <w:bCs w:val="1"/>
          <w:color w:val="auto"/>
        </w:rPr>
        <w:t>Other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460" w:type="dxa"/>
            <w:vAlign w:val="bottom"/>
          </w:tcPr>
          <w:p>
            <w:pPr>
              <w:spacing w:after="0"/>
              <w:rPr>
                <w:sz w:val="20"/>
                <w:szCs w:val="20"/>
                <w:color w:val="auto"/>
              </w:rPr>
            </w:pPr>
            <w:r>
              <w:rPr>
                <w:rFonts w:ascii="Arial" w:cs="Arial" w:eastAsia="Arial" w:hAnsi="Arial"/>
                <w:sz w:val="16"/>
                <w:szCs w:val="16"/>
                <w:color w:val="auto"/>
              </w:rPr>
              <w:t>Nothing to report.</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1460" w:type="dxa"/>
            <w:vAlign w:val="bottom"/>
          </w:tcPr>
          <w:p>
            <w:pPr>
              <w:spacing w:after="0"/>
              <w:rPr>
                <w:sz w:val="20"/>
                <w:szCs w:val="20"/>
                <w:color w:val="auto"/>
              </w:rPr>
            </w:pPr>
            <w:r>
              <w:rPr>
                <w:rFonts w:ascii="Arial" w:cs="Arial" w:eastAsia="Arial" w:hAnsi="Arial"/>
                <w:sz w:val="16"/>
                <w:szCs w:val="16"/>
                <w:b w:val="1"/>
                <w:bCs w:val="1"/>
                <w:color w:val="auto"/>
              </w:rPr>
              <w:t>Item 6.   Exhibits</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14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Regulation S-K</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2"/>
              </w:rPr>
              <w:t>Reference to Prior Filing</w:t>
            </w:r>
          </w:p>
        </w:tc>
        <w:tc>
          <w:tcPr>
            <w:tcW w:w="0" w:type="dxa"/>
            <w:vAlign w:val="bottom"/>
          </w:tcPr>
          <w:p>
            <w:pPr>
              <w:spacing w:after="0"/>
              <w:rPr>
                <w:sz w:val="1"/>
                <w:szCs w:val="1"/>
                <w:color w:val="auto"/>
              </w:rPr>
            </w:pPr>
          </w:p>
        </w:tc>
      </w:tr>
      <w:tr>
        <w:trPr>
          <w:trHeight w:val="162"/>
        </w:trPr>
        <w:tc>
          <w:tcPr>
            <w:tcW w:w="14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340" w:type="dxa"/>
            <w:vAlign w:val="bottom"/>
            <w:gridSpan w:val="18"/>
            <w:vMerge w:val="restart"/>
          </w:tcPr>
          <w:p>
            <w:pPr>
              <w:ind w:left="20"/>
              <w:spacing w:after="0"/>
              <w:rPr>
                <w:sz w:val="20"/>
                <w:szCs w:val="20"/>
                <w:color w:val="auto"/>
              </w:rPr>
            </w:pPr>
            <w:r>
              <w:rPr>
                <w:rFonts w:ascii="Arial" w:cs="Arial" w:eastAsia="Arial" w:hAnsi="Arial"/>
                <w:sz w:val="16"/>
                <w:szCs w:val="16"/>
                <w:b w:val="1"/>
                <w:bCs w:val="1"/>
                <w:color w:val="auto"/>
              </w:rPr>
              <w:t>Document</w:t>
            </w:r>
          </w:p>
        </w:tc>
        <w:tc>
          <w:tcPr>
            <w:tcW w:w="18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5"/>
              </w:rPr>
              <w:t>or Exhibit Number</w:t>
            </w:r>
          </w:p>
        </w:tc>
        <w:tc>
          <w:tcPr>
            <w:tcW w:w="0" w:type="dxa"/>
            <w:vAlign w:val="bottom"/>
          </w:tcPr>
          <w:p>
            <w:pPr>
              <w:spacing w:after="0"/>
              <w:rPr>
                <w:sz w:val="1"/>
                <w:szCs w:val="1"/>
                <w:color w:val="auto"/>
              </w:rPr>
            </w:pPr>
          </w:p>
        </w:tc>
      </w:tr>
      <w:tr>
        <w:trPr>
          <w:trHeight w:val="213"/>
        </w:trPr>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Exhibit Number</w:t>
            </w:r>
          </w:p>
        </w:tc>
        <w:tc>
          <w:tcPr>
            <w:tcW w:w="7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18"/>
            <w:vMerge w:val="continue"/>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Attached Hereto</w:t>
            </w:r>
          </w:p>
        </w:tc>
        <w:tc>
          <w:tcPr>
            <w:tcW w:w="0" w:type="dxa"/>
            <w:vAlign w:val="bottom"/>
          </w:tcPr>
          <w:p>
            <w:pPr>
              <w:spacing w:after="0"/>
              <w:rPr>
                <w:sz w:val="1"/>
                <w:szCs w:val="1"/>
                <w:color w:val="auto"/>
              </w:rPr>
            </w:pPr>
          </w:p>
        </w:tc>
      </w:tr>
      <w:tr>
        <w:trPr>
          <w:trHeight w:val="442"/>
        </w:trPr>
        <w:tc>
          <w:tcPr>
            <w:tcW w:w="1460" w:type="dxa"/>
            <w:vAlign w:val="bottom"/>
          </w:tcPr>
          <w:p>
            <w:pPr>
              <w:jc w:val="center"/>
              <w:spacing w:after="0"/>
              <w:rPr>
                <w:sz w:val="20"/>
                <w:szCs w:val="20"/>
                <w:color w:val="auto"/>
              </w:rPr>
            </w:pPr>
            <w:r>
              <w:rPr>
                <w:rFonts w:ascii="Arial" w:cs="Arial" w:eastAsia="Arial" w:hAnsi="Arial"/>
                <w:sz w:val="16"/>
                <w:szCs w:val="16"/>
                <w:color w:val="auto"/>
                <w:w w:val="89"/>
              </w:rPr>
              <w:t>3.1</w:t>
            </w:r>
          </w:p>
        </w:tc>
        <w:tc>
          <w:tcPr>
            <w:tcW w:w="2540" w:type="dxa"/>
            <w:vAlign w:val="bottom"/>
            <w:tcBorders>
              <w:bottom w:val="single" w:sz="8" w:color="0000FF"/>
            </w:tcBorders>
            <w:gridSpan w:val="10"/>
          </w:tcPr>
          <w:p>
            <w:pPr>
              <w:spacing w:after="0"/>
              <w:rPr>
                <w:rFonts w:ascii="Arial" w:cs="Arial" w:eastAsia="Arial" w:hAnsi="Arial"/>
                <w:sz w:val="16"/>
                <w:szCs w:val="16"/>
                <w:color w:val="0000FF"/>
                <w:w w:val="90"/>
              </w:rPr>
            </w:pPr>
            <w:hyperlink r:id="rId64">
              <w:r>
                <w:rPr>
                  <w:rFonts w:ascii="Arial" w:cs="Arial" w:eastAsia="Arial" w:hAnsi="Arial"/>
                  <w:sz w:val="16"/>
                  <w:szCs w:val="16"/>
                  <w:color w:val="0000FF"/>
                  <w:w w:val="90"/>
                </w:rPr>
                <w:t>Charter of HomeTrust Bancshares, Inc.</w:t>
              </w:r>
            </w:hyperlink>
          </w:p>
        </w:tc>
        <w:tc>
          <w:tcPr>
            <w:tcW w:w="5340" w:type="dxa"/>
            <w:vAlign w:val="bottom"/>
            <w:gridSpan w:val="22"/>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3.2</w:t>
            </w:r>
          </w:p>
        </w:tc>
        <w:tc>
          <w:tcPr>
            <w:tcW w:w="7880" w:type="dxa"/>
            <w:vAlign w:val="bottom"/>
            <w:gridSpan w:val="32"/>
          </w:tcPr>
          <w:p>
            <w:pPr>
              <w:spacing w:after="0"/>
              <w:rPr>
                <w:rFonts w:ascii="Arial" w:cs="Arial" w:eastAsia="Arial" w:hAnsi="Arial"/>
                <w:sz w:val="16"/>
                <w:szCs w:val="16"/>
                <w:color w:val="0000FF"/>
              </w:rPr>
            </w:pPr>
            <w:hyperlink r:id="rId65">
              <w:r>
                <w:rPr>
                  <w:rFonts w:ascii="Arial" w:cs="Arial" w:eastAsia="Arial" w:hAnsi="Arial"/>
                  <w:sz w:val="16"/>
                  <w:szCs w:val="16"/>
                  <w:color w:val="0000FF"/>
                </w:rPr>
                <w:t>Articles Supplementary to the Charter of HomeTrust Bancshares, Inc. for HomeTrust Bancshares, Inc.'s Junior</w:t>
              </w:r>
            </w:hyperlink>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1"/>
              </w:rPr>
              <w:t>(b)</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52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1"/>
              </w:rPr>
            </w:pPr>
            <w:hyperlink r:id="rId65">
              <w:r>
                <w:rPr>
                  <w:rFonts w:ascii="Arial" w:cs="Arial" w:eastAsia="Arial" w:hAnsi="Arial"/>
                  <w:sz w:val="16"/>
                  <w:szCs w:val="16"/>
                  <w:color w:val="0000FF"/>
                  <w:w w:val="91"/>
                </w:rPr>
                <w:t>Participating Preferred Stock, Series A</w:t>
              </w:r>
            </w:hyperlink>
          </w:p>
        </w:tc>
        <w:tc>
          <w:tcPr>
            <w:tcW w:w="4660" w:type="dxa"/>
            <w:vAlign w:val="bottom"/>
            <w:tcBorders>
              <w:top w:val="single" w:sz="8" w:color="0000FF"/>
            </w:tcBorders>
            <w:gridSpan w:val="1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7880" w:type="dxa"/>
            <w:vAlign w:val="bottom"/>
            <w:gridSpan w:val="32"/>
          </w:tcPr>
          <w:p>
            <w:pPr>
              <w:spacing w:after="0"/>
              <w:rPr>
                <w:rFonts w:ascii="Arial" w:cs="Arial" w:eastAsia="Arial" w:hAnsi="Arial"/>
                <w:sz w:val="16"/>
                <w:szCs w:val="16"/>
                <w:color w:val="0000FF"/>
              </w:rPr>
            </w:pPr>
            <w:hyperlink r:id="rId66">
              <w:r>
                <w:rPr>
                  <w:rFonts w:ascii="Arial" w:cs="Arial" w:eastAsia="Arial" w:hAnsi="Arial"/>
                  <w:sz w:val="16"/>
                  <w:szCs w:val="16"/>
                  <w:color w:val="0000FF"/>
                </w:rPr>
                <w:t>Amended and Restated Bylaws of HomeTrust Bancshares, Inc.</w:t>
              </w:r>
            </w:hyperlink>
          </w:p>
        </w:tc>
        <w:tc>
          <w:tcPr>
            <w:tcW w:w="1880" w:type="dxa"/>
            <w:vAlign w:val="bottom"/>
          </w:tcPr>
          <w:p>
            <w:pPr>
              <w:jc w:val="center"/>
              <w:spacing w:after="0"/>
              <w:rPr>
                <w:sz w:val="20"/>
                <w:szCs w:val="20"/>
                <w:color w:val="auto"/>
              </w:rPr>
            </w:pPr>
            <w:r>
              <w:rPr>
                <w:rFonts w:ascii="Arial" w:cs="Arial" w:eastAsia="Arial" w:hAnsi="Arial"/>
                <w:sz w:val="16"/>
                <w:szCs w:val="16"/>
                <w:color w:val="auto"/>
              </w:rPr>
              <w:t>(f)</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7880" w:type="dxa"/>
            <w:vAlign w:val="bottom"/>
            <w:gridSpan w:val="32"/>
          </w:tcPr>
          <w:p>
            <w:pPr>
              <w:spacing w:after="0"/>
              <w:rPr>
                <w:rFonts w:ascii="Arial" w:cs="Arial" w:eastAsia="Arial" w:hAnsi="Arial"/>
                <w:sz w:val="16"/>
                <w:szCs w:val="16"/>
                <w:color w:val="0000FF"/>
                <w:w w:val="90"/>
              </w:rPr>
            </w:pPr>
            <w:hyperlink r:id="rId67">
              <w:r>
                <w:rPr>
                  <w:rFonts w:ascii="Arial" w:cs="Arial" w:eastAsia="Arial" w:hAnsi="Arial"/>
                  <w:sz w:val="16"/>
                  <w:szCs w:val="16"/>
                  <w:color w:val="0000FF"/>
                  <w:w w:val="90"/>
                </w:rPr>
                <w:t>Tax Benefits Preservation Plan, dated as of September 25, 2012, between HomeTrust Bancshares, Inc. and Registrar and</w:t>
              </w:r>
            </w:hyperlink>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1"/>
              </w:rPr>
              <w:t>(b)</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32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0"/>
              </w:rPr>
            </w:pPr>
            <w:hyperlink r:id="rId67">
              <w:r>
                <w:rPr>
                  <w:rFonts w:ascii="Arial" w:cs="Arial" w:eastAsia="Arial" w:hAnsi="Arial"/>
                  <w:sz w:val="16"/>
                  <w:szCs w:val="16"/>
                  <w:color w:val="0000FF"/>
                  <w:w w:val="90"/>
                </w:rPr>
                <w:t>Transfer Company, as Rights Agent</w:t>
              </w:r>
            </w:hyperlink>
          </w:p>
        </w:tc>
        <w:tc>
          <w:tcPr>
            <w:tcW w:w="548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4.2</w:t>
            </w:r>
          </w:p>
        </w:tc>
        <w:tc>
          <w:tcPr>
            <w:tcW w:w="7880" w:type="dxa"/>
            <w:vAlign w:val="bottom"/>
            <w:gridSpan w:val="32"/>
          </w:tcPr>
          <w:p>
            <w:pPr>
              <w:spacing w:after="0"/>
              <w:rPr>
                <w:rFonts w:ascii="Arial" w:cs="Arial" w:eastAsia="Arial" w:hAnsi="Arial"/>
                <w:sz w:val="16"/>
                <w:szCs w:val="16"/>
                <w:color w:val="0000FF"/>
                <w:w w:val="96"/>
              </w:rPr>
            </w:pPr>
            <w:hyperlink r:id="rId68">
              <w:r>
                <w:rPr>
                  <w:rFonts w:ascii="Arial" w:cs="Arial" w:eastAsia="Arial" w:hAnsi="Arial"/>
                  <w:sz w:val="16"/>
                  <w:szCs w:val="16"/>
                  <w:color w:val="0000FF"/>
                  <w:w w:val="96"/>
                </w:rPr>
                <w:t>Amendment No. 1, dated as of August 31, 2015, to Tax Benefit Preservation Plan, dated as of September 25, 2012,</w:t>
              </w:r>
            </w:hyperlink>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460" w:type="dxa"/>
            <w:vAlign w:val="bottom"/>
          </w:tcPr>
          <w:p>
            <w:pPr>
              <w:spacing w:after="0"/>
              <w:rPr>
                <w:sz w:val="12"/>
                <w:szCs w:val="12"/>
                <w:color w:val="auto"/>
              </w:rPr>
            </w:pPr>
          </w:p>
        </w:tc>
        <w:tc>
          <w:tcPr>
            <w:tcW w:w="7880" w:type="dxa"/>
            <w:vAlign w:val="bottom"/>
            <w:gridSpan w:val="32"/>
          </w:tcPr>
          <w:p>
            <w:pPr>
              <w:spacing w:after="0" w:line="142" w:lineRule="exact"/>
              <w:rPr>
                <w:rFonts w:ascii="Arial" w:cs="Arial" w:eastAsia="Arial" w:hAnsi="Arial"/>
                <w:sz w:val="16"/>
                <w:szCs w:val="16"/>
                <w:color w:val="0000FF"/>
                <w:w w:val="93"/>
              </w:rPr>
            </w:pPr>
            <w:hyperlink r:id="rId68">
              <w:r>
                <w:rPr>
                  <w:rFonts w:ascii="Arial" w:cs="Arial" w:eastAsia="Arial" w:hAnsi="Arial"/>
                  <w:sz w:val="16"/>
                  <w:szCs w:val="16"/>
                  <w:color w:val="0000FF"/>
                  <w:w w:val="93"/>
                </w:rPr>
                <w:t>between HomeTrust Bancshares, Inc. and Computershare Trust Company, N.A., as successor rights agent to Registrar</w:t>
              </w:r>
            </w:hyperlink>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1"/>
              </w:rPr>
              <w:t>(d)</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76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68">
              <w:r>
                <w:rPr>
                  <w:rFonts w:ascii="Arial" w:cs="Arial" w:eastAsia="Arial" w:hAnsi="Arial"/>
                  <w:sz w:val="16"/>
                  <w:szCs w:val="16"/>
                  <w:color w:val="0000FF"/>
                </w:rPr>
                <w:t>and Transfer Company</w:t>
              </w:r>
            </w:hyperlink>
          </w:p>
        </w:tc>
        <w:tc>
          <w:tcPr>
            <w:tcW w:w="120" w:type="dxa"/>
            <w:vAlign w:val="bottom"/>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4.3</w:t>
            </w:r>
          </w:p>
        </w:tc>
        <w:tc>
          <w:tcPr>
            <w:tcW w:w="7880" w:type="dxa"/>
            <w:vAlign w:val="bottom"/>
            <w:gridSpan w:val="32"/>
          </w:tcPr>
          <w:p>
            <w:pPr>
              <w:spacing w:after="0"/>
              <w:rPr>
                <w:rFonts w:ascii="Arial" w:cs="Arial" w:eastAsia="Arial" w:hAnsi="Arial"/>
                <w:sz w:val="16"/>
                <w:szCs w:val="16"/>
                <w:color w:val="0000FF"/>
                <w:w w:val="95"/>
              </w:rPr>
            </w:pPr>
            <w:hyperlink r:id="rId69">
              <w:r>
                <w:rPr>
                  <w:rFonts w:ascii="Arial" w:cs="Arial" w:eastAsia="Arial" w:hAnsi="Arial"/>
                  <w:sz w:val="16"/>
                  <w:szCs w:val="16"/>
                  <w:color w:val="0000FF"/>
                  <w:w w:val="95"/>
                </w:rPr>
                <w:t>Amendment No. 2, dated as of August 21, 2018, to Tax Benefits Preservation Plan, dated as of September 25, 2012,</w:t>
              </w:r>
            </w:hyperlink>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7500" w:type="dxa"/>
            <w:vAlign w:val="bottom"/>
            <w:tcBorders>
              <w:top w:val="single" w:sz="8" w:color="0000FF"/>
              <w:bottom w:val="single" w:sz="8" w:color="0000FF"/>
            </w:tcBorders>
            <w:gridSpan w:val="26"/>
          </w:tcPr>
          <w:p>
            <w:pPr>
              <w:spacing w:after="0" w:line="142" w:lineRule="exact"/>
              <w:rPr>
                <w:rFonts w:ascii="Arial" w:cs="Arial" w:eastAsia="Arial" w:hAnsi="Arial"/>
                <w:sz w:val="16"/>
                <w:szCs w:val="16"/>
                <w:color w:val="0000FF"/>
                <w:w w:val="89"/>
              </w:rPr>
            </w:pPr>
            <w:hyperlink r:id="rId69">
              <w:r>
                <w:rPr>
                  <w:rFonts w:ascii="Arial" w:cs="Arial" w:eastAsia="Arial" w:hAnsi="Arial"/>
                  <w:sz w:val="16"/>
                  <w:szCs w:val="16"/>
                  <w:color w:val="0000FF"/>
                  <w:w w:val="89"/>
                </w:rPr>
                <w:t>between HomeTrust Bancshares, Inc. and Computershare Trust Company,N.A., as successor rights agent to Registrar</w:t>
              </w:r>
            </w:hyperlink>
          </w:p>
        </w:tc>
        <w:tc>
          <w:tcPr>
            <w:tcW w:w="100" w:type="dxa"/>
            <w:vAlign w:val="bottom"/>
            <w:tcBorders>
              <w:bottom w:val="single" w:sz="8" w:color="0000FF"/>
            </w:tcBorders>
          </w:tcPr>
          <w:p>
            <w:pPr>
              <w:spacing w:after="0"/>
              <w:rPr>
                <w:sz w:val="12"/>
                <w:szCs w:val="12"/>
                <w:color w:val="auto"/>
              </w:rPr>
            </w:pPr>
          </w:p>
        </w:tc>
        <w:tc>
          <w:tcPr>
            <w:tcW w:w="1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7600" w:type="dxa"/>
            <w:vAlign w:val="bottom"/>
            <w:gridSpan w:val="27"/>
          </w:tcPr>
          <w:p>
            <w:pPr>
              <w:spacing w:after="0" w:line="142" w:lineRule="exact"/>
              <w:rPr>
                <w:rFonts w:ascii="Arial" w:cs="Arial" w:eastAsia="Arial" w:hAnsi="Arial"/>
                <w:sz w:val="16"/>
                <w:szCs w:val="16"/>
                <w:color w:val="0000FF"/>
              </w:rPr>
            </w:pPr>
            <w:hyperlink r:id="rId69">
              <w:r>
                <w:rPr>
                  <w:rFonts w:ascii="Arial" w:cs="Arial" w:eastAsia="Arial" w:hAnsi="Arial"/>
                  <w:sz w:val="16"/>
                  <w:szCs w:val="16"/>
                  <w:color w:val="0000FF"/>
                </w:rPr>
                <w:t>and Transfer Company</w:t>
              </w:r>
            </w:hyperlink>
          </w:p>
        </w:tc>
        <w:tc>
          <w:tcPr>
            <w:tcW w:w="160" w:type="dxa"/>
            <w:vAlign w:val="bottom"/>
            <w:gridSpan w:val="2"/>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460" w:type="dxa"/>
            <w:vAlign w:val="bottom"/>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700" w:type="dxa"/>
            <w:vAlign w:val="bottom"/>
            <w:tcBorders>
              <w:top w:val="single" w:sz="8" w:color="0000FF"/>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(e)</w:t>
            </w:r>
          </w:p>
        </w:tc>
        <w:tc>
          <w:tcPr>
            <w:tcW w:w="0" w:type="dxa"/>
            <w:vAlign w:val="bottom"/>
          </w:tcPr>
          <w:p>
            <w:pPr>
              <w:spacing w:after="0"/>
              <w:rPr>
                <w:sz w:val="1"/>
                <w:szCs w:val="1"/>
                <w:color w:val="auto"/>
              </w:rPr>
            </w:pPr>
          </w:p>
        </w:tc>
      </w:tr>
      <w:tr>
        <w:trPr>
          <w:trHeight w:val="182"/>
        </w:trPr>
        <w:tc>
          <w:tcPr>
            <w:tcW w:w="1460" w:type="dxa"/>
            <w:vAlign w:val="bottom"/>
          </w:tcPr>
          <w:p>
            <w:pPr>
              <w:jc w:val="center"/>
              <w:spacing w:after="0" w:line="181" w:lineRule="exact"/>
              <w:rPr>
                <w:sz w:val="20"/>
                <w:szCs w:val="20"/>
                <w:color w:val="auto"/>
              </w:rPr>
            </w:pPr>
            <w:r>
              <w:rPr>
                <w:rFonts w:ascii="Arial" w:cs="Arial" w:eastAsia="Arial" w:hAnsi="Arial"/>
                <w:sz w:val="16"/>
                <w:szCs w:val="16"/>
                <w:color w:val="auto"/>
                <w:w w:val="89"/>
              </w:rPr>
              <w:t>10.1</w:t>
            </w:r>
          </w:p>
        </w:tc>
        <w:tc>
          <w:tcPr>
            <w:tcW w:w="4880" w:type="dxa"/>
            <w:vAlign w:val="bottom"/>
            <w:tcBorders>
              <w:bottom w:val="single" w:sz="8" w:color="0000FF"/>
            </w:tcBorders>
            <w:gridSpan w:val="17"/>
          </w:tcPr>
          <w:p>
            <w:pPr>
              <w:spacing w:after="0" w:line="181" w:lineRule="exact"/>
              <w:rPr>
                <w:rFonts w:ascii="Arial" w:cs="Arial" w:eastAsia="Arial" w:hAnsi="Arial"/>
                <w:sz w:val="16"/>
                <w:szCs w:val="16"/>
                <w:color w:val="0000FF"/>
                <w:w w:val="91"/>
              </w:rPr>
            </w:pPr>
            <w:hyperlink r:id="rId70">
              <w:r>
                <w:rPr>
                  <w:rFonts w:ascii="Arial" w:cs="Arial" w:eastAsia="Arial" w:hAnsi="Arial"/>
                  <w:sz w:val="16"/>
                  <w:szCs w:val="16"/>
                  <w:color w:val="0000FF"/>
                  <w:w w:val="91"/>
                </w:rPr>
                <w:t>HomeTrust Bancshares, Inc. Strategic Operating Committee Incentive Plan</w:t>
              </w:r>
            </w:hyperlink>
          </w:p>
        </w:tc>
        <w:tc>
          <w:tcPr>
            <w:tcW w:w="3000" w:type="dxa"/>
            <w:vAlign w:val="bottom"/>
            <w:gridSpan w:val="15"/>
          </w:tcPr>
          <w:p>
            <w:pPr>
              <w:spacing w:after="0"/>
              <w:rPr>
                <w:sz w:val="15"/>
                <w:szCs w:val="15"/>
                <w:color w:val="auto"/>
              </w:rPr>
            </w:pPr>
          </w:p>
        </w:tc>
        <w:tc>
          <w:tcPr>
            <w:tcW w:w="1880" w:type="dxa"/>
            <w:vAlign w:val="bottom"/>
          </w:tcPr>
          <w:p>
            <w:pPr>
              <w:jc w:val="center"/>
              <w:spacing w:after="0" w:line="181" w:lineRule="exact"/>
              <w:rPr>
                <w:sz w:val="20"/>
                <w:szCs w:val="20"/>
                <w:color w:val="auto"/>
              </w:rPr>
            </w:pPr>
            <w:r>
              <w:rPr>
                <w:rFonts w:ascii="Arial" w:cs="Arial" w:eastAsia="Arial" w:hAnsi="Arial"/>
                <w:sz w:val="16"/>
                <w:szCs w:val="16"/>
                <w:color w:val="auto"/>
                <w:w w:val="91"/>
              </w:rPr>
              <w:t>(p)</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10.2</w:t>
            </w:r>
          </w:p>
        </w:tc>
        <w:tc>
          <w:tcPr>
            <w:tcW w:w="7880" w:type="dxa"/>
            <w:vAlign w:val="bottom"/>
            <w:gridSpan w:val="32"/>
          </w:tcPr>
          <w:p>
            <w:pPr>
              <w:spacing w:after="0"/>
              <w:rPr>
                <w:rFonts w:ascii="Arial" w:cs="Arial" w:eastAsia="Arial" w:hAnsi="Arial"/>
                <w:sz w:val="16"/>
                <w:szCs w:val="16"/>
                <w:color w:val="0000FF"/>
                <w:w w:val="98"/>
              </w:rPr>
            </w:pPr>
            <w:hyperlink r:id="rId71">
              <w:r>
                <w:rPr>
                  <w:rFonts w:ascii="Arial" w:cs="Arial" w:eastAsia="Arial" w:hAnsi="Arial"/>
                  <w:sz w:val="16"/>
                  <w:szCs w:val="16"/>
                  <w:color w:val="0000FF"/>
                  <w:w w:val="98"/>
                </w:rPr>
                <w:t>Amended and Restated Employment Agreement entered into between HomeTrust Bancshares, Inc. and Dana L.</w:t>
              </w:r>
            </w:hyperlink>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1"/>
              </w:rPr>
              <w:t>(g)</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72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85"/>
              </w:rPr>
            </w:pPr>
            <w:hyperlink r:id="rId71">
              <w:r>
                <w:rPr>
                  <w:rFonts w:ascii="Arial" w:cs="Arial" w:eastAsia="Arial" w:hAnsi="Arial"/>
                  <w:sz w:val="16"/>
                  <w:szCs w:val="16"/>
                  <w:color w:val="0000FF"/>
                  <w:w w:val="85"/>
                </w:rPr>
                <w:t>Stonestreet</w:t>
              </w:r>
            </w:hyperlink>
          </w:p>
        </w:tc>
        <w:tc>
          <w:tcPr>
            <w:tcW w:w="6520" w:type="dxa"/>
            <w:vAlign w:val="bottom"/>
            <w:tcBorders>
              <w:top w:val="single" w:sz="8" w:color="0000FF"/>
            </w:tcBorders>
            <w:gridSpan w:val="20"/>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10.3</w:t>
            </w:r>
          </w:p>
        </w:tc>
        <w:tc>
          <w:tcPr>
            <w:tcW w:w="7880" w:type="dxa"/>
            <w:vAlign w:val="bottom"/>
            <w:gridSpan w:val="32"/>
          </w:tcPr>
          <w:p>
            <w:pPr>
              <w:spacing w:after="0"/>
              <w:rPr>
                <w:rFonts w:ascii="Arial" w:cs="Arial" w:eastAsia="Arial" w:hAnsi="Arial"/>
                <w:sz w:val="16"/>
                <w:szCs w:val="16"/>
                <w:color w:val="0000FF"/>
                <w:w w:val="97"/>
              </w:rPr>
            </w:pPr>
            <w:hyperlink r:id="rId72">
              <w:r>
                <w:rPr>
                  <w:rFonts w:ascii="Arial" w:cs="Arial" w:eastAsia="Arial" w:hAnsi="Arial"/>
                  <w:sz w:val="16"/>
                  <w:szCs w:val="16"/>
                  <w:color w:val="0000FF"/>
                  <w:w w:val="97"/>
                </w:rPr>
                <w:t>Amended and Restated Employment Agreement entered into between HomeTrust Bancshares, Inc. and C. Hunter</w:t>
              </w:r>
            </w:hyperlink>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1"/>
              </w:rPr>
              <w:t>(g)</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70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8"/>
              </w:rPr>
            </w:pPr>
            <w:hyperlink r:id="rId72">
              <w:r>
                <w:rPr>
                  <w:rFonts w:ascii="Arial" w:cs="Arial" w:eastAsia="Arial" w:hAnsi="Arial"/>
                  <w:sz w:val="16"/>
                  <w:szCs w:val="16"/>
                  <w:color w:val="0000FF"/>
                  <w:w w:val="88"/>
                </w:rPr>
                <w:t>Westbrook</w:t>
              </w:r>
            </w:hyperlink>
          </w:p>
        </w:tc>
        <w:tc>
          <w:tcPr>
            <w:tcW w:w="6660" w:type="dxa"/>
            <w:vAlign w:val="bottom"/>
            <w:tcBorders>
              <w:top w:val="single" w:sz="8" w:color="0000FF"/>
            </w:tcBorders>
            <w:gridSpan w:val="23"/>
          </w:tcPr>
          <w:p>
            <w:pPr>
              <w:spacing w:after="0"/>
              <w:rPr>
                <w:sz w:val="12"/>
                <w:szCs w:val="12"/>
                <w:color w:val="auto"/>
              </w:rPr>
            </w:pPr>
          </w:p>
        </w:tc>
        <w:tc>
          <w:tcPr>
            <w:tcW w:w="400" w:type="dxa"/>
            <w:vAlign w:val="bottom"/>
            <w:gridSpan w:val="5"/>
          </w:tcPr>
          <w:p>
            <w:pPr>
              <w:spacing w:after="0"/>
              <w:rPr>
                <w:sz w:val="12"/>
                <w:szCs w:val="12"/>
                <w:color w:val="auto"/>
              </w:rPr>
            </w:pPr>
          </w:p>
        </w:tc>
        <w:tc>
          <w:tcPr>
            <w:tcW w:w="6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5"/>
              </w:rPr>
              <w:t>10.3A</w:t>
            </w:r>
          </w:p>
        </w:tc>
        <w:tc>
          <w:tcPr>
            <w:tcW w:w="7880" w:type="dxa"/>
            <w:vAlign w:val="bottom"/>
            <w:gridSpan w:val="32"/>
          </w:tcPr>
          <w:p>
            <w:pPr>
              <w:spacing w:after="0"/>
              <w:rPr>
                <w:rFonts w:ascii="Arial" w:cs="Arial" w:eastAsia="Arial" w:hAnsi="Arial"/>
                <w:sz w:val="16"/>
                <w:szCs w:val="16"/>
                <w:color w:val="0000FF"/>
                <w:w w:val="91"/>
              </w:rPr>
            </w:pPr>
            <w:hyperlink r:id="rId73">
              <w:r>
                <w:rPr>
                  <w:rFonts w:ascii="Arial" w:cs="Arial" w:eastAsia="Arial" w:hAnsi="Arial"/>
                  <w:sz w:val="16"/>
                  <w:szCs w:val="16"/>
                  <w:color w:val="0000FF"/>
                  <w:w w:val="91"/>
                </w:rPr>
                <w:t>Amendment No. 1 to Amended and Restated Employment Agreement entered into between HomeTrust Bancshares, Inc.</w:t>
              </w:r>
            </w:hyperlink>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1"/>
              </w:rPr>
              <w:t>(h)</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782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73">
              <w:r>
                <w:rPr>
                  <w:rFonts w:ascii="Arial" w:cs="Arial" w:eastAsia="Arial" w:hAnsi="Arial"/>
                  <w:sz w:val="16"/>
                  <w:szCs w:val="16"/>
                  <w:color w:val="0000FF"/>
                </w:rPr>
                <w:t>and C. Hunter Westbrook</w:t>
              </w:r>
            </w:hyperlink>
          </w:p>
        </w:tc>
        <w:tc>
          <w:tcPr>
            <w:tcW w:w="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5"/>
              </w:rPr>
              <w:t>10.3B</w:t>
            </w:r>
          </w:p>
        </w:tc>
        <w:tc>
          <w:tcPr>
            <w:tcW w:w="7880" w:type="dxa"/>
            <w:vAlign w:val="bottom"/>
            <w:gridSpan w:val="32"/>
          </w:tcPr>
          <w:p>
            <w:pPr>
              <w:spacing w:after="0"/>
              <w:rPr>
                <w:rFonts w:ascii="Arial" w:cs="Arial" w:eastAsia="Arial" w:hAnsi="Arial"/>
                <w:sz w:val="16"/>
                <w:szCs w:val="16"/>
                <w:color w:val="0000FF"/>
                <w:w w:val="98"/>
              </w:rPr>
            </w:pPr>
            <w:hyperlink r:id="rId74">
              <w:r>
                <w:rPr>
                  <w:rFonts w:ascii="Arial" w:cs="Arial" w:eastAsia="Arial" w:hAnsi="Arial"/>
                  <w:sz w:val="16"/>
                  <w:szCs w:val="16"/>
                  <w:color w:val="0000FF"/>
                  <w:w w:val="98"/>
                </w:rPr>
                <w:t>Amendment No. 2 dated as of October 27, 2020, to Amended and Restated Employment Agreement, dated as of</w:t>
              </w:r>
            </w:hyperlink>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8"/>
              </w:rPr>
              <w:t>(i)</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728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74">
              <w:r>
                <w:rPr>
                  <w:rFonts w:ascii="Arial" w:cs="Arial" w:eastAsia="Arial" w:hAnsi="Arial"/>
                  <w:sz w:val="16"/>
                  <w:szCs w:val="16"/>
                  <w:color w:val="0000FF"/>
                </w:rPr>
                <w:t>September 11, 2018, by and between the Company and C. Hunter Westbrook</w:t>
              </w:r>
            </w:hyperlink>
          </w:p>
        </w:tc>
        <w:tc>
          <w:tcPr>
            <w:tcW w:w="480" w:type="dxa"/>
            <w:vAlign w:val="bottom"/>
            <w:gridSpan w:val="6"/>
          </w:tcPr>
          <w:p>
            <w:pPr>
              <w:spacing w:after="0"/>
              <w:rPr>
                <w:sz w:val="12"/>
                <w:szCs w:val="12"/>
                <w:color w:val="auto"/>
              </w:rPr>
            </w:pPr>
          </w:p>
        </w:tc>
        <w:tc>
          <w:tcPr>
            <w:tcW w:w="120" w:type="dxa"/>
            <w:vAlign w:val="bottom"/>
            <w:gridSpan w:val="3"/>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10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3"/>
              </w:rPr>
              <w:t>10.3C</w:t>
            </w:r>
          </w:p>
        </w:tc>
        <w:tc>
          <w:tcPr>
            <w:tcW w:w="7880" w:type="dxa"/>
            <w:vAlign w:val="bottom"/>
            <w:gridSpan w:val="32"/>
          </w:tcPr>
          <w:p>
            <w:pPr>
              <w:spacing w:after="0"/>
              <w:rPr>
                <w:rFonts w:ascii="Arial" w:cs="Arial" w:eastAsia="Arial" w:hAnsi="Arial"/>
                <w:sz w:val="16"/>
                <w:szCs w:val="16"/>
                <w:color w:val="0000FF"/>
                <w:w w:val="92"/>
              </w:rPr>
            </w:pPr>
            <w:hyperlink r:id="rId75">
              <w:r>
                <w:rPr>
                  <w:rFonts w:ascii="Arial" w:cs="Arial" w:eastAsia="Arial" w:hAnsi="Arial"/>
                  <w:sz w:val="16"/>
                  <w:szCs w:val="16"/>
                  <w:color w:val="0000FF"/>
                  <w:w w:val="92"/>
                </w:rPr>
                <w:t>Amendment No. 3 dated as of July 26, 2021, to Amended and Restated Employment Agreement, dated as of September</w:t>
              </w:r>
            </w:hyperlink>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6"/>
              </w:rPr>
              <w:t>(c)</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4260" w:type="dxa"/>
            <w:vAlign w:val="bottom"/>
            <w:tcBorders>
              <w:top w:val="single" w:sz="8" w:color="0000FF"/>
              <w:bottom w:val="single" w:sz="8" w:color="0000FF"/>
            </w:tcBorders>
            <w:gridSpan w:val="16"/>
          </w:tcPr>
          <w:p>
            <w:pPr>
              <w:spacing w:after="0" w:line="142" w:lineRule="exact"/>
              <w:rPr>
                <w:rFonts w:ascii="Arial" w:cs="Arial" w:eastAsia="Arial" w:hAnsi="Arial"/>
                <w:sz w:val="16"/>
                <w:szCs w:val="16"/>
                <w:color w:val="0000FF"/>
                <w:w w:val="90"/>
              </w:rPr>
            </w:pPr>
            <w:hyperlink r:id="rId75">
              <w:r>
                <w:rPr>
                  <w:rFonts w:ascii="Arial" w:cs="Arial" w:eastAsia="Arial" w:hAnsi="Arial"/>
                  <w:sz w:val="16"/>
                  <w:szCs w:val="16"/>
                  <w:color w:val="0000FF"/>
                  <w:w w:val="90"/>
                </w:rPr>
                <w:t>11, 2018, by and between the Company and C. Hunter Westbrook</w:t>
              </w:r>
            </w:hyperlink>
          </w:p>
        </w:tc>
        <w:tc>
          <w:tcPr>
            <w:tcW w:w="3500" w:type="dxa"/>
            <w:vAlign w:val="bottom"/>
            <w:tcBorders>
              <w:top w:val="single" w:sz="8" w:color="0000FF"/>
            </w:tcBorders>
            <w:gridSpan w:val="13"/>
          </w:tcPr>
          <w:p>
            <w:pPr>
              <w:spacing w:after="0"/>
              <w:rPr>
                <w:sz w:val="12"/>
                <w:szCs w:val="12"/>
                <w:color w:val="auto"/>
              </w:rPr>
            </w:pPr>
          </w:p>
        </w:tc>
        <w:tc>
          <w:tcPr>
            <w:tcW w:w="120" w:type="dxa"/>
            <w:vAlign w:val="bottom"/>
            <w:gridSpan w:val="3"/>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10.4</w:t>
            </w:r>
          </w:p>
        </w:tc>
        <w:tc>
          <w:tcPr>
            <w:tcW w:w="7880" w:type="dxa"/>
            <w:vAlign w:val="bottom"/>
            <w:gridSpan w:val="32"/>
          </w:tcPr>
          <w:p>
            <w:pPr>
              <w:spacing w:after="0"/>
              <w:rPr>
                <w:rFonts w:ascii="Arial" w:cs="Arial" w:eastAsia="Arial" w:hAnsi="Arial"/>
                <w:sz w:val="16"/>
                <w:szCs w:val="16"/>
                <w:color w:val="0000FF"/>
                <w:w w:val="99"/>
              </w:rPr>
            </w:pPr>
            <w:hyperlink r:id="rId76">
              <w:r>
                <w:rPr>
                  <w:rFonts w:ascii="Arial" w:cs="Arial" w:eastAsia="Arial" w:hAnsi="Arial"/>
                  <w:sz w:val="16"/>
                  <w:szCs w:val="16"/>
                  <w:color w:val="0000FF"/>
                  <w:w w:val="99"/>
                </w:rPr>
                <w:t>Amended and Restated Employment Agreement entered into between HomeTrust Bancshares,Inc. and Tony J.</w:t>
              </w:r>
            </w:hyperlink>
          </w:p>
        </w:tc>
        <w:tc>
          <w:tcPr>
            <w:tcW w:w="1880" w:type="dxa"/>
            <w:vAlign w:val="bottom"/>
            <w:vMerge w:val="restart"/>
          </w:tcPr>
          <w:p>
            <w:pPr>
              <w:jc w:val="center"/>
              <w:spacing w:after="0"/>
              <w:rPr>
                <w:sz w:val="20"/>
                <w:szCs w:val="20"/>
                <w:color w:val="auto"/>
              </w:rPr>
            </w:pPr>
            <w:r>
              <w:rPr>
                <w:rFonts w:ascii="Arial" w:cs="Arial" w:eastAsia="Arial" w:hAnsi="Arial"/>
                <w:sz w:val="16"/>
                <w:szCs w:val="16"/>
                <w:color w:val="auto"/>
                <w:w w:val="91"/>
              </w:rPr>
              <w:t>(g)</w:t>
            </w: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780" w:type="dxa"/>
            <w:vAlign w:val="bottom"/>
            <w:tcBorders>
              <w:top w:val="single" w:sz="8" w:color="0000FF"/>
              <w:bottom w:val="single" w:sz="8" w:color="0000FF"/>
            </w:tcBorders>
            <w:gridSpan w:val="3"/>
          </w:tcPr>
          <w:p>
            <w:pPr>
              <w:spacing w:after="0" w:line="142" w:lineRule="exact"/>
              <w:rPr>
                <w:rFonts w:ascii="Arial" w:cs="Arial" w:eastAsia="Arial" w:hAnsi="Arial"/>
                <w:sz w:val="16"/>
                <w:szCs w:val="16"/>
                <w:color w:val="0000FF"/>
                <w:w w:val="89"/>
              </w:rPr>
            </w:pPr>
            <w:hyperlink r:id="rId76">
              <w:r>
                <w:rPr>
                  <w:rFonts w:ascii="Arial" w:cs="Arial" w:eastAsia="Arial" w:hAnsi="Arial"/>
                  <w:sz w:val="16"/>
                  <w:szCs w:val="16"/>
                  <w:color w:val="0000FF"/>
                  <w:w w:val="89"/>
                </w:rPr>
                <w:t>VunCannon</w:t>
              </w:r>
            </w:hyperlink>
          </w:p>
        </w:tc>
        <w:tc>
          <w:tcPr>
            <w:tcW w:w="6380" w:type="dxa"/>
            <w:vAlign w:val="bottom"/>
            <w:tcBorders>
              <w:top w:val="single" w:sz="8" w:color="0000FF"/>
            </w:tcBorders>
            <w:gridSpan w:val="17"/>
          </w:tcPr>
          <w:p>
            <w:pPr>
              <w:spacing w:after="0"/>
              <w:rPr>
                <w:sz w:val="12"/>
                <w:szCs w:val="12"/>
                <w:color w:val="auto"/>
              </w:rPr>
            </w:pPr>
          </w:p>
        </w:tc>
        <w:tc>
          <w:tcPr>
            <w:tcW w:w="720" w:type="dxa"/>
            <w:vAlign w:val="bottom"/>
            <w:gridSpan w:val="12"/>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10.5</w:t>
            </w:r>
          </w:p>
        </w:tc>
        <w:tc>
          <w:tcPr>
            <w:tcW w:w="5940" w:type="dxa"/>
            <w:vAlign w:val="bottom"/>
            <w:tcBorders>
              <w:bottom w:val="single" w:sz="8" w:color="0000FF"/>
            </w:tcBorders>
            <w:gridSpan w:val="19"/>
          </w:tcPr>
          <w:p>
            <w:pPr>
              <w:spacing w:after="0"/>
              <w:rPr>
                <w:rFonts w:ascii="Arial" w:cs="Arial" w:eastAsia="Arial" w:hAnsi="Arial"/>
                <w:sz w:val="16"/>
                <w:szCs w:val="16"/>
                <w:color w:val="0000FF"/>
                <w:w w:val="92"/>
              </w:rPr>
            </w:pPr>
            <w:hyperlink r:id="rId77">
              <w:r>
                <w:rPr>
                  <w:rFonts w:ascii="Arial" w:cs="Arial" w:eastAsia="Arial" w:hAnsi="Arial"/>
                  <w:sz w:val="16"/>
                  <w:szCs w:val="16"/>
                  <w:color w:val="0000FF"/>
                  <w:w w:val="92"/>
                </w:rPr>
                <w:t>HomeTrust Bank Executive Supplemental Retirement Income Master Agreement ("SERP")</w:t>
              </w:r>
            </w:hyperlink>
          </w:p>
        </w:tc>
        <w:tc>
          <w:tcPr>
            <w:tcW w:w="1940" w:type="dxa"/>
            <w:vAlign w:val="bottom"/>
            <w:gridSpan w:val="13"/>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1820" w:type="dxa"/>
            <w:vAlign w:val="bottom"/>
            <w:tcBorders>
              <w:bottom w:val="single" w:sz="8" w:color="0000FF"/>
            </w:tcBorders>
            <w:gridSpan w:val="7"/>
          </w:tcPr>
          <w:p>
            <w:pPr>
              <w:spacing w:after="0"/>
              <w:rPr>
                <w:rFonts w:ascii="Arial" w:cs="Arial" w:eastAsia="Arial" w:hAnsi="Arial"/>
                <w:sz w:val="16"/>
                <w:szCs w:val="16"/>
                <w:color w:val="0000FF"/>
                <w:w w:val="92"/>
              </w:rPr>
            </w:pPr>
            <w:hyperlink w:anchor="page54">
              <w:r>
                <w:rPr>
                  <w:rFonts w:ascii="Arial" w:cs="Arial" w:eastAsia="Arial" w:hAnsi="Arial"/>
                  <w:sz w:val="16"/>
                  <w:szCs w:val="16"/>
                  <w:color w:val="0000FF"/>
                  <w:w w:val="92"/>
                </w:rPr>
                <w:t>Amendment No. 1 to SERP</w:t>
              </w:r>
            </w:hyperlink>
          </w:p>
        </w:tc>
        <w:tc>
          <w:tcPr>
            <w:tcW w:w="6060" w:type="dxa"/>
            <w:vAlign w:val="bottom"/>
            <w:gridSpan w:val="25"/>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89"/>
              </w:rPr>
              <w:t>10.6</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89"/>
              </w:rPr>
              <w:t>10.7</w:t>
            </w:r>
          </w:p>
        </w:tc>
        <w:tc>
          <w:tcPr>
            <w:tcW w:w="1800" w:type="dxa"/>
            <w:vAlign w:val="bottom"/>
            <w:tcBorders>
              <w:bottom w:val="single" w:sz="8" w:color="0000FF"/>
            </w:tcBorders>
            <w:gridSpan w:val="6"/>
          </w:tcPr>
          <w:p>
            <w:pPr>
              <w:spacing w:after="0"/>
              <w:rPr>
                <w:rFonts w:ascii="Arial" w:cs="Arial" w:eastAsia="Arial" w:hAnsi="Arial"/>
                <w:sz w:val="16"/>
                <w:szCs w:val="16"/>
                <w:color w:val="0000FF"/>
                <w:w w:val="91"/>
              </w:rPr>
            </w:pPr>
            <w:hyperlink r:id="rId78">
              <w:r>
                <w:rPr>
                  <w:rFonts w:ascii="Arial" w:cs="Arial" w:eastAsia="Arial" w:hAnsi="Arial"/>
                  <w:sz w:val="16"/>
                  <w:szCs w:val="16"/>
                  <w:color w:val="0000FF"/>
                  <w:w w:val="91"/>
                </w:rPr>
                <w:t>Amendment No. 2 to SERP</w:t>
              </w:r>
            </w:hyperlink>
          </w:p>
        </w:tc>
        <w:tc>
          <w:tcPr>
            <w:tcW w:w="6080" w:type="dxa"/>
            <w:vAlign w:val="bottom"/>
            <w:gridSpan w:val="26"/>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(q)</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5"/>
              </w:rPr>
              <w:t>10.7A</w:t>
            </w:r>
          </w:p>
        </w:tc>
        <w:tc>
          <w:tcPr>
            <w:tcW w:w="3540" w:type="dxa"/>
            <w:vAlign w:val="bottom"/>
            <w:tcBorders>
              <w:bottom w:val="single" w:sz="8" w:color="0000FF"/>
            </w:tcBorders>
            <w:gridSpan w:val="14"/>
          </w:tcPr>
          <w:p>
            <w:pPr>
              <w:spacing w:after="0"/>
              <w:rPr>
                <w:rFonts w:ascii="Arial" w:cs="Arial" w:eastAsia="Arial" w:hAnsi="Arial"/>
                <w:sz w:val="16"/>
                <w:szCs w:val="16"/>
                <w:color w:val="0000FF"/>
                <w:w w:val="91"/>
              </w:rPr>
            </w:pPr>
            <w:hyperlink r:id="rId79">
              <w:r>
                <w:rPr>
                  <w:rFonts w:ascii="Arial" w:cs="Arial" w:eastAsia="Arial" w:hAnsi="Arial"/>
                  <w:sz w:val="16"/>
                  <w:szCs w:val="16"/>
                  <w:color w:val="0000FF"/>
                  <w:w w:val="91"/>
                </w:rPr>
                <w:t>SERP Joinder Agreement for F. Edward Broadwell, Jr.</w:t>
              </w:r>
            </w:hyperlink>
          </w:p>
        </w:tc>
        <w:tc>
          <w:tcPr>
            <w:tcW w:w="4340" w:type="dxa"/>
            <w:vAlign w:val="bottom"/>
            <w:gridSpan w:val="18"/>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5"/>
              </w:rPr>
              <w:t>10.7B</w:t>
            </w:r>
          </w:p>
        </w:tc>
        <w:tc>
          <w:tcPr>
            <w:tcW w:w="3220" w:type="dxa"/>
            <w:vAlign w:val="bottom"/>
            <w:tcBorders>
              <w:bottom w:val="single" w:sz="8" w:color="0000FF"/>
            </w:tcBorders>
            <w:gridSpan w:val="12"/>
          </w:tcPr>
          <w:p>
            <w:pPr>
              <w:spacing w:after="0"/>
              <w:rPr>
                <w:rFonts w:ascii="Arial" w:cs="Arial" w:eastAsia="Arial" w:hAnsi="Arial"/>
                <w:sz w:val="16"/>
                <w:szCs w:val="16"/>
                <w:color w:val="0000FF"/>
                <w:w w:val="90"/>
              </w:rPr>
            </w:pPr>
            <w:hyperlink r:id="rId80">
              <w:r>
                <w:rPr>
                  <w:rFonts w:ascii="Arial" w:cs="Arial" w:eastAsia="Arial" w:hAnsi="Arial"/>
                  <w:sz w:val="16"/>
                  <w:szCs w:val="16"/>
                  <w:color w:val="0000FF"/>
                  <w:w w:val="90"/>
                </w:rPr>
                <w:t>SERP Joinder Agreement for Dana L. Stonestreet</w:t>
              </w:r>
            </w:hyperlink>
          </w:p>
        </w:tc>
        <w:tc>
          <w:tcPr>
            <w:tcW w:w="4660" w:type="dxa"/>
            <w:vAlign w:val="bottom"/>
            <w:gridSpan w:val="20"/>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3"/>
              </w:rPr>
              <w:t>10.7C</w:t>
            </w:r>
          </w:p>
        </w:tc>
        <w:tc>
          <w:tcPr>
            <w:tcW w:w="3220" w:type="dxa"/>
            <w:vAlign w:val="bottom"/>
            <w:tcBorders>
              <w:bottom w:val="single" w:sz="8" w:color="0000FF"/>
            </w:tcBorders>
            <w:gridSpan w:val="12"/>
          </w:tcPr>
          <w:p>
            <w:pPr>
              <w:spacing w:after="0"/>
              <w:rPr>
                <w:rFonts w:ascii="Arial" w:cs="Arial" w:eastAsia="Arial" w:hAnsi="Arial"/>
                <w:sz w:val="16"/>
                <w:szCs w:val="16"/>
                <w:color w:val="0000FF"/>
                <w:w w:val="90"/>
              </w:rPr>
            </w:pPr>
            <w:hyperlink r:id="rId81">
              <w:r>
                <w:rPr>
                  <w:rFonts w:ascii="Arial" w:cs="Arial" w:eastAsia="Arial" w:hAnsi="Arial"/>
                  <w:sz w:val="16"/>
                  <w:szCs w:val="16"/>
                  <w:color w:val="0000FF"/>
                  <w:w w:val="90"/>
                </w:rPr>
                <w:t>SERP Joinder Agreement for Tony J. VunCannon</w:t>
              </w:r>
            </w:hyperlink>
          </w:p>
        </w:tc>
        <w:tc>
          <w:tcPr>
            <w:tcW w:w="4660" w:type="dxa"/>
            <w:vAlign w:val="bottom"/>
            <w:gridSpan w:val="20"/>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3"/>
              </w:rPr>
              <w:t>10.7D</w:t>
            </w:r>
          </w:p>
        </w:tc>
        <w:tc>
          <w:tcPr>
            <w:tcW w:w="3260" w:type="dxa"/>
            <w:vAlign w:val="bottom"/>
            <w:tcBorders>
              <w:bottom w:val="single" w:sz="8" w:color="0000FF"/>
            </w:tcBorders>
            <w:gridSpan w:val="13"/>
          </w:tcPr>
          <w:p>
            <w:pPr>
              <w:spacing w:after="0"/>
              <w:rPr>
                <w:rFonts w:ascii="Arial" w:cs="Arial" w:eastAsia="Arial" w:hAnsi="Arial"/>
                <w:sz w:val="16"/>
                <w:szCs w:val="16"/>
                <w:color w:val="0000FF"/>
                <w:w w:val="92"/>
              </w:rPr>
            </w:pPr>
            <w:hyperlink r:id="rId82">
              <w:r>
                <w:rPr>
                  <w:rFonts w:ascii="Arial" w:cs="Arial" w:eastAsia="Arial" w:hAnsi="Arial"/>
                  <w:sz w:val="16"/>
                  <w:szCs w:val="16"/>
                  <w:color w:val="0000FF"/>
                  <w:w w:val="92"/>
                </w:rPr>
                <w:t>SERP Joinder Agreement for Howard L. Sellinger</w:t>
              </w:r>
            </w:hyperlink>
          </w:p>
        </w:tc>
        <w:tc>
          <w:tcPr>
            <w:tcW w:w="4620" w:type="dxa"/>
            <w:vAlign w:val="bottom"/>
            <w:gridSpan w:val="19"/>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0"/>
              </w:rPr>
              <w:t>10.7E</w:t>
            </w:r>
          </w:p>
        </w:tc>
        <w:tc>
          <w:tcPr>
            <w:tcW w:w="7880" w:type="dxa"/>
            <w:vAlign w:val="bottom"/>
            <w:gridSpan w:val="32"/>
          </w:tcPr>
          <w:p>
            <w:pPr>
              <w:spacing w:after="0"/>
              <w:rPr>
                <w:rFonts w:ascii="Arial" w:cs="Arial" w:eastAsia="Arial" w:hAnsi="Arial"/>
                <w:sz w:val="16"/>
                <w:szCs w:val="16"/>
                <w:color w:val="0000FF"/>
              </w:rPr>
            </w:pPr>
            <w:hyperlink r:id="rId82">
              <w:r>
                <w:rPr>
                  <w:rFonts w:ascii="Arial" w:cs="Arial" w:eastAsia="Arial" w:hAnsi="Arial"/>
                  <w:sz w:val="16"/>
                  <w:szCs w:val="16"/>
                  <w:color w:val="0000FF"/>
                </w:rPr>
                <w:t>SERP Joinder Agreement for Stan Allen</w:t>
              </w:r>
            </w:hyperlink>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620" w:type="dxa"/>
            <w:vAlign w:val="bottom"/>
            <w:gridSpan w:val="11"/>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620" w:type="dxa"/>
            <w:vAlign w:val="bottom"/>
            <w:gridSpan w:val="19"/>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Pr>
          <w:p>
            <w:pPr>
              <w:jc w:val="center"/>
              <w:spacing w:after="0"/>
              <w:rPr>
                <w:sz w:val="20"/>
                <w:szCs w:val="20"/>
                <w:color w:val="auto"/>
              </w:rPr>
            </w:pPr>
            <w:r>
              <w:rPr>
                <w:rFonts w:ascii="Arial" w:cs="Arial" w:eastAsia="Arial" w:hAnsi="Arial"/>
                <w:sz w:val="16"/>
                <w:szCs w:val="16"/>
                <w:color w:val="auto"/>
                <w:w w:val="92"/>
              </w:rPr>
              <w:t>10.7F</w:t>
            </w:r>
          </w:p>
        </w:tc>
        <w:tc>
          <w:tcPr>
            <w:tcW w:w="3260" w:type="dxa"/>
            <w:vAlign w:val="bottom"/>
            <w:tcBorders>
              <w:bottom w:val="single" w:sz="8" w:color="0000FF"/>
            </w:tcBorders>
            <w:gridSpan w:val="13"/>
          </w:tcPr>
          <w:p>
            <w:pPr>
              <w:spacing w:after="0"/>
              <w:rPr>
                <w:rFonts w:ascii="Arial" w:cs="Arial" w:eastAsia="Arial" w:hAnsi="Arial"/>
                <w:sz w:val="16"/>
                <w:szCs w:val="16"/>
                <w:color w:val="0000FF"/>
                <w:w w:val="91"/>
              </w:rPr>
            </w:pPr>
            <w:hyperlink r:id="rId83">
              <w:r>
                <w:rPr>
                  <w:rFonts w:ascii="Arial" w:cs="Arial" w:eastAsia="Arial" w:hAnsi="Arial"/>
                  <w:sz w:val="16"/>
                  <w:szCs w:val="16"/>
                  <w:color w:val="0000FF"/>
                  <w:w w:val="91"/>
                </w:rPr>
                <w:t>SERP Joinder Agreement for Sidney A. Biesecker</w:t>
              </w:r>
            </w:hyperlink>
          </w:p>
        </w:tc>
        <w:tc>
          <w:tcPr>
            <w:tcW w:w="4620" w:type="dxa"/>
            <w:vAlign w:val="bottom"/>
            <w:gridSpan w:val="19"/>
          </w:tcPr>
          <w:p>
            <w:pPr>
              <w:spacing w:after="0"/>
              <w:rPr>
                <w:sz w:val="17"/>
                <w:szCs w:val="17"/>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2" w:right="339" w:bottom="1440" w:gutter="0" w:footer="0" w:header="0"/>
        </w:sectPr>
      </w:pPr>
    </w:p>
    <w:bookmarkStart w:id="49" w:name="page50"/>
    <w:bookmarkEnd w:id="49"/>
    <w:tbl>
      <w:tblPr>
        <w:tblLayout w:type="fixed"/>
        <w:tblInd w:w="472" w:type="dxa"/>
        <w:tblCellMar>
          <w:top w:w="0" w:type="dxa"/>
          <w:left w:w="0" w:type="dxa"/>
          <w:bottom w:w="0" w:type="dxa"/>
          <w:right w:w="0" w:type="dxa"/>
        </w:tblCellMar>
      </w:tblPr>
      <w:tr>
        <w:trPr>
          <w:trHeight w:val="184"/>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1"/>
              </w:rPr>
              <w:t>10.7G</w:t>
            </w:r>
          </w:p>
        </w:tc>
        <w:tc>
          <w:tcPr>
            <w:tcW w:w="3120" w:type="dxa"/>
            <w:vAlign w:val="bottom"/>
            <w:tcBorders>
              <w:bottom w:val="single" w:sz="8" w:color="0000FF"/>
            </w:tcBorders>
            <w:gridSpan w:val="6"/>
          </w:tcPr>
          <w:p>
            <w:pPr>
              <w:spacing w:after="0"/>
              <w:rPr>
                <w:rFonts w:ascii="Arial" w:cs="Arial" w:eastAsia="Arial" w:hAnsi="Arial"/>
                <w:sz w:val="16"/>
                <w:szCs w:val="16"/>
                <w:color w:val="0000FF"/>
                <w:w w:val="92"/>
              </w:rPr>
            </w:pPr>
            <w:hyperlink r:id="rId85">
              <w:r>
                <w:rPr>
                  <w:rFonts w:ascii="Arial" w:cs="Arial" w:eastAsia="Arial" w:hAnsi="Arial"/>
                  <w:sz w:val="16"/>
                  <w:szCs w:val="16"/>
                  <w:color w:val="0000FF"/>
                  <w:w w:val="92"/>
                </w:rPr>
                <w:t>SERP Joinder Agreement for Peggy C. Melville</w:t>
              </w:r>
            </w:hyperlink>
          </w:p>
        </w:tc>
        <w:tc>
          <w:tcPr>
            <w:tcW w:w="5080" w:type="dxa"/>
            <w:vAlign w:val="bottom"/>
            <w:gridSpan w:val="32"/>
          </w:tcPr>
          <w:p>
            <w:pPr>
              <w:spacing w:after="0"/>
              <w:rPr>
                <w:sz w:val="16"/>
                <w:szCs w:val="16"/>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3"/>
              </w:rPr>
              <w:t>10.7H</w:t>
            </w:r>
          </w:p>
        </w:tc>
        <w:tc>
          <w:tcPr>
            <w:tcW w:w="8200" w:type="dxa"/>
            <w:vAlign w:val="bottom"/>
            <w:gridSpan w:val="38"/>
          </w:tcPr>
          <w:p>
            <w:pPr>
              <w:spacing w:after="0"/>
              <w:rPr>
                <w:rFonts w:ascii="Arial" w:cs="Arial" w:eastAsia="Arial" w:hAnsi="Arial"/>
                <w:sz w:val="16"/>
                <w:szCs w:val="16"/>
                <w:color w:val="0000FF"/>
              </w:rPr>
            </w:pPr>
            <w:hyperlink r:id="rId82">
              <w:r>
                <w:rPr>
                  <w:rFonts w:ascii="Arial" w:cs="Arial" w:eastAsia="Arial" w:hAnsi="Arial"/>
                  <w:sz w:val="16"/>
                  <w:szCs w:val="16"/>
                  <w:color w:val="0000FF"/>
                </w:rPr>
                <w:t>SERP Joinder Agreement for William T. Flynt</w:t>
              </w:r>
            </w:hyperlink>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ind w:right="399"/>
              <w:spacing w:after="0"/>
              <w:rPr>
                <w:sz w:val="20"/>
                <w:szCs w:val="20"/>
                <w:color w:val="auto"/>
              </w:rPr>
            </w:pPr>
            <w:r>
              <w:rPr>
                <w:rFonts w:ascii="Arial" w:cs="Arial" w:eastAsia="Arial" w:hAnsi="Arial"/>
                <w:sz w:val="16"/>
                <w:szCs w:val="16"/>
                <w:color w:val="auto"/>
                <w:w w:val="95"/>
              </w:rPr>
              <w:t>10.7I</w:t>
            </w:r>
          </w:p>
        </w:tc>
        <w:tc>
          <w:tcPr>
            <w:tcW w:w="8200" w:type="dxa"/>
            <w:vAlign w:val="bottom"/>
            <w:gridSpan w:val="38"/>
          </w:tcPr>
          <w:p>
            <w:pPr>
              <w:spacing w:after="0"/>
              <w:rPr>
                <w:rFonts w:ascii="Arial" w:cs="Arial" w:eastAsia="Arial" w:hAnsi="Arial"/>
                <w:sz w:val="16"/>
                <w:szCs w:val="16"/>
                <w:color w:val="0000FF"/>
                <w:w w:val="96"/>
              </w:rPr>
            </w:pPr>
            <w:hyperlink r:id="rId86">
              <w:r>
                <w:rPr>
                  <w:rFonts w:ascii="Arial" w:cs="Arial" w:eastAsia="Arial" w:hAnsi="Arial"/>
                  <w:sz w:val="16"/>
                  <w:szCs w:val="16"/>
                  <w:color w:val="0000FF"/>
                  <w:w w:val="96"/>
                </w:rPr>
                <w:t>Amended and Restated Supplemental Income Agreement between HomeTrust Bank, as successor to Industrial Federal</w:t>
              </w:r>
            </w:hyperlink>
          </w:p>
        </w:tc>
        <w:tc>
          <w:tcPr>
            <w:tcW w:w="840" w:type="dxa"/>
            <w:vAlign w:val="bottom"/>
            <w:vMerge w:val="restart"/>
          </w:tcPr>
          <w:p>
            <w:pPr>
              <w:jc w:val="center"/>
              <w:ind w:left="299"/>
              <w:spacing w:after="0"/>
              <w:rPr>
                <w:sz w:val="20"/>
                <w:szCs w:val="20"/>
                <w:color w:val="auto"/>
              </w:rPr>
            </w:pPr>
            <w:r>
              <w:rPr>
                <w:rFonts w:ascii="Arial" w:cs="Arial" w:eastAsia="Arial" w:hAnsi="Arial"/>
                <w:sz w:val="16"/>
                <w:szCs w:val="16"/>
                <w:color w:val="auto"/>
                <w:w w:val="98"/>
              </w:rPr>
              <w:t>(j)</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238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0"/>
              </w:rPr>
            </w:pPr>
            <w:hyperlink r:id="rId86">
              <w:r>
                <w:rPr>
                  <w:rFonts w:ascii="Arial" w:cs="Arial" w:eastAsia="Arial" w:hAnsi="Arial"/>
                  <w:sz w:val="16"/>
                  <w:szCs w:val="16"/>
                  <w:color w:val="0000FF"/>
                  <w:w w:val="90"/>
                </w:rPr>
                <w:t>Savings Bank, and Sidney Biesecker</w:t>
              </w:r>
            </w:hyperlink>
          </w:p>
        </w:tc>
        <w:tc>
          <w:tcPr>
            <w:tcW w:w="5300" w:type="dxa"/>
            <w:vAlign w:val="bottom"/>
            <w:tcBorders>
              <w:top w:val="single" w:sz="8" w:color="0000FF"/>
            </w:tcBorders>
            <w:gridSpan w:val="30"/>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10.8</w:t>
            </w:r>
          </w:p>
        </w:tc>
        <w:tc>
          <w:tcPr>
            <w:tcW w:w="8200" w:type="dxa"/>
            <w:vAlign w:val="bottom"/>
            <w:gridSpan w:val="38"/>
          </w:tcPr>
          <w:p>
            <w:pPr>
              <w:spacing w:after="0"/>
              <w:rPr>
                <w:rFonts w:ascii="Arial" w:cs="Arial" w:eastAsia="Arial" w:hAnsi="Arial"/>
                <w:sz w:val="16"/>
                <w:szCs w:val="16"/>
                <w:color w:val="0000FF"/>
              </w:rPr>
            </w:pPr>
            <w:hyperlink r:id="rId87">
              <w:r>
                <w:rPr>
                  <w:rFonts w:ascii="Arial" w:cs="Arial" w:eastAsia="Arial" w:hAnsi="Arial"/>
                  <w:sz w:val="16"/>
                  <w:szCs w:val="16"/>
                  <w:color w:val="0000FF"/>
                </w:rPr>
                <w:t>HomeTrust Bank Director Emeritus Plan ("Director Emeritus Plan")</w:t>
              </w:r>
            </w:hyperlink>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5"/>
              </w:rPr>
              <w:t>10.8A</w:t>
            </w:r>
          </w:p>
        </w:tc>
        <w:tc>
          <w:tcPr>
            <w:tcW w:w="4120" w:type="dxa"/>
            <w:vAlign w:val="bottom"/>
            <w:tcBorders>
              <w:top w:val="single" w:sz="8" w:color="0000FF"/>
              <w:bottom w:val="single" w:sz="8" w:color="0000FF"/>
            </w:tcBorders>
            <w:gridSpan w:val="11"/>
          </w:tcPr>
          <w:p>
            <w:pPr>
              <w:spacing w:after="0"/>
              <w:rPr>
                <w:rFonts w:ascii="Arial" w:cs="Arial" w:eastAsia="Arial" w:hAnsi="Arial"/>
                <w:sz w:val="16"/>
                <w:szCs w:val="16"/>
                <w:color w:val="0000FF"/>
                <w:w w:val="93"/>
              </w:rPr>
            </w:pPr>
            <w:hyperlink r:id="rId88">
              <w:r>
                <w:rPr>
                  <w:rFonts w:ascii="Arial" w:cs="Arial" w:eastAsia="Arial" w:hAnsi="Arial"/>
                  <w:sz w:val="16"/>
                  <w:szCs w:val="16"/>
                  <w:color w:val="0000FF"/>
                  <w:w w:val="93"/>
                </w:rPr>
                <w:t>Director Emeritus Plan Joinder Agreement for William T. Flynt</w:t>
              </w:r>
            </w:hyperlink>
          </w:p>
        </w:tc>
        <w:tc>
          <w:tcPr>
            <w:tcW w:w="300" w:type="dxa"/>
            <w:vAlign w:val="bottom"/>
            <w:tcBorders>
              <w:top w:val="single" w:sz="8" w:color="0000FF"/>
            </w:tcBorders>
            <w:gridSpan w:val="5"/>
          </w:tcPr>
          <w:p>
            <w:pPr>
              <w:spacing w:after="0"/>
              <w:rPr>
                <w:sz w:val="17"/>
                <w:szCs w:val="17"/>
                <w:color w:val="auto"/>
              </w:rPr>
            </w:pPr>
          </w:p>
        </w:tc>
        <w:tc>
          <w:tcPr>
            <w:tcW w:w="3780" w:type="dxa"/>
            <w:vAlign w:val="bottom"/>
            <w:gridSpan w:val="22"/>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5"/>
              </w:rPr>
              <w:t>10.8B</w:t>
            </w:r>
          </w:p>
        </w:tc>
        <w:tc>
          <w:tcPr>
            <w:tcW w:w="4180" w:type="dxa"/>
            <w:vAlign w:val="bottom"/>
            <w:tcBorders>
              <w:bottom w:val="single" w:sz="8" w:color="0000FF"/>
            </w:tcBorders>
            <w:gridSpan w:val="12"/>
          </w:tcPr>
          <w:p>
            <w:pPr>
              <w:spacing w:after="0"/>
              <w:rPr>
                <w:rFonts w:ascii="Arial" w:cs="Arial" w:eastAsia="Arial" w:hAnsi="Arial"/>
                <w:sz w:val="16"/>
                <w:szCs w:val="16"/>
                <w:color w:val="0000FF"/>
                <w:w w:val="92"/>
              </w:rPr>
            </w:pPr>
            <w:hyperlink r:id="rId89">
              <w:r>
                <w:rPr>
                  <w:rFonts w:ascii="Arial" w:cs="Arial" w:eastAsia="Arial" w:hAnsi="Arial"/>
                  <w:sz w:val="16"/>
                  <w:szCs w:val="16"/>
                  <w:color w:val="0000FF"/>
                  <w:w w:val="92"/>
                </w:rPr>
                <w:t>Director Emeritus Plan Joinder Agreement for J. Steven Goforth</w:t>
              </w:r>
            </w:hyperlink>
          </w:p>
        </w:tc>
        <w:tc>
          <w:tcPr>
            <w:tcW w:w="4020" w:type="dxa"/>
            <w:vAlign w:val="bottom"/>
            <w:gridSpan w:val="26"/>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3"/>
              </w:rPr>
              <w:t>10.8C</w:t>
            </w:r>
          </w:p>
        </w:tc>
        <w:tc>
          <w:tcPr>
            <w:tcW w:w="8200" w:type="dxa"/>
            <w:vAlign w:val="bottom"/>
            <w:gridSpan w:val="38"/>
          </w:tcPr>
          <w:p>
            <w:pPr>
              <w:spacing w:after="0"/>
              <w:rPr>
                <w:rFonts w:ascii="Arial" w:cs="Arial" w:eastAsia="Arial" w:hAnsi="Arial"/>
                <w:sz w:val="16"/>
                <w:szCs w:val="16"/>
                <w:color w:val="0000FF"/>
              </w:rPr>
            </w:pPr>
            <w:hyperlink r:id="rId90">
              <w:r>
                <w:rPr>
                  <w:rFonts w:ascii="Arial" w:cs="Arial" w:eastAsia="Arial" w:hAnsi="Arial"/>
                  <w:sz w:val="16"/>
                  <w:szCs w:val="16"/>
                  <w:color w:val="0000FF"/>
                </w:rPr>
                <w:t>Director Emeritus Plan Joinder Agreement for Craig C. Koontz</w:t>
              </w:r>
            </w:hyperlink>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3"/>
              </w:rPr>
              <w:t>10.8D</w:t>
            </w:r>
          </w:p>
        </w:tc>
        <w:tc>
          <w:tcPr>
            <w:tcW w:w="4240" w:type="dxa"/>
            <w:vAlign w:val="bottom"/>
            <w:tcBorders>
              <w:bottom w:val="single" w:sz="8" w:color="0000FF"/>
            </w:tcBorders>
            <w:gridSpan w:val="14"/>
          </w:tcPr>
          <w:p>
            <w:pPr>
              <w:spacing w:after="0"/>
              <w:rPr>
                <w:rFonts w:ascii="Arial" w:cs="Arial" w:eastAsia="Arial" w:hAnsi="Arial"/>
                <w:sz w:val="16"/>
                <w:szCs w:val="16"/>
                <w:color w:val="0000FF"/>
                <w:w w:val="93"/>
              </w:rPr>
            </w:pPr>
            <w:hyperlink r:id="rId85">
              <w:r>
                <w:rPr>
                  <w:rFonts w:ascii="Arial" w:cs="Arial" w:eastAsia="Arial" w:hAnsi="Arial"/>
                  <w:sz w:val="16"/>
                  <w:szCs w:val="16"/>
                  <w:color w:val="0000FF"/>
                  <w:w w:val="93"/>
                </w:rPr>
                <w:t>Director Emeritus Plan Joinder Agreement for Larry S. McDevitt</w:t>
              </w:r>
            </w:hyperlink>
          </w:p>
        </w:tc>
        <w:tc>
          <w:tcPr>
            <w:tcW w:w="3960" w:type="dxa"/>
            <w:vAlign w:val="bottom"/>
            <w:gridSpan w:val="24"/>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980" w:type="dxa"/>
            <w:vAlign w:val="bottom"/>
          </w:tcPr>
          <w:p>
            <w:pPr>
              <w:jc w:val="center"/>
              <w:ind w:right="399"/>
              <w:spacing w:after="0"/>
              <w:rPr>
                <w:sz w:val="20"/>
                <w:szCs w:val="20"/>
                <w:color w:val="auto"/>
              </w:rPr>
            </w:pPr>
            <w:r>
              <w:rPr>
                <w:rFonts w:ascii="Arial" w:cs="Arial" w:eastAsia="Arial" w:hAnsi="Arial"/>
                <w:sz w:val="16"/>
                <w:szCs w:val="16"/>
                <w:color w:val="auto"/>
                <w:w w:val="90"/>
              </w:rPr>
              <w:t>10.8E</w:t>
            </w:r>
          </w:p>
        </w:tc>
        <w:tc>
          <w:tcPr>
            <w:tcW w:w="8200" w:type="dxa"/>
            <w:vAlign w:val="bottom"/>
            <w:gridSpan w:val="38"/>
          </w:tcPr>
          <w:p>
            <w:pPr>
              <w:spacing w:after="0"/>
              <w:rPr>
                <w:rFonts w:ascii="Arial" w:cs="Arial" w:eastAsia="Arial" w:hAnsi="Arial"/>
                <w:sz w:val="16"/>
                <w:szCs w:val="16"/>
                <w:color w:val="0000FF"/>
              </w:rPr>
            </w:pPr>
            <w:hyperlink r:id="rId91">
              <w:r>
                <w:rPr>
                  <w:rFonts w:ascii="Arial" w:cs="Arial" w:eastAsia="Arial" w:hAnsi="Arial"/>
                  <w:sz w:val="16"/>
                  <w:szCs w:val="16"/>
                  <w:color w:val="0000FF"/>
                </w:rPr>
                <w:t>Director Emeritus Plan Joinder Agreement for F.K. McFarland, III</w:t>
              </w:r>
            </w:hyperlink>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980" w:type="dxa"/>
            <w:vAlign w:val="bottom"/>
          </w:tcPr>
          <w:p>
            <w:pPr>
              <w:jc w:val="center"/>
              <w:ind w:right="399"/>
              <w:spacing w:after="0"/>
              <w:rPr>
                <w:sz w:val="20"/>
                <w:szCs w:val="20"/>
                <w:color w:val="auto"/>
              </w:rPr>
            </w:pPr>
            <w:r>
              <w:rPr>
                <w:rFonts w:ascii="Arial" w:cs="Arial" w:eastAsia="Arial" w:hAnsi="Arial"/>
                <w:sz w:val="16"/>
                <w:szCs w:val="16"/>
                <w:color w:val="auto"/>
                <w:w w:val="92"/>
              </w:rPr>
              <w:t>10.8F</w:t>
            </w:r>
          </w:p>
        </w:tc>
        <w:tc>
          <w:tcPr>
            <w:tcW w:w="4300" w:type="dxa"/>
            <w:vAlign w:val="bottom"/>
            <w:tcBorders>
              <w:top w:val="single" w:sz="8" w:color="0000FF"/>
            </w:tcBorders>
            <w:gridSpan w:val="15"/>
          </w:tcPr>
          <w:p>
            <w:pPr>
              <w:spacing w:after="0"/>
              <w:rPr>
                <w:rFonts w:ascii="Arial" w:cs="Arial" w:eastAsia="Arial" w:hAnsi="Arial"/>
                <w:sz w:val="16"/>
                <w:szCs w:val="16"/>
                <w:color w:val="0000FF"/>
                <w:w w:val="94"/>
              </w:rPr>
            </w:pPr>
            <w:hyperlink r:id="rId92">
              <w:r>
                <w:rPr>
                  <w:rFonts w:ascii="Arial" w:cs="Arial" w:eastAsia="Arial" w:hAnsi="Arial"/>
                  <w:sz w:val="16"/>
                  <w:szCs w:val="16"/>
                  <w:color w:val="0000FF"/>
                  <w:w w:val="94"/>
                </w:rPr>
                <w:t>Director Emeritus Plan Joinder Agreement for Peggy C. Melville</w:t>
              </w:r>
            </w:hyperlink>
          </w:p>
        </w:tc>
        <w:tc>
          <w:tcPr>
            <w:tcW w:w="3900" w:type="dxa"/>
            <w:vAlign w:val="bottom"/>
            <w:gridSpan w:val="23"/>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gridSpan w:val="4"/>
            <w:shd w:val="clear" w:color="auto" w:fill="0000FF"/>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1"/>
              </w:rPr>
              <w:t>10.8G</w:t>
            </w:r>
          </w:p>
        </w:tc>
        <w:tc>
          <w:tcPr>
            <w:tcW w:w="8200" w:type="dxa"/>
            <w:vAlign w:val="bottom"/>
            <w:gridSpan w:val="38"/>
          </w:tcPr>
          <w:p>
            <w:pPr>
              <w:spacing w:after="0"/>
              <w:rPr>
                <w:rFonts w:ascii="Arial" w:cs="Arial" w:eastAsia="Arial" w:hAnsi="Arial"/>
                <w:sz w:val="16"/>
                <w:szCs w:val="16"/>
                <w:color w:val="0000FF"/>
              </w:rPr>
            </w:pPr>
            <w:hyperlink r:id="rId93">
              <w:r>
                <w:rPr>
                  <w:rFonts w:ascii="Arial" w:cs="Arial" w:eastAsia="Arial" w:hAnsi="Arial"/>
                  <w:sz w:val="16"/>
                  <w:szCs w:val="16"/>
                  <w:color w:val="0000FF"/>
                </w:rPr>
                <w:t>Director Emeritus Plan Joinder Agreement for Robert E. Shepherd, Sr.</w:t>
              </w:r>
            </w:hyperlink>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10.9</w:t>
            </w:r>
          </w:p>
        </w:tc>
        <w:tc>
          <w:tcPr>
            <w:tcW w:w="4480" w:type="dxa"/>
            <w:vAlign w:val="bottom"/>
            <w:tcBorders>
              <w:top w:val="single" w:sz="8" w:color="0000FF"/>
              <w:bottom w:val="single" w:sz="8" w:color="0000FF"/>
            </w:tcBorders>
            <w:gridSpan w:val="17"/>
          </w:tcPr>
          <w:p>
            <w:pPr>
              <w:spacing w:after="0"/>
              <w:rPr>
                <w:rFonts w:ascii="Arial" w:cs="Arial" w:eastAsia="Arial" w:hAnsi="Arial"/>
                <w:sz w:val="16"/>
                <w:szCs w:val="16"/>
                <w:color w:val="0000FF"/>
                <w:w w:val="93"/>
              </w:rPr>
            </w:pPr>
            <w:hyperlink r:id="rId94">
              <w:r>
                <w:rPr>
                  <w:rFonts w:ascii="Arial" w:cs="Arial" w:eastAsia="Arial" w:hAnsi="Arial"/>
                  <w:sz w:val="16"/>
                  <w:szCs w:val="16"/>
                  <w:color w:val="0000FF"/>
                  <w:w w:val="93"/>
                </w:rPr>
                <w:t>HomeTrust Bank Defined Contribution Executive Medical Care Plan</w:t>
              </w:r>
            </w:hyperlink>
          </w:p>
        </w:tc>
        <w:tc>
          <w:tcPr>
            <w:tcW w:w="80" w:type="dxa"/>
            <w:vAlign w:val="bottom"/>
            <w:tcBorders>
              <w:top w:val="single" w:sz="8" w:color="0000FF"/>
            </w:tcBorders>
          </w:tcPr>
          <w:p>
            <w:pPr>
              <w:spacing w:after="0"/>
              <w:rPr>
                <w:sz w:val="17"/>
                <w:szCs w:val="17"/>
                <w:color w:val="auto"/>
              </w:rPr>
            </w:pPr>
          </w:p>
        </w:tc>
        <w:tc>
          <w:tcPr>
            <w:tcW w:w="3640" w:type="dxa"/>
            <w:vAlign w:val="bottom"/>
            <w:gridSpan w:val="20"/>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5"/>
              </w:rPr>
              <w:t>10.9A</w:t>
            </w:r>
          </w:p>
        </w:tc>
        <w:tc>
          <w:tcPr>
            <w:tcW w:w="8200" w:type="dxa"/>
            <w:vAlign w:val="bottom"/>
            <w:gridSpan w:val="38"/>
          </w:tcPr>
          <w:p>
            <w:pPr>
              <w:spacing w:after="0"/>
              <w:rPr>
                <w:rFonts w:ascii="Arial" w:cs="Arial" w:eastAsia="Arial" w:hAnsi="Arial"/>
                <w:sz w:val="16"/>
                <w:szCs w:val="16"/>
                <w:color w:val="0000FF"/>
              </w:rPr>
            </w:pPr>
            <w:hyperlink w:anchor="page57">
              <w:r>
                <w:rPr>
                  <w:rFonts w:ascii="Arial" w:cs="Arial" w:eastAsia="Arial" w:hAnsi="Arial"/>
                  <w:sz w:val="16"/>
                  <w:szCs w:val="16"/>
                  <w:color w:val="0000FF"/>
                </w:rPr>
                <w:t>Amendment No. 1 to HomeTrust Bank Defined Contribution Executive Medical Care Plan</w:t>
              </w:r>
            </w:hyperlink>
          </w:p>
        </w:tc>
        <w:tc>
          <w:tcPr>
            <w:tcW w:w="840" w:type="dxa"/>
            <w:vAlign w:val="bottom"/>
          </w:tcPr>
          <w:p>
            <w:pPr>
              <w:jc w:val="center"/>
              <w:ind w:left="279"/>
              <w:spacing w:after="0"/>
              <w:rPr>
                <w:sz w:val="20"/>
                <w:szCs w:val="20"/>
                <w:color w:val="auto"/>
              </w:rPr>
            </w:pPr>
            <w:r>
              <w:rPr>
                <w:rFonts w:ascii="Arial" w:cs="Arial" w:eastAsia="Arial" w:hAnsi="Arial"/>
                <w:sz w:val="16"/>
                <w:szCs w:val="16"/>
                <w:color w:val="auto"/>
                <w:w w:val="95"/>
              </w:rPr>
              <w:t>10.9A</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60" w:type="dxa"/>
            <w:vAlign w:val="bottom"/>
            <w:gridSpan w:val="10"/>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5"/>
              </w:rPr>
              <w:t>10.9B</w:t>
            </w:r>
          </w:p>
        </w:tc>
        <w:tc>
          <w:tcPr>
            <w:tcW w:w="8200" w:type="dxa"/>
            <w:vAlign w:val="bottom"/>
            <w:gridSpan w:val="38"/>
          </w:tcPr>
          <w:p>
            <w:pPr>
              <w:spacing w:after="0"/>
              <w:rPr>
                <w:rFonts w:ascii="Arial" w:cs="Arial" w:eastAsia="Arial" w:hAnsi="Arial"/>
                <w:sz w:val="16"/>
                <w:szCs w:val="16"/>
                <w:color w:val="0000FF"/>
              </w:rPr>
            </w:pPr>
            <w:hyperlink w:anchor="page52">
              <w:r>
                <w:rPr>
                  <w:rFonts w:ascii="Arial" w:cs="Arial" w:eastAsia="Arial" w:hAnsi="Arial"/>
                  <w:sz w:val="16"/>
                  <w:szCs w:val="16"/>
                  <w:color w:val="0000FF"/>
                </w:rPr>
                <w:t>Form of Joinder Agreement Under the HomeTrust Bank Defined Contribution Executive Medical Care Plan</w:t>
              </w:r>
            </w:hyperlink>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0"/>
              </w:rPr>
              <w:t>10.9B</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10.10</w:t>
            </w:r>
          </w:p>
        </w:tc>
        <w:tc>
          <w:tcPr>
            <w:tcW w:w="3400" w:type="dxa"/>
            <w:vAlign w:val="bottom"/>
            <w:tcBorders>
              <w:top w:val="single" w:sz="8" w:color="0000FF"/>
              <w:bottom w:val="single" w:sz="8" w:color="0000FF"/>
            </w:tcBorders>
            <w:gridSpan w:val="7"/>
          </w:tcPr>
          <w:p>
            <w:pPr>
              <w:spacing w:after="0"/>
              <w:rPr>
                <w:rFonts w:ascii="Arial" w:cs="Arial" w:eastAsia="Arial" w:hAnsi="Arial"/>
                <w:sz w:val="16"/>
                <w:szCs w:val="16"/>
                <w:color w:val="0000FF"/>
                <w:w w:val="91"/>
              </w:rPr>
            </w:pPr>
            <w:hyperlink r:id="rId95">
              <w:r>
                <w:rPr>
                  <w:rFonts w:ascii="Arial" w:cs="Arial" w:eastAsia="Arial" w:hAnsi="Arial"/>
                  <w:sz w:val="16"/>
                  <w:szCs w:val="16"/>
                  <w:color w:val="0000FF"/>
                  <w:w w:val="91"/>
                </w:rPr>
                <w:t>HomeTrust Bank 2005 Deferred Compensation Plan</w:t>
              </w:r>
            </w:hyperlink>
          </w:p>
        </w:tc>
        <w:tc>
          <w:tcPr>
            <w:tcW w:w="3600" w:type="dxa"/>
            <w:vAlign w:val="bottom"/>
            <w:tcBorders>
              <w:top w:val="single" w:sz="8" w:color="0000FF"/>
            </w:tcBorders>
            <w:gridSpan w:val="23"/>
          </w:tcPr>
          <w:p>
            <w:pPr>
              <w:spacing w:after="0"/>
              <w:rPr>
                <w:sz w:val="17"/>
                <w:szCs w:val="17"/>
                <w:color w:val="auto"/>
              </w:rPr>
            </w:pPr>
          </w:p>
        </w:tc>
        <w:tc>
          <w:tcPr>
            <w:tcW w:w="1200" w:type="dxa"/>
            <w:vAlign w:val="bottom"/>
            <w:gridSpan w:val="8"/>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4"/>
              </w:rPr>
              <w:t>10.10A</w:t>
            </w:r>
          </w:p>
        </w:tc>
        <w:tc>
          <w:tcPr>
            <w:tcW w:w="8200" w:type="dxa"/>
            <w:vAlign w:val="bottom"/>
            <w:gridSpan w:val="38"/>
          </w:tcPr>
          <w:p>
            <w:pPr>
              <w:spacing w:after="0"/>
              <w:rPr>
                <w:rFonts w:ascii="Arial" w:cs="Arial" w:eastAsia="Arial" w:hAnsi="Arial"/>
                <w:sz w:val="16"/>
                <w:szCs w:val="16"/>
                <w:color w:val="0000FF"/>
              </w:rPr>
            </w:pPr>
            <w:hyperlink w:anchor="page59">
              <w:r>
                <w:rPr>
                  <w:rFonts w:ascii="Arial" w:cs="Arial" w:eastAsia="Arial" w:hAnsi="Arial"/>
                  <w:sz w:val="16"/>
                  <w:szCs w:val="16"/>
                  <w:color w:val="0000FF"/>
                </w:rPr>
                <w:t>Amendment No. 1 to HomeTrust Bank 2005 Deferred Compensation Plan</w:t>
              </w:r>
            </w:hyperlink>
          </w:p>
        </w:tc>
        <w:tc>
          <w:tcPr>
            <w:tcW w:w="840" w:type="dxa"/>
            <w:vAlign w:val="bottom"/>
          </w:tcPr>
          <w:p>
            <w:pPr>
              <w:jc w:val="center"/>
              <w:ind w:left="279"/>
              <w:spacing w:after="0"/>
              <w:rPr>
                <w:sz w:val="20"/>
                <w:szCs w:val="20"/>
                <w:color w:val="auto"/>
              </w:rPr>
            </w:pPr>
            <w:r>
              <w:rPr>
                <w:rFonts w:ascii="Arial" w:cs="Arial" w:eastAsia="Arial" w:hAnsi="Arial"/>
                <w:sz w:val="16"/>
                <w:szCs w:val="16"/>
                <w:color w:val="auto"/>
                <w:w w:val="94"/>
              </w:rPr>
              <w:t>10.10A</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10.11</w:t>
            </w:r>
          </w:p>
        </w:tc>
        <w:tc>
          <w:tcPr>
            <w:tcW w:w="4800" w:type="dxa"/>
            <w:vAlign w:val="bottom"/>
            <w:tcBorders>
              <w:top w:val="single" w:sz="8" w:color="0000FF"/>
            </w:tcBorders>
            <w:gridSpan w:val="19"/>
          </w:tcPr>
          <w:p>
            <w:pPr>
              <w:spacing w:after="0"/>
              <w:rPr>
                <w:rFonts w:ascii="Arial" w:cs="Arial" w:eastAsia="Arial" w:hAnsi="Arial"/>
                <w:sz w:val="16"/>
                <w:szCs w:val="16"/>
                <w:color w:val="0000FF"/>
              </w:rPr>
            </w:pPr>
            <w:hyperlink r:id="rId96">
              <w:r>
                <w:rPr>
                  <w:rFonts w:ascii="Arial" w:cs="Arial" w:eastAsia="Arial" w:hAnsi="Arial"/>
                  <w:sz w:val="16"/>
                  <w:szCs w:val="16"/>
                  <w:color w:val="0000FF"/>
                </w:rPr>
                <w:t>HomeTrust Bank Pre-2005 Deferred Compensation Plan</w:t>
              </w:r>
            </w:hyperlink>
          </w:p>
        </w:tc>
        <w:tc>
          <w:tcPr>
            <w:tcW w:w="3400" w:type="dxa"/>
            <w:vAlign w:val="bottom"/>
            <w:gridSpan w:val="19"/>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(a)</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20" w:type="dxa"/>
            <w:vAlign w:val="bottom"/>
            <w:gridSpan w:val="5"/>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94"/>
              </w:rPr>
              <w:t>10.11A</w:t>
            </w:r>
          </w:p>
        </w:tc>
        <w:tc>
          <w:tcPr>
            <w:tcW w:w="5080" w:type="dxa"/>
            <w:vAlign w:val="bottom"/>
            <w:tcBorders>
              <w:bottom w:val="single" w:sz="8" w:color="0000FF"/>
            </w:tcBorders>
            <w:gridSpan w:val="21"/>
          </w:tcPr>
          <w:p>
            <w:pPr>
              <w:spacing w:after="0"/>
              <w:rPr>
                <w:rFonts w:ascii="Arial" w:cs="Arial" w:eastAsia="Arial" w:hAnsi="Arial"/>
                <w:sz w:val="16"/>
                <w:szCs w:val="16"/>
                <w:color w:val="0000FF"/>
                <w:w w:val="91"/>
              </w:rPr>
            </w:pPr>
            <w:hyperlink w:anchor="page62">
              <w:r>
                <w:rPr>
                  <w:rFonts w:ascii="Arial" w:cs="Arial" w:eastAsia="Arial" w:hAnsi="Arial"/>
                  <w:sz w:val="16"/>
                  <w:szCs w:val="16"/>
                  <w:color w:val="0000FF"/>
                  <w:w w:val="91"/>
                </w:rPr>
                <w:t>Amendment No. 1 to HomeTrust Bank Pre-2005 Deferred Compensation Plan</w:t>
              </w:r>
            </w:hyperlink>
          </w:p>
        </w:tc>
        <w:tc>
          <w:tcPr>
            <w:tcW w:w="3120" w:type="dxa"/>
            <w:vAlign w:val="bottom"/>
            <w:gridSpan w:val="17"/>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0"/>
              </w:rPr>
              <w:t>10.11A</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10.12</w:t>
            </w:r>
          </w:p>
        </w:tc>
        <w:tc>
          <w:tcPr>
            <w:tcW w:w="5680" w:type="dxa"/>
            <w:vAlign w:val="bottom"/>
            <w:tcBorders>
              <w:bottom w:val="single" w:sz="8" w:color="0000FF"/>
            </w:tcBorders>
            <w:gridSpan w:val="26"/>
          </w:tcPr>
          <w:p>
            <w:pPr>
              <w:spacing w:after="0"/>
              <w:rPr>
                <w:rFonts w:ascii="Arial" w:cs="Arial" w:eastAsia="Arial" w:hAnsi="Arial"/>
                <w:sz w:val="16"/>
                <w:szCs w:val="16"/>
                <w:color w:val="0000FF"/>
                <w:w w:val="92"/>
              </w:rPr>
            </w:pPr>
            <w:hyperlink r:id="rId97">
              <w:r>
                <w:rPr>
                  <w:rFonts w:ascii="Arial" w:cs="Arial" w:eastAsia="Arial" w:hAnsi="Arial"/>
                  <w:sz w:val="16"/>
                  <w:szCs w:val="16"/>
                  <w:color w:val="0000FF"/>
                  <w:w w:val="92"/>
                </w:rPr>
                <w:t>HomeTrust Bancshares, Inc. 2013 Omnibus Incentive Plan ("Omnibus Incentive Plan")</w:t>
              </w:r>
            </w:hyperlink>
          </w:p>
        </w:tc>
        <w:tc>
          <w:tcPr>
            <w:tcW w:w="2520" w:type="dxa"/>
            <w:vAlign w:val="bottom"/>
            <w:gridSpan w:val="12"/>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6"/>
              </w:rPr>
              <w:t>(k)</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10.13</w:t>
            </w:r>
          </w:p>
        </w:tc>
        <w:tc>
          <w:tcPr>
            <w:tcW w:w="8200" w:type="dxa"/>
            <w:vAlign w:val="bottom"/>
            <w:gridSpan w:val="38"/>
          </w:tcPr>
          <w:p>
            <w:pPr>
              <w:spacing w:after="0"/>
              <w:rPr>
                <w:rFonts w:ascii="Arial" w:cs="Arial" w:eastAsia="Arial" w:hAnsi="Arial"/>
                <w:sz w:val="16"/>
                <w:szCs w:val="16"/>
                <w:color w:val="0000FF"/>
              </w:rPr>
            </w:pPr>
            <w:hyperlink r:id="rId98">
              <w:r>
                <w:rPr>
                  <w:rFonts w:ascii="Arial" w:cs="Arial" w:eastAsia="Arial" w:hAnsi="Arial"/>
                  <w:sz w:val="16"/>
                  <w:szCs w:val="16"/>
                  <w:color w:val="0000FF"/>
                </w:rPr>
                <w:t>Form of Incentive Stock Option Award Agreement under Omnibus Incentive Plan</w:t>
              </w:r>
            </w:hyperlink>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8"/>
              </w:rPr>
              <w:t>(l)</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0" w:type="dxa"/>
            <w:vAlign w:val="bottom"/>
            <w:gridSpan w:val="6"/>
            <w:shd w:val="clear" w:color="auto" w:fill="0000FF"/>
          </w:tcPr>
          <w:p>
            <w:pPr>
              <w:spacing w:after="0" w:line="20" w:lineRule="exact"/>
              <w:rPr>
                <w:sz w:val="1"/>
                <w:szCs w:val="1"/>
                <w:color w:val="auto"/>
              </w:rPr>
            </w:pPr>
          </w:p>
        </w:tc>
        <w:tc>
          <w:tcPr>
            <w:tcW w:w="1040" w:type="dxa"/>
            <w:vAlign w:val="bottom"/>
            <w:gridSpan w:val="11"/>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10.14</w:t>
            </w:r>
          </w:p>
        </w:tc>
        <w:tc>
          <w:tcPr>
            <w:tcW w:w="5660" w:type="dxa"/>
            <w:vAlign w:val="bottom"/>
            <w:tcBorders>
              <w:bottom w:val="single" w:sz="8" w:color="0000FF"/>
            </w:tcBorders>
            <w:gridSpan w:val="25"/>
          </w:tcPr>
          <w:p>
            <w:pPr>
              <w:spacing w:after="0"/>
              <w:rPr>
                <w:rFonts w:ascii="Arial" w:cs="Arial" w:eastAsia="Arial" w:hAnsi="Arial"/>
                <w:sz w:val="16"/>
                <w:szCs w:val="16"/>
                <w:color w:val="0000FF"/>
                <w:w w:val="93"/>
              </w:rPr>
            </w:pPr>
            <w:hyperlink r:id="rId99">
              <w:r>
                <w:rPr>
                  <w:rFonts w:ascii="Arial" w:cs="Arial" w:eastAsia="Arial" w:hAnsi="Arial"/>
                  <w:sz w:val="16"/>
                  <w:szCs w:val="16"/>
                  <w:color w:val="0000FF"/>
                  <w:w w:val="93"/>
                </w:rPr>
                <w:t>Form of Non-Qualified Stock Option Award Agreement under Omnibus Incentive Plan</w:t>
              </w:r>
            </w:hyperlink>
          </w:p>
        </w:tc>
        <w:tc>
          <w:tcPr>
            <w:tcW w:w="2540" w:type="dxa"/>
            <w:vAlign w:val="bottom"/>
            <w:gridSpan w:val="13"/>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8"/>
              </w:rPr>
              <w:t>(l)</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10.15</w:t>
            </w:r>
          </w:p>
        </w:tc>
        <w:tc>
          <w:tcPr>
            <w:tcW w:w="8200" w:type="dxa"/>
            <w:vAlign w:val="bottom"/>
            <w:gridSpan w:val="38"/>
          </w:tcPr>
          <w:p>
            <w:pPr>
              <w:spacing w:after="0"/>
              <w:rPr>
                <w:rFonts w:ascii="Arial" w:cs="Arial" w:eastAsia="Arial" w:hAnsi="Arial"/>
                <w:sz w:val="16"/>
                <w:szCs w:val="16"/>
                <w:color w:val="0000FF"/>
              </w:rPr>
            </w:pPr>
            <w:hyperlink r:id="rId100">
              <w:r>
                <w:rPr>
                  <w:rFonts w:ascii="Arial" w:cs="Arial" w:eastAsia="Arial" w:hAnsi="Arial"/>
                  <w:sz w:val="16"/>
                  <w:szCs w:val="16"/>
                  <w:color w:val="0000FF"/>
                </w:rPr>
                <w:t>Form of Stock Appreciation Right Award Agreement under Omnibus Incentive Plan</w:t>
              </w:r>
            </w:hyperlink>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8"/>
              </w:rPr>
              <w:t>(l)</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10.16</w:t>
            </w:r>
          </w:p>
        </w:tc>
        <w:tc>
          <w:tcPr>
            <w:tcW w:w="4880" w:type="dxa"/>
            <w:vAlign w:val="bottom"/>
            <w:tcBorders>
              <w:top w:val="single" w:sz="8" w:color="0000FF"/>
              <w:bottom w:val="single" w:sz="8" w:color="0000FF"/>
            </w:tcBorders>
            <w:gridSpan w:val="20"/>
          </w:tcPr>
          <w:p>
            <w:pPr>
              <w:spacing w:after="0"/>
              <w:rPr>
                <w:rFonts w:ascii="Arial" w:cs="Arial" w:eastAsia="Arial" w:hAnsi="Arial"/>
                <w:sz w:val="16"/>
                <w:szCs w:val="16"/>
                <w:color w:val="0000FF"/>
                <w:w w:val="92"/>
              </w:rPr>
            </w:pPr>
            <w:hyperlink r:id="rId101">
              <w:r>
                <w:rPr>
                  <w:rFonts w:ascii="Arial" w:cs="Arial" w:eastAsia="Arial" w:hAnsi="Arial"/>
                  <w:sz w:val="16"/>
                  <w:szCs w:val="16"/>
                  <w:color w:val="0000FF"/>
                  <w:w w:val="92"/>
                </w:rPr>
                <w:t>Form of Restricted Stock Award Agreement under Omnibus Incentive Plan</w:t>
              </w:r>
            </w:hyperlink>
          </w:p>
        </w:tc>
        <w:tc>
          <w:tcPr>
            <w:tcW w:w="580" w:type="dxa"/>
            <w:vAlign w:val="bottom"/>
            <w:tcBorders>
              <w:top w:val="single" w:sz="8" w:color="0000FF"/>
            </w:tcBorders>
            <w:gridSpan w:val="4"/>
          </w:tcPr>
          <w:p>
            <w:pPr>
              <w:spacing w:after="0"/>
              <w:rPr>
                <w:sz w:val="17"/>
                <w:szCs w:val="17"/>
                <w:color w:val="auto"/>
              </w:rPr>
            </w:pPr>
          </w:p>
        </w:tc>
        <w:tc>
          <w:tcPr>
            <w:tcW w:w="2740" w:type="dxa"/>
            <w:vAlign w:val="bottom"/>
            <w:gridSpan w:val="14"/>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8"/>
              </w:rPr>
              <w:t>(l)</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10.17</w:t>
            </w:r>
          </w:p>
        </w:tc>
        <w:tc>
          <w:tcPr>
            <w:tcW w:w="8200" w:type="dxa"/>
            <w:vAlign w:val="bottom"/>
            <w:gridSpan w:val="38"/>
          </w:tcPr>
          <w:p>
            <w:pPr>
              <w:spacing w:after="0"/>
              <w:rPr>
                <w:rFonts w:ascii="Arial" w:cs="Arial" w:eastAsia="Arial" w:hAnsi="Arial"/>
                <w:sz w:val="16"/>
                <w:szCs w:val="16"/>
                <w:color w:val="0000FF"/>
              </w:rPr>
            </w:pPr>
            <w:hyperlink r:id="rId102">
              <w:r>
                <w:rPr>
                  <w:rFonts w:ascii="Arial" w:cs="Arial" w:eastAsia="Arial" w:hAnsi="Arial"/>
                  <w:sz w:val="16"/>
                  <w:szCs w:val="16"/>
                  <w:color w:val="0000FF"/>
                </w:rPr>
                <w:t>Form of Restricted Stock Unit Award Agreement under Omnibus Incentive Plan</w:t>
              </w:r>
            </w:hyperlink>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8"/>
              </w:rPr>
              <w:t>(l)</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0" w:type="dxa"/>
            <w:vAlign w:val="bottom"/>
            <w:gridSpan w:val="6"/>
            <w:shd w:val="clear" w:color="auto" w:fill="0000FF"/>
          </w:tcPr>
          <w:p>
            <w:pPr>
              <w:spacing w:after="0" w:line="20" w:lineRule="exact"/>
              <w:rPr>
                <w:sz w:val="1"/>
                <w:szCs w:val="1"/>
                <w:color w:val="auto"/>
              </w:rPr>
            </w:pPr>
          </w:p>
        </w:tc>
        <w:tc>
          <w:tcPr>
            <w:tcW w:w="1360" w:type="dxa"/>
            <w:vAlign w:val="bottom"/>
            <w:gridSpan w:val="13"/>
            <w:shd w:val="clear" w:color="auto" w:fill="0000FF"/>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10.18</w:t>
            </w:r>
          </w:p>
        </w:tc>
        <w:tc>
          <w:tcPr>
            <w:tcW w:w="5720" w:type="dxa"/>
            <w:vAlign w:val="bottom"/>
            <w:tcBorders>
              <w:bottom w:val="single" w:sz="8" w:color="0000FF"/>
            </w:tcBorders>
            <w:gridSpan w:val="27"/>
          </w:tcPr>
          <w:p>
            <w:pPr>
              <w:spacing w:after="0"/>
              <w:rPr>
                <w:rFonts w:ascii="Arial" w:cs="Arial" w:eastAsia="Arial" w:hAnsi="Arial"/>
                <w:sz w:val="16"/>
                <w:szCs w:val="16"/>
                <w:color w:val="0000FF"/>
                <w:w w:val="89"/>
              </w:rPr>
            </w:pPr>
            <w:hyperlink r:id="rId103">
              <w:r>
                <w:rPr>
                  <w:rFonts w:ascii="Arial" w:cs="Arial" w:eastAsia="Arial" w:hAnsi="Arial"/>
                  <w:sz w:val="16"/>
                  <w:szCs w:val="16"/>
                  <w:color w:val="0000FF"/>
                  <w:w w:val="89"/>
                </w:rPr>
                <w:t>Agreement and General Release between HomeTrust Bancshares, Inc. and Paula Labian</w:t>
              </w:r>
            </w:hyperlink>
          </w:p>
        </w:tc>
        <w:tc>
          <w:tcPr>
            <w:tcW w:w="2480" w:type="dxa"/>
            <w:vAlign w:val="bottom"/>
            <w:gridSpan w:val="11"/>
          </w:tcPr>
          <w:p>
            <w:pPr>
              <w:spacing w:after="0"/>
              <w:rPr>
                <w:sz w:val="17"/>
                <w:szCs w:val="17"/>
                <w:color w:val="auto"/>
              </w:rPr>
            </w:pPr>
          </w:p>
        </w:tc>
        <w:tc>
          <w:tcPr>
            <w:tcW w:w="840" w:type="dxa"/>
            <w:vAlign w:val="bottom"/>
          </w:tcPr>
          <w:p>
            <w:pPr>
              <w:jc w:val="center"/>
              <w:ind w:left="279"/>
              <w:spacing w:after="0"/>
              <w:rPr>
                <w:sz w:val="20"/>
                <w:szCs w:val="20"/>
                <w:color w:val="auto"/>
              </w:rPr>
            </w:pPr>
            <w:r>
              <w:rPr>
                <w:rFonts w:ascii="Arial" w:cs="Arial" w:eastAsia="Arial" w:hAnsi="Arial"/>
                <w:sz w:val="16"/>
                <w:szCs w:val="16"/>
                <w:color w:val="auto"/>
              </w:rPr>
              <w:t>(f)</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10.19</w:t>
            </w:r>
          </w:p>
        </w:tc>
        <w:tc>
          <w:tcPr>
            <w:tcW w:w="8200" w:type="dxa"/>
            <w:vAlign w:val="bottom"/>
            <w:gridSpan w:val="38"/>
          </w:tcPr>
          <w:p>
            <w:pPr>
              <w:spacing w:after="0"/>
              <w:rPr>
                <w:rFonts w:ascii="Arial" w:cs="Arial" w:eastAsia="Arial" w:hAnsi="Arial"/>
                <w:sz w:val="16"/>
                <w:szCs w:val="16"/>
                <w:color w:val="0000FF"/>
                <w:w w:val="97"/>
              </w:rPr>
            </w:pPr>
            <w:hyperlink r:id="rId104">
              <w:r>
                <w:rPr>
                  <w:rFonts w:ascii="Arial" w:cs="Arial" w:eastAsia="Arial" w:hAnsi="Arial"/>
                  <w:sz w:val="16"/>
                  <w:szCs w:val="16"/>
                  <w:color w:val="0000FF"/>
                  <w:w w:val="97"/>
                </w:rPr>
                <w:t>Retirement Payment Agreement, dated as of September 1, 1987, between HomeTrust Bank and Larry S. McDevitt, as</w:t>
              </w:r>
            </w:hyperlink>
          </w:p>
        </w:tc>
        <w:tc>
          <w:tcPr>
            <w:tcW w:w="840" w:type="dxa"/>
            <w:vAlign w:val="bottom"/>
            <w:vMerge w:val="restart"/>
          </w:tcPr>
          <w:p>
            <w:pPr>
              <w:jc w:val="center"/>
              <w:ind w:left="299"/>
              <w:spacing w:after="0"/>
              <w:rPr>
                <w:sz w:val="20"/>
                <w:szCs w:val="20"/>
                <w:color w:val="auto"/>
              </w:rPr>
            </w:pPr>
            <w:r>
              <w:rPr>
                <w:rFonts w:ascii="Arial" w:cs="Arial" w:eastAsia="Arial" w:hAnsi="Arial"/>
                <w:sz w:val="16"/>
                <w:szCs w:val="16"/>
                <w:color w:val="auto"/>
                <w:w w:val="91"/>
              </w:rPr>
              <w:t>(m)</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764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04">
              <w:r>
                <w:rPr>
                  <w:rFonts w:ascii="Arial" w:cs="Arial" w:eastAsia="Arial" w:hAnsi="Arial"/>
                  <w:sz w:val="16"/>
                  <w:szCs w:val="16"/>
                  <w:color w:val="0000FF"/>
                </w:rPr>
                <w:t>amended</w:t>
              </w:r>
            </w:hyperlink>
          </w:p>
        </w:tc>
        <w:tc>
          <w:tcPr>
            <w:tcW w:w="6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2660" w:type="dxa"/>
            <w:vAlign w:val="bottom"/>
            <w:gridSpan w:val="2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10.20</w:t>
            </w:r>
          </w:p>
        </w:tc>
        <w:tc>
          <w:tcPr>
            <w:tcW w:w="6500" w:type="dxa"/>
            <w:vAlign w:val="bottom"/>
            <w:tcBorders>
              <w:bottom w:val="single" w:sz="8" w:color="0000FF"/>
            </w:tcBorders>
            <w:gridSpan w:val="29"/>
          </w:tcPr>
          <w:p>
            <w:pPr>
              <w:spacing w:after="0"/>
              <w:rPr>
                <w:rFonts w:ascii="Arial" w:cs="Arial" w:eastAsia="Arial" w:hAnsi="Arial"/>
                <w:sz w:val="16"/>
                <w:szCs w:val="16"/>
                <w:color w:val="0000FF"/>
                <w:w w:val="91"/>
              </w:rPr>
            </w:pPr>
            <w:hyperlink r:id="rId105">
              <w:r>
                <w:rPr>
                  <w:rFonts w:ascii="Arial" w:cs="Arial" w:eastAsia="Arial" w:hAnsi="Arial"/>
                  <w:sz w:val="16"/>
                  <w:szCs w:val="16"/>
                  <w:color w:val="0000FF"/>
                  <w:w w:val="91"/>
                </w:rPr>
                <w:t>Change in Control Severance Agreement between HomeTrust Bancshares, Inc. and Marty Caywood</w:t>
              </w:r>
            </w:hyperlink>
          </w:p>
        </w:tc>
        <w:tc>
          <w:tcPr>
            <w:tcW w:w="1700" w:type="dxa"/>
            <w:vAlign w:val="bottom"/>
            <w:gridSpan w:val="9"/>
          </w:tcPr>
          <w:p>
            <w:pPr>
              <w:spacing w:after="0"/>
              <w:rPr>
                <w:sz w:val="17"/>
                <w:szCs w:val="17"/>
                <w:color w:val="auto"/>
              </w:rPr>
            </w:pPr>
          </w:p>
        </w:tc>
        <w:tc>
          <w:tcPr>
            <w:tcW w:w="840" w:type="dxa"/>
            <w:vAlign w:val="bottom"/>
          </w:tcPr>
          <w:p>
            <w:pPr>
              <w:jc w:val="center"/>
              <w:ind w:left="299"/>
              <w:spacing w:after="0"/>
              <w:rPr>
                <w:sz w:val="20"/>
                <w:szCs w:val="20"/>
                <w:color w:val="auto"/>
              </w:rPr>
            </w:pPr>
            <w:r>
              <w:rPr>
                <w:rFonts w:ascii="Arial" w:cs="Arial" w:eastAsia="Arial" w:hAnsi="Arial"/>
                <w:sz w:val="16"/>
                <w:szCs w:val="16"/>
                <w:color w:val="auto"/>
                <w:w w:val="91"/>
              </w:rPr>
              <w:t>(n)</w:t>
            </w: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10.21</w:t>
            </w:r>
          </w:p>
        </w:tc>
        <w:tc>
          <w:tcPr>
            <w:tcW w:w="8200" w:type="dxa"/>
            <w:vAlign w:val="bottom"/>
            <w:gridSpan w:val="38"/>
          </w:tcPr>
          <w:p>
            <w:pPr>
              <w:spacing w:after="0"/>
              <w:rPr>
                <w:rFonts w:ascii="Arial" w:cs="Arial" w:eastAsia="Arial" w:hAnsi="Arial"/>
                <w:sz w:val="16"/>
                <w:szCs w:val="16"/>
                <w:color w:val="0000FF"/>
                <w:w w:val="99"/>
              </w:rPr>
            </w:pPr>
            <w:hyperlink r:id="rId106">
              <w:r>
                <w:rPr>
                  <w:rFonts w:ascii="Arial" w:cs="Arial" w:eastAsia="Arial" w:hAnsi="Arial"/>
                  <w:sz w:val="16"/>
                  <w:szCs w:val="16"/>
                  <w:color w:val="0000FF"/>
                  <w:w w:val="99"/>
                </w:rPr>
                <w:t>Amended and Restated Change in Control Severance Agreement between HomeTrust Bancshares, Inc. and Keith J.</w:t>
              </w:r>
            </w:hyperlink>
          </w:p>
        </w:tc>
        <w:tc>
          <w:tcPr>
            <w:tcW w:w="840" w:type="dxa"/>
            <w:vAlign w:val="bottom"/>
            <w:vMerge w:val="restart"/>
          </w:tcPr>
          <w:p>
            <w:pPr>
              <w:jc w:val="center"/>
              <w:ind w:left="299"/>
              <w:spacing w:after="0"/>
              <w:rPr>
                <w:sz w:val="20"/>
                <w:szCs w:val="20"/>
                <w:color w:val="auto"/>
              </w:rPr>
            </w:pPr>
            <w:r>
              <w:rPr>
                <w:rFonts w:ascii="Arial" w:cs="Arial" w:eastAsia="Arial" w:hAnsi="Arial"/>
                <w:sz w:val="16"/>
                <w:szCs w:val="16"/>
                <w:color w:val="auto"/>
                <w:w w:val="91"/>
              </w:rPr>
              <w:t>(g)</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7480" w:type="dxa"/>
            <w:vAlign w:val="bottom"/>
            <w:tcBorders>
              <w:top w:val="single" w:sz="8" w:color="0000FF"/>
            </w:tcBorders>
            <w:gridSpan w:val="31"/>
          </w:tcPr>
          <w:p>
            <w:pPr>
              <w:spacing w:after="0" w:line="142" w:lineRule="exact"/>
              <w:rPr>
                <w:rFonts w:ascii="Arial" w:cs="Arial" w:eastAsia="Arial" w:hAnsi="Arial"/>
                <w:sz w:val="16"/>
                <w:szCs w:val="16"/>
                <w:color w:val="0000FF"/>
              </w:rPr>
            </w:pPr>
            <w:hyperlink r:id="rId106">
              <w:r>
                <w:rPr>
                  <w:rFonts w:ascii="Arial" w:cs="Arial" w:eastAsia="Arial" w:hAnsi="Arial"/>
                  <w:sz w:val="16"/>
                  <w:szCs w:val="16"/>
                  <w:color w:val="0000FF"/>
                </w:rPr>
                <w:t>Houghton</w:t>
              </w:r>
            </w:hyperlink>
          </w:p>
        </w:tc>
        <w:tc>
          <w:tcPr>
            <w:tcW w:w="14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200" w:type="dxa"/>
            <w:vAlign w:val="bottom"/>
            <w:gridSpan w:val="6"/>
          </w:tcPr>
          <w:p>
            <w:pPr>
              <w:spacing w:after="0" w:line="20" w:lineRule="exact"/>
              <w:rPr>
                <w:sz w:val="1"/>
                <w:szCs w:val="1"/>
                <w:color w:val="auto"/>
              </w:rPr>
            </w:pPr>
          </w:p>
        </w:tc>
        <w:tc>
          <w:tcPr>
            <w:tcW w:w="3780" w:type="dxa"/>
            <w:vAlign w:val="bottom"/>
            <w:gridSpan w:val="2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10.22</w:t>
            </w:r>
          </w:p>
        </w:tc>
        <w:tc>
          <w:tcPr>
            <w:tcW w:w="8200" w:type="dxa"/>
            <w:vAlign w:val="bottom"/>
            <w:gridSpan w:val="38"/>
          </w:tcPr>
          <w:p>
            <w:pPr>
              <w:spacing w:after="0"/>
              <w:rPr>
                <w:rFonts w:ascii="Arial" w:cs="Arial" w:eastAsia="Arial" w:hAnsi="Arial"/>
                <w:sz w:val="16"/>
                <w:szCs w:val="16"/>
                <w:color w:val="0000FF"/>
                <w:w w:val="96"/>
              </w:rPr>
            </w:pPr>
            <w:hyperlink r:id="rId107">
              <w:r>
                <w:rPr>
                  <w:rFonts w:ascii="Arial" w:cs="Arial" w:eastAsia="Arial" w:hAnsi="Arial"/>
                  <w:sz w:val="16"/>
                  <w:szCs w:val="16"/>
                  <w:color w:val="0000FF"/>
                  <w:w w:val="96"/>
                </w:rPr>
                <w:t>Amended and Restated Change in Control Severance Agreement between HomeTrust Bancshares, Inc. and R. Parrish</w:t>
              </w:r>
            </w:hyperlink>
          </w:p>
        </w:tc>
        <w:tc>
          <w:tcPr>
            <w:tcW w:w="840" w:type="dxa"/>
            <w:vAlign w:val="bottom"/>
            <w:vMerge w:val="restart"/>
          </w:tcPr>
          <w:p>
            <w:pPr>
              <w:jc w:val="center"/>
              <w:ind w:left="299"/>
              <w:spacing w:after="0"/>
              <w:rPr>
                <w:sz w:val="20"/>
                <w:szCs w:val="20"/>
                <w:color w:val="auto"/>
              </w:rPr>
            </w:pPr>
            <w:r>
              <w:rPr>
                <w:rFonts w:ascii="Arial" w:cs="Arial" w:eastAsia="Arial" w:hAnsi="Arial"/>
                <w:sz w:val="16"/>
                <w:szCs w:val="16"/>
                <w:color w:val="auto"/>
                <w:w w:val="91"/>
              </w:rPr>
              <w:t>(o)</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762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07">
              <w:r>
                <w:rPr>
                  <w:rFonts w:ascii="Arial" w:cs="Arial" w:eastAsia="Arial" w:hAnsi="Arial"/>
                  <w:sz w:val="16"/>
                  <w:szCs w:val="16"/>
                  <w:color w:val="0000FF"/>
                </w:rPr>
                <w:t>Little</w:t>
              </w:r>
            </w:hyperlink>
          </w:p>
        </w:tc>
        <w:tc>
          <w:tcPr>
            <w:tcW w:w="8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3860" w:type="dxa"/>
            <w:vAlign w:val="bottom"/>
            <w:gridSpan w:val="2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31.1</w:t>
            </w:r>
          </w:p>
        </w:tc>
        <w:tc>
          <w:tcPr>
            <w:tcW w:w="8200" w:type="dxa"/>
            <w:vAlign w:val="bottom"/>
            <w:gridSpan w:val="38"/>
          </w:tcPr>
          <w:p>
            <w:pPr>
              <w:spacing w:after="0"/>
              <w:rPr>
                <w:rFonts w:ascii="Arial" w:cs="Arial" w:eastAsia="Arial" w:hAnsi="Arial"/>
                <w:sz w:val="16"/>
                <w:szCs w:val="16"/>
                <w:color w:val="0000FF"/>
                <w:w w:val="97"/>
              </w:rPr>
            </w:pPr>
            <w:hyperlink w:anchor="page65">
              <w:r>
                <w:rPr>
                  <w:rFonts w:ascii="Arial" w:cs="Arial" w:eastAsia="Arial" w:hAnsi="Arial"/>
                  <w:sz w:val="16"/>
                  <w:szCs w:val="16"/>
                  <w:color w:val="0000FF"/>
                  <w:w w:val="97"/>
                </w:rPr>
                <w:t>Certification of Chief Executive Officer pursuant to Securities Exchange Act Rules 13a-14(a) and 15d-14(a) as adopted</w:t>
              </w:r>
            </w:hyperlink>
          </w:p>
        </w:tc>
        <w:tc>
          <w:tcPr>
            <w:tcW w:w="840" w:type="dxa"/>
            <w:vAlign w:val="bottom"/>
            <w:vMerge w:val="restart"/>
          </w:tcPr>
          <w:p>
            <w:pPr>
              <w:jc w:val="center"/>
              <w:ind w:left="279"/>
              <w:spacing w:after="0"/>
              <w:rPr>
                <w:sz w:val="20"/>
                <w:szCs w:val="20"/>
                <w:color w:val="auto"/>
              </w:rPr>
            </w:pPr>
            <w:r>
              <w:rPr>
                <w:rFonts w:ascii="Arial" w:cs="Arial" w:eastAsia="Arial" w:hAnsi="Arial"/>
                <w:sz w:val="16"/>
                <w:szCs w:val="16"/>
                <w:color w:val="auto"/>
                <w:w w:val="89"/>
              </w:rPr>
              <w:t>31.1</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1"/>
              </w:rPr>
            </w:pPr>
            <w:hyperlink w:anchor="page65">
              <w:r>
                <w:rPr>
                  <w:rFonts w:ascii="Arial" w:cs="Arial" w:eastAsia="Arial" w:hAnsi="Arial"/>
                  <w:sz w:val="16"/>
                  <w:szCs w:val="16"/>
                  <w:color w:val="0000FF"/>
                  <w:w w:val="91"/>
                </w:rPr>
                <w:t>pursuant to Section 302 of the Sarbanes-Oxley Act of 2002</w:t>
              </w:r>
            </w:hyperlink>
          </w:p>
        </w:tc>
        <w:tc>
          <w:tcPr>
            <w:tcW w:w="3900" w:type="dxa"/>
            <w:vAlign w:val="bottom"/>
            <w:tcBorders>
              <w:top w:val="single" w:sz="8" w:color="0000FF"/>
            </w:tcBorders>
            <w:gridSpan w:val="27"/>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31.2</w:t>
            </w:r>
          </w:p>
        </w:tc>
        <w:tc>
          <w:tcPr>
            <w:tcW w:w="8200" w:type="dxa"/>
            <w:vAlign w:val="bottom"/>
            <w:gridSpan w:val="38"/>
          </w:tcPr>
          <w:p>
            <w:pPr>
              <w:spacing w:after="0"/>
              <w:rPr>
                <w:rFonts w:ascii="Arial" w:cs="Arial" w:eastAsia="Arial" w:hAnsi="Arial"/>
                <w:sz w:val="16"/>
                <w:szCs w:val="16"/>
                <w:color w:val="0000FF"/>
                <w:w w:val="98"/>
              </w:rPr>
            </w:pPr>
            <w:hyperlink w:anchor="page66">
              <w:r>
                <w:rPr>
                  <w:rFonts w:ascii="Arial" w:cs="Arial" w:eastAsia="Arial" w:hAnsi="Arial"/>
                  <w:sz w:val="16"/>
                  <w:szCs w:val="16"/>
                  <w:color w:val="0000FF"/>
                  <w:w w:val="98"/>
                </w:rPr>
                <w:t>Certification of Chief Financial Officer pursuant to Securities Exchange Act Rules 13a-14(a) and 15d-14(a) as adopted</w:t>
              </w:r>
            </w:hyperlink>
          </w:p>
        </w:tc>
        <w:tc>
          <w:tcPr>
            <w:tcW w:w="840" w:type="dxa"/>
            <w:vAlign w:val="bottom"/>
            <w:vMerge w:val="restart"/>
          </w:tcPr>
          <w:p>
            <w:pPr>
              <w:jc w:val="center"/>
              <w:ind w:left="279"/>
              <w:spacing w:after="0"/>
              <w:rPr>
                <w:sz w:val="20"/>
                <w:szCs w:val="20"/>
                <w:color w:val="auto"/>
              </w:rPr>
            </w:pPr>
            <w:r>
              <w:rPr>
                <w:rFonts w:ascii="Arial" w:cs="Arial" w:eastAsia="Arial" w:hAnsi="Arial"/>
                <w:sz w:val="16"/>
                <w:szCs w:val="16"/>
                <w:color w:val="auto"/>
                <w:w w:val="89"/>
              </w:rPr>
              <w:t>31.2</w:t>
            </w:r>
          </w:p>
        </w:tc>
        <w:tc>
          <w:tcPr>
            <w:tcW w:w="0" w:type="dxa"/>
            <w:vAlign w:val="bottom"/>
          </w:tcPr>
          <w:p>
            <w:pPr>
              <w:spacing w:after="0"/>
              <w:rPr>
                <w:sz w:val="1"/>
                <w:szCs w:val="1"/>
                <w:color w:val="auto"/>
              </w:rPr>
            </w:pPr>
          </w:p>
        </w:tc>
      </w:tr>
      <w:tr>
        <w:trPr>
          <w:trHeight w:val="142"/>
        </w:trPr>
        <w:tc>
          <w:tcPr>
            <w:tcW w:w="980" w:type="dxa"/>
            <w:vAlign w:val="bottom"/>
          </w:tcPr>
          <w:p>
            <w:pPr>
              <w:spacing w:after="0"/>
              <w:rPr>
                <w:sz w:val="12"/>
                <w:szCs w:val="12"/>
                <w:color w:val="auto"/>
              </w:rPr>
            </w:pPr>
          </w:p>
        </w:tc>
        <w:tc>
          <w:tcPr>
            <w:tcW w:w="3840" w:type="dxa"/>
            <w:vAlign w:val="bottom"/>
            <w:tcBorders>
              <w:top w:val="single" w:sz="8" w:color="0000FF"/>
              <w:bottom w:val="single" w:sz="8" w:color="0000FF"/>
            </w:tcBorders>
            <w:gridSpan w:val="9"/>
          </w:tcPr>
          <w:p>
            <w:pPr>
              <w:spacing w:after="0" w:line="142" w:lineRule="exact"/>
              <w:rPr>
                <w:rFonts w:ascii="Arial" w:cs="Arial" w:eastAsia="Arial" w:hAnsi="Arial"/>
                <w:sz w:val="16"/>
                <w:szCs w:val="16"/>
                <w:color w:val="0000FF"/>
                <w:w w:val="91"/>
              </w:rPr>
            </w:pPr>
            <w:hyperlink w:anchor="page66">
              <w:r>
                <w:rPr>
                  <w:rFonts w:ascii="Arial" w:cs="Arial" w:eastAsia="Arial" w:hAnsi="Arial"/>
                  <w:sz w:val="16"/>
                  <w:szCs w:val="16"/>
                  <w:color w:val="0000FF"/>
                  <w:w w:val="91"/>
                </w:rPr>
                <w:t>pursuant to Section 302 of the Sarbanes-Oxley Act of 2002</w:t>
              </w:r>
            </w:hyperlink>
          </w:p>
        </w:tc>
        <w:tc>
          <w:tcPr>
            <w:tcW w:w="3860" w:type="dxa"/>
            <w:vAlign w:val="bottom"/>
            <w:tcBorders>
              <w:top w:val="single" w:sz="8" w:color="0000FF"/>
            </w:tcBorders>
            <w:gridSpan w:val="26"/>
          </w:tcPr>
          <w:p>
            <w:pPr>
              <w:spacing w:after="0"/>
              <w:rPr>
                <w:sz w:val="12"/>
                <w:szCs w:val="12"/>
                <w:color w:val="auto"/>
              </w:rPr>
            </w:pPr>
          </w:p>
        </w:tc>
        <w:tc>
          <w:tcPr>
            <w:tcW w:w="80" w:type="dxa"/>
            <w:vAlign w:val="bottom"/>
            <w:gridSpan w:val="2"/>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0" w:type="dxa"/>
            <w:vAlign w:val="bottom"/>
            <w:vMerge w:val="restart"/>
          </w:tcPr>
          <w:p>
            <w:pPr>
              <w:jc w:val="center"/>
              <w:ind w:right="419"/>
              <w:spacing w:after="0"/>
              <w:rPr>
                <w:sz w:val="20"/>
                <w:szCs w:val="20"/>
                <w:color w:val="auto"/>
              </w:rPr>
            </w:pPr>
            <w:r>
              <w:rPr>
                <w:rFonts w:ascii="Arial" w:cs="Arial" w:eastAsia="Arial" w:hAnsi="Arial"/>
                <w:sz w:val="16"/>
                <w:szCs w:val="16"/>
                <w:color w:val="auto"/>
                <w:w w:val="89"/>
              </w:rPr>
              <w:t>32.0</w:t>
            </w:r>
          </w:p>
        </w:tc>
        <w:tc>
          <w:tcPr>
            <w:tcW w:w="8200" w:type="dxa"/>
            <w:vAlign w:val="bottom"/>
            <w:gridSpan w:val="38"/>
          </w:tcPr>
          <w:p>
            <w:pPr>
              <w:spacing w:after="0"/>
              <w:rPr>
                <w:rFonts w:ascii="Arial" w:cs="Arial" w:eastAsia="Arial" w:hAnsi="Arial"/>
                <w:sz w:val="16"/>
                <w:szCs w:val="16"/>
                <w:color w:val="0000FF"/>
                <w:w w:val="98"/>
              </w:rPr>
            </w:pPr>
            <w:hyperlink w:anchor="page67">
              <w:r>
                <w:rPr>
                  <w:rFonts w:ascii="Arial" w:cs="Arial" w:eastAsia="Arial" w:hAnsi="Arial"/>
                  <w:sz w:val="16"/>
                  <w:szCs w:val="16"/>
                  <w:color w:val="0000FF"/>
                  <w:w w:val="98"/>
                </w:rPr>
                <w:t>Certificate of Chief Executive Officer and Chief Financial Officer pursuant to Section 906 of the Sarbanes-Oxley Act of</w:t>
              </w:r>
            </w:hyperlink>
          </w:p>
        </w:tc>
        <w:tc>
          <w:tcPr>
            <w:tcW w:w="840" w:type="dxa"/>
            <w:vAlign w:val="bottom"/>
            <w:vMerge w:val="restart"/>
          </w:tcPr>
          <w:p>
            <w:pPr>
              <w:jc w:val="center"/>
              <w:ind w:left="279"/>
              <w:spacing w:after="0"/>
              <w:rPr>
                <w:sz w:val="20"/>
                <w:szCs w:val="20"/>
                <w:color w:val="auto"/>
              </w:rPr>
            </w:pPr>
            <w:r>
              <w:rPr>
                <w:rFonts w:ascii="Arial" w:cs="Arial" w:eastAsia="Arial" w:hAnsi="Arial"/>
                <w:sz w:val="16"/>
                <w:szCs w:val="16"/>
                <w:color w:val="auto"/>
                <w:w w:val="89"/>
              </w:rPr>
              <w:t>32.0</w:t>
            </w:r>
          </w:p>
        </w:tc>
        <w:tc>
          <w:tcPr>
            <w:tcW w:w="0" w:type="dxa"/>
            <w:vAlign w:val="bottom"/>
          </w:tcPr>
          <w:p>
            <w:pPr>
              <w:spacing w:after="0"/>
              <w:rPr>
                <w:sz w:val="1"/>
                <w:szCs w:val="1"/>
                <w:color w:val="auto"/>
              </w:rPr>
            </w:pPr>
          </w:p>
        </w:tc>
      </w:tr>
      <w:tr>
        <w:trPr>
          <w:trHeight w:val="142"/>
        </w:trPr>
        <w:tc>
          <w:tcPr>
            <w:tcW w:w="980" w:type="dxa"/>
            <w:vAlign w:val="bottom"/>
            <w:vMerge w:val="continue"/>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4"/>
              </w:rPr>
            </w:pPr>
            <w:hyperlink w:anchor="page67">
              <w:r>
                <w:rPr>
                  <w:rFonts w:ascii="Arial" w:cs="Arial" w:eastAsia="Arial" w:hAnsi="Arial"/>
                  <w:sz w:val="16"/>
                  <w:szCs w:val="16"/>
                  <w:color w:val="0000FF"/>
                  <w:w w:val="84"/>
                </w:rPr>
                <w:t>2002</w:t>
              </w:r>
            </w:hyperlink>
          </w:p>
        </w:tc>
        <w:tc>
          <w:tcPr>
            <w:tcW w:w="24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74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2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980" w:type="dxa"/>
            <w:vAlign w:val="bottom"/>
          </w:tcPr>
          <w:p>
            <w:pPr>
              <w:jc w:val="center"/>
              <w:ind w:right="419"/>
              <w:spacing w:after="0"/>
              <w:rPr>
                <w:sz w:val="20"/>
                <w:szCs w:val="20"/>
                <w:color w:val="auto"/>
              </w:rPr>
            </w:pPr>
            <w:r>
              <w:rPr>
                <w:rFonts w:ascii="Arial" w:cs="Arial" w:eastAsia="Arial" w:hAnsi="Arial"/>
                <w:sz w:val="16"/>
                <w:szCs w:val="16"/>
                <w:color w:val="auto"/>
                <w:w w:val="89"/>
              </w:rPr>
              <w:t>101</w:t>
            </w:r>
          </w:p>
        </w:tc>
        <w:tc>
          <w:tcPr>
            <w:tcW w:w="8200" w:type="dxa"/>
            <w:vAlign w:val="bottom"/>
            <w:gridSpan w:val="38"/>
          </w:tcPr>
          <w:p>
            <w:pPr>
              <w:spacing w:after="0"/>
              <w:rPr>
                <w:sz w:val="20"/>
                <w:szCs w:val="20"/>
                <w:color w:val="auto"/>
              </w:rPr>
            </w:pPr>
            <w:r>
              <w:rPr>
                <w:rFonts w:ascii="Arial" w:cs="Arial" w:eastAsia="Arial" w:hAnsi="Arial"/>
                <w:sz w:val="16"/>
                <w:szCs w:val="16"/>
                <w:color w:val="auto"/>
                <w:w w:val="98"/>
              </w:rPr>
              <w:t>The following materials from HomeTrust Bancshares' Quarterly Report on Form 10-Q for the quarter ended March 31,</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8200" w:type="dxa"/>
            <w:vAlign w:val="bottom"/>
            <w:gridSpan w:val="38"/>
          </w:tcPr>
          <w:p>
            <w:pPr>
              <w:spacing w:after="0" w:line="162" w:lineRule="exact"/>
              <w:rPr>
                <w:sz w:val="20"/>
                <w:szCs w:val="20"/>
                <w:color w:val="auto"/>
              </w:rPr>
            </w:pPr>
            <w:r>
              <w:rPr>
                <w:rFonts w:ascii="Arial" w:cs="Arial" w:eastAsia="Arial" w:hAnsi="Arial"/>
                <w:sz w:val="16"/>
                <w:szCs w:val="16"/>
                <w:color w:val="auto"/>
                <w:w w:val="96"/>
              </w:rPr>
              <w:t>2022, formatted in Extensible Business Reporting Language (XBRL): (a) Consolidated Balance Sheets; (b) Consolidated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80" w:type="dxa"/>
            <w:vAlign w:val="bottom"/>
          </w:tcPr>
          <w:p>
            <w:pPr>
              <w:spacing w:after="0"/>
              <w:rPr>
                <w:sz w:val="14"/>
                <w:szCs w:val="14"/>
                <w:color w:val="auto"/>
              </w:rPr>
            </w:pPr>
          </w:p>
        </w:tc>
        <w:tc>
          <w:tcPr>
            <w:tcW w:w="8200" w:type="dxa"/>
            <w:vAlign w:val="bottom"/>
            <w:gridSpan w:val="38"/>
          </w:tcPr>
          <w:p>
            <w:pPr>
              <w:spacing w:after="0" w:line="162" w:lineRule="exact"/>
              <w:rPr>
                <w:sz w:val="20"/>
                <w:szCs w:val="20"/>
                <w:color w:val="auto"/>
              </w:rPr>
            </w:pPr>
            <w:r>
              <w:rPr>
                <w:rFonts w:ascii="Arial" w:cs="Arial" w:eastAsia="Arial" w:hAnsi="Arial"/>
                <w:sz w:val="16"/>
                <w:szCs w:val="16"/>
                <w:color w:val="auto"/>
                <w:w w:val="95"/>
              </w:rPr>
              <w:t>Statements of Income; (c) Consolidated Statements of Comprehensive Income; (d) Consolidated Statements of Changes</w:t>
            </w:r>
          </w:p>
        </w:tc>
        <w:tc>
          <w:tcPr>
            <w:tcW w:w="840" w:type="dxa"/>
            <w:vAlign w:val="bottom"/>
            <w:vMerge w:val="restart"/>
          </w:tcPr>
          <w:p>
            <w:pPr>
              <w:jc w:val="center"/>
              <w:ind w:left="279"/>
              <w:spacing w:after="0"/>
              <w:rPr>
                <w:sz w:val="20"/>
                <w:szCs w:val="20"/>
                <w:color w:val="auto"/>
              </w:rPr>
            </w:pPr>
            <w:r>
              <w:rPr>
                <w:rFonts w:ascii="Arial" w:cs="Arial" w:eastAsia="Arial" w:hAnsi="Arial"/>
                <w:sz w:val="16"/>
                <w:szCs w:val="16"/>
                <w:color w:val="auto"/>
                <w:w w:val="89"/>
              </w:rPr>
              <w:t>101</w:t>
            </w:r>
          </w:p>
        </w:tc>
        <w:tc>
          <w:tcPr>
            <w:tcW w:w="0" w:type="dxa"/>
            <w:vAlign w:val="bottom"/>
          </w:tcPr>
          <w:p>
            <w:pPr>
              <w:spacing w:after="0"/>
              <w:rPr>
                <w:sz w:val="1"/>
                <w:szCs w:val="1"/>
                <w:color w:val="auto"/>
              </w:rPr>
            </w:pPr>
          </w:p>
        </w:tc>
      </w:tr>
      <w:tr>
        <w:trPr>
          <w:trHeight w:val="206"/>
        </w:trPr>
        <w:tc>
          <w:tcPr>
            <w:tcW w:w="980" w:type="dxa"/>
            <w:vAlign w:val="bottom"/>
          </w:tcPr>
          <w:p>
            <w:pPr>
              <w:spacing w:after="0"/>
              <w:rPr>
                <w:sz w:val="17"/>
                <w:szCs w:val="17"/>
                <w:color w:val="auto"/>
              </w:rPr>
            </w:pPr>
          </w:p>
        </w:tc>
        <w:tc>
          <w:tcPr>
            <w:tcW w:w="8200" w:type="dxa"/>
            <w:vAlign w:val="bottom"/>
            <w:gridSpan w:val="38"/>
          </w:tcPr>
          <w:p>
            <w:pPr>
              <w:spacing w:after="0"/>
              <w:rPr>
                <w:sz w:val="20"/>
                <w:szCs w:val="20"/>
                <w:color w:val="auto"/>
              </w:rPr>
            </w:pPr>
            <w:r>
              <w:rPr>
                <w:rFonts w:ascii="Arial" w:cs="Arial" w:eastAsia="Arial" w:hAnsi="Arial"/>
                <w:sz w:val="16"/>
                <w:szCs w:val="16"/>
                <w:color w:val="auto"/>
                <w:w w:val="95"/>
              </w:rPr>
              <w:t>in Stockholders' Equity; (e) Consolidated Statements of Cash Flows; and (f) Notes to Consolidated Financial Statements.</w:t>
            </w: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972" w:hanging="972"/>
        <w:spacing w:after="0"/>
        <w:tabs>
          <w:tab w:leader="none" w:pos="9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as an exhibit to HomeTrust Bancshares's Registration Statement on Form S-1 (File No. 333-178817) filed on December 29, 2011.</w:t>
      </w:r>
    </w:p>
    <w:p>
      <w:pPr>
        <w:spacing w:after="0" w:line="13" w:lineRule="exact"/>
        <w:rPr>
          <w:rFonts w:ascii="Arial" w:cs="Arial" w:eastAsia="Arial" w:hAnsi="Arial"/>
          <w:sz w:val="14"/>
          <w:szCs w:val="14"/>
          <w:color w:val="auto"/>
        </w:rPr>
      </w:pPr>
    </w:p>
    <w:p>
      <w:pPr>
        <w:ind w:left="972" w:hanging="972"/>
        <w:spacing w:after="0"/>
        <w:tabs>
          <w:tab w:leader="none" w:pos="9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as an exhibit to HomeTrust Bancshares's Current Report on Form 8-K filed on September 25, 2012 (File No. 001-35593).</w:t>
      </w:r>
    </w:p>
    <w:p>
      <w:pPr>
        <w:spacing w:after="0" w:line="1" w:lineRule="exact"/>
        <w:rPr>
          <w:rFonts w:ascii="Arial" w:cs="Arial" w:eastAsia="Arial" w:hAnsi="Arial"/>
          <w:sz w:val="14"/>
          <w:szCs w:val="14"/>
          <w:color w:val="auto"/>
        </w:rPr>
      </w:pPr>
    </w:p>
    <w:p>
      <w:pPr>
        <w:ind w:left="972" w:hanging="972"/>
        <w:spacing w:after="0"/>
        <w:tabs>
          <w:tab w:leader="none" w:pos="9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as an exhibit to HomeTrust Bancshares's Current Report on Form 8-K filed on July 26, 2021 (File No. 001-35593).</w:t>
      </w:r>
    </w:p>
    <w:p>
      <w:pPr>
        <w:spacing w:after="0" w:line="1" w:lineRule="exact"/>
        <w:rPr>
          <w:rFonts w:ascii="Arial" w:cs="Arial" w:eastAsia="Arial" w:hAnsi="Arial"/>
          <w:sz w:val="14"/>
          <w:szCs w:val="14"/>
          <w:color w:val="auto"/>
        </w:rPr>
      </w:pPr>
    </w:p>
    <w:p>
      <w:pPr>
        <w:ind w:left="972" w:hanging="972"/>
        <w:spacing w:after="0"/>
        <w:tabs>
          <w:tab w:leader="none" w:pos="9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as an exhibit to HomeTrust Bancshares's Current Report on Form 8-K filed on August 31, 2015 (File No. 001-35593).</w:t>
      </w:r>
    </w:p>
    <w:p>
      <w:pPr>
        <w:spacing w:after="0" w:line="1" w:lineRule="exact"/>
        <w:rPr>
          <w:rFonts w:ascii="Arial" w:cs="Arial" w:eastAsia="Arial" w:hAnsi="Arial"/>
          <w:sz w:val="14"/>
          <w:szCs w:val="14"/>
          <w:color w:val="auto"/>
        </w:rPr>
      </w:pPr>
    </w:p>
    <w:p>
      <w:pPr>
        <w:ind w:left="972" w:hanging="972"/>
        <w:spacing w:after="0"/>
        <w:tabs>
          <w:tab w:leader="none" w:pos="9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as an exhibit to HomeTrust Bancshares's Current Report on Form 8-K filed on August 21, 2018 (File No. 001-35593).</w:t>
      </w:r>
    </w:p>
    <w:p>
      <w:pPr>
        <w:spacing w:after="0" w:line="1" w:lineRule="exact"/>
        <w:rPr>
          <w:rFonts w:ascii="Arial" w:cs="Arial" w:eastAsia="Arial" w:hAnsi="Arial"/>
          <w:sz w:val="14"/>
          <w:szCs w:val="14"/>
          <w:color w:val="auto"/>
        </w:rPr>
      </w:pPr>
    </w:p>
    <w:p>
      <w:pPr>
        <w:ind w:left="972" w:hanging="972"/>
        <w:spacing w:after="0"/>
        <w:tabs>
          <w:tab w:leader="none" w:pos="9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as an exhibit to HomeTrust Bancshares's Quarterly Report on Form 10-Q for the quarter ended March 31, 2021 (File No. 001-35593).</w:t>
      </w:r>
    </w:p>
    <w:p>
      <w:pPr>
        <w:spacing w:after="0" w:line="1" w:lineRule="exact"/>
        <w:rPr>
          <w:rFonts w:ascii="Arial" w:cs="Arial" w:eastAsia="Arial" w:hAnsi="Arial"/>
          <w:sz w:val="14"/>
          <w:szCs w:val="14"/>
          <w:color w:val="auto"/>
        </w:rPr>
      </w:pPr>
    </w:p>
    <w:p>
      <w:pPr>
        <w:ind w:left="972" w:hanging="972"/>
        <w:spacing w:after="0"/>
        <w:tabs>
          <w:tab w:leader="none" w:pos="9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as an exhibit to HomeTrust Bancshares's Current Report on Form 8-K filed on September 11, 2018 (File No. 001-35593).</w:t>
      </w:r>
    </w:p>
    <w:p>
      <w:pPr>
        <w:spacing w:after="0" w:line="1" w:lineRule="exact"/>
        <w:rPr>
          <w:rFonts w:ascii="Arial" w:cs="Arial" w:eastAsia="Arial" w:hAnsi="Arial"/>
          <w:sz w:val="14"/>
          <w:szCs w:val="14"/>
          <w:color w:val="auto"/>
        </w:rPr>
      </w:pPr>
    </w:p>
    <w:p>
      <w:pPr>
        <w:ind w:left="972" w:hanging="972"/>
        <w:spacing w:after="0"/>
        <w:tabs>
          <w:tab w:leader="none" w:pos="97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as an exhibit to HomeTrust Bancshares's Current Report on Form 8-K filed on September 25, 2018 (File No. 001-35593.</w:t>
      </w:r>
    </w:p>
    <w:p>
      <w:pPr>
        <w:spacing w:after="0" w:line="1" w:lineRule="exact"/>
        <w:rPr>
          <w:rFonts w:ascii="Arial" w:cs="Arial" w:eastAsia="Arial" w:hAnsi="Arial"/>
          <w:sz w:val="14"/>
          <w:szCs w:val="14"/>
          <w:color w:val="auto"/>
        </w:rPr>
      </w:pPr>
    </w:p>
    <w:p>
      <w:pPr>
        <w:ind w:left="952" w:hanging="952"/>
        <w:spacing w:after="0"/>
        <w:tabs>
          <w:tab w:leader="none" w:pos="95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Filed as an exhibit to HomeTrust Bancshares's Current Report on Form 8-K filed on October 28, 2020 (File No. 001-35593).</w:t>
      </w:r>
    </w:p>
    <w:p>
      <w:pPr>
        <w:spacing w:after="0" w:line="200" w:lineRule="exact"/>
        <w:rPr>
          <w:sz w:val="20"/>
          <w:szCs w:val="20"/>
          <w:color w:val="auto"/>
        </w:rPr>
      </w:pPr>
    </w:p>
    <w:p>
      <w:pPr>
        <w:spacing w:after="0" w:line="387" w:lineRule="exact"/>
        <w:rPr>
          <w:sz w:val="20"/>
          <w:szCs w:val="20"/>
          <w:color w:val="auto"/>
        </w:rPr>
      </w:pPr>
    </w:p>
    <w:p>
      <w:pPr>
        <w:ind w:left="5532"/>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92"/>
          </w:cols>
          <w:pgMar w:left="328" w:top="1225" w:right="1079" w:bottom="1440" w:gutter="0" w:footer="0" w:header="0"/>
        </w:sectPr>
      </w:pPr>
    </w:p>
    <w:bookmarkStart w:id="50" w:name="page51"/>
    <w:bookmarkEnd w:id="50"/>
    <w:p>
      <w:pPr>
        <w:ind w:left="960" w:hanging="952"/>
        <w:spacing w:after="0"/>
        <w:tabs>
          <w:tab w:leader="none" w:pos="9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as an exhibit to Amendment No. One to HomeTrust Bancshares's Registration Statement on Form S-1 (File No. 333-178817) filed on March 9, 2012.</w:t>
      </w:r>
    </w:p>
    <w:p>
      <w:pPr>
        <w:spacing w:after="0" w:line="13" w:lineRule="exact"/>
        <w:rPr>
          <w:rFonts w:ascii="Arial" w:cs="Arial" w:eastAsia="Arial" w:hAnsi="Arial"/>
          <w:sz w:val="14"/>
          <w:szCs w:val="14"/>
          <w:color w:val="auto"/>
        </w:rPr>
      </w:pPr>
    </w:p>
    <w:p>
      <w:pPr>
        <w:ind w:left="980" w:hanging="972"/>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Attached as Appendix A to HomeTrust Bancshares's definitive proxy statement filed on December 5, 2012 (File No. 001-35593).</w:t>
      </w:r>
    </w:p>
    <w:p>
      <w:pPr>
        <w:spacing w:after="0" w:line="1" w:lineRule="exact"/>
        <w:rPr>
          <w:rFonts w:ascii="Arial" w:cs="Arial" w:eastAsia="Arial" w:hAnsi="Arial"/>
          <w:sz w:val="14"/>
          <w:szCs w:val="14"/>
          <w:color w:val="auto"/>
        </w:rPr>
      </w:pPr>
    </w:p>
    <w:p>
      <w:pPr>
        <w:ind w:left="960" w:hanging="952"/>
        <w:spacing w:after="0"/>
        <w:tabs>
          <w:tab w:leader="none" w:pos="96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as an exhibit to HomeTrust Bancshares's Registration Statement on Form S-8 (File No. 333-186666) filed on February 13, 2013.</w:t>
      </w:r>
    </w:p>
    <w:p>
      <w:pPr>
        <w:spacing w:after="0" w:line="1" w:lineRule="exact"/>
        <w:rPr>
          <w:rFonts w:ascii="Arial" w:cs="Arial" w:eastAsia="Arial" w:hAnsi="Arial"/>
          <w:sz w:val="14"/>
          <w:szCs w:val="14"/>
          <w:color w:val="auto"/>
        </w:rPr>
      </w:pPr>
    </w:p>
    <w:p>
      <w:pPr>
        <w:ind w:left="980" w:hanging="972"/>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as an exhibit to HomeTrust Bancshares's Annual Report on Form 10-K for the fiscal year ended June 30, 2014 (File No. 001-35593).</w:t>
      </w:r>
    </w:p>
    <w:p>
      <w:pPr>
        <w:spacing w:after="0" w:line="1" w:lineRule="exact"/>
        <w:rPr>
          <w:rFonts w:ascii="Arial" w:cs="Arial" w:eastAsia="Arial" w:hAnsi="Arial"/>
          <w:sz w:val="14"/>
          <w:szCs w:val="14"/>
          <w:color w:val="auto"/>
        </w:rPr>
      </w:pPr>
    </w:p>
    <w:p>
      <w:pPr>
        <w:ind w:left="980" w:hanging="972"/>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as an exhibit to HomeTrust Bancshares's Quarterly Report on Form 10-Q for the quarter ended March 31, 2019 (File No. 001-35593).</w:t>
      </w:r>
    </w:p>
    <w:p>
      <w:pPr>
        <w:spacing w:after="0" w:line="1" w:lineRule="exact"/>
        <w:rPr>
          <w:rFonts w:ascii="Arial" w:cs="Arial" w:eastAsia="Arial" w:hAnsi="Arial"/>
          <w:sz w:val="14"/>
          <w:szCs w:val="14"/>
          <w:color w:val="auto"/>
        </w:rPr>
      </w:pPr>
    </w:p>
    <w:p>
      <w:pPr>
        <w:ind w:left="980" w:hanging="972"/>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as an exhibit to HomeTrust Bancshares's Annual Report on Form 10-K for the fiscal year ended June 30, 2018 (File No. 001-35593).</w:t>
      </w:r>
    </w:p>
    <w:p>
      <w:pPr>
        <w:spacing w:after="0" w:line="1" w:lineRule="exact"/>
        <w:rPr>
          <w:rFonts w:ascii="Arial" w:cs="Arial" w:eastAsia="Arial" w:hAnsi="Arial"/>
          <w:sz w:val="14"/>
          <w:szCs w:val="14"/>
          <w:color w:val="auto"/>
        </w:rPr>
      </w:pPr>
    </w:p>
    <w:p>
      <w:pPr>
        <w:ind w:left="980" w:hanging="972"/>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as an exhibit to HomeTrust Bancshares's Quarterly Report on Form 10-Q for the quarter ended September 30, 2021 (File No. 001-35593).</w:t>
      </w:r>
    </w:p>
    <w:p>
      <w:pPr>
        <w:spacing w:after="0" w:line="1" w:lineRule="exact"/>
        <w:rPr>
          <w:rFonts w:ascii="Arial" w:cs="Arial" w:eastAsia="Arial" w:hAnsi="Arial"/>
          <w:sz w:val="14"/>
          <w:szCs w:val="14"/>
          <w:color w:val="auto"/>
        </w:rPr>
      </w:pPr>
    </w:p>
    <w:p>
      <w:pPr>
        <w:ind w:left="980" w:hanging="972"/>
        <w:spacing w:after="0"/>
        <w:tabs>
          <w:tab w:leader="none" w:pos="9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Filed as an exhibit to HomeTrust Bancshares's Current Report on Form 8-K filed on February 15, 2022 (File No. 001-35593).</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3000" w:type="dxa"/>
            <w:vAlign w:val="bottom"/>
          </w:tcPr>
          <w:p>
            <w:pPr>
              <w:spacing w:after="0"/>
              <w:rPr>
                <w:sz w:val="17"/>
                <w:szCs w:val="17"/>
                <w:color w:val="auto"/>
              </w:rPr>
            </w:pPr>
          </w:p>
        </w:tc>
        <w:tc>
          <w:tcPr>
            <w:tcW w:w="8200" w:type="dxa"/>
            <w:vAlign w:val="bottom"/>
            <w:gridSpan w:val="2"/>
          </w:tcPr>
          <w:p>
            <w:pPr>
              <w:ind w:left="1780"/>
              <w:spacing w:after="0"/>
              <w:rPr>
                <w:sz w:val="20"/>
                <w:szCs w:val="20"/>
                <w:color w:val="auto"/>
              </w:rPr>
            </w:pPr>
            <w:r>
              <w:rPr>
                <w:rFonts w:ascii="Arial" w:cs="Arial" w:eastAsia="Arial" w:hAnsi="Arial"/>
                <w:sz w:val="16"/>
                <w:szCs w:val="16"/>
                <w:color w:val="auto"/>
              </w:rPr>
              <w:t>HomeTrust Bancshares, Inc.</w:t>
            </w:r>
          </w:p>
        </w:tc>
      </w:tr>
      <w:tr>
        <w:trPr>
          <w:trHeight w:val="759"/>
        </w:trPr>
        <w:tc>
          <w:tcPr>
            <w:tcW w:w="3000" w:type="dxa"/>
            <w:vAlign w:val="bottom"/>
          </w:tcPr>
          <w:p>
            <w:pPr>
              <w:spacing w:after="0"/>
              <w:rPr>
                <w:sz w:val="20"/>
                <w:szCs w:val="20"/>
                <w:color w:val="auto"/>
              </w:rPr>
            </w:pPr>
            <w:r>
              <w:rPr>
                <w:rFonts w:ascii="Arial" w:cs="Arial" w:eastAsia="Arial" w:hAnsi="Arial"/>
                <w:sz w:val="16"/>
                <w:szCs w:val="16"/>
                <w:color w:val="auto"/>
              </w:rPr>
              <w:t>Date: May 9, 2022</w:t>
            </w:r>
          </w:p>
        </w:tc>
        <w:tc>
          <w:tcPr>
            <w:tcW w:w="2600" w:type="dxa"/>
            <w:vAlign w:val="bottom"/>
          </w:tcPr>
          <w:p>
            <w:pPr>
              <w:ind w:left="1780"/>
              <w:spacing w:after="0"/>
              <w:rPr>
                <w:sz w:val="20"/>
                <w:szCs w:val="20"/>
                <w:color w:val="auto"/>
              </w:rPr>
            </w:pPr>
            <w:r>
              <w:rPr>
                <w:rFonts w:ascii="Arial" w:cs="Arial" w:eastAsia="Arial" w:hAnsi="Arial"/>
                <w:sz w:val="16"/>
                <w:szCs w:val="16"/>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Dana L. Stonestreet</w:t>
            </w:r>
          </w:p>
        </w:tc>
      </w:tr>
      <w:tr>
        <w:trPr>
          <w:trHeight w:val="207"/>
        </w:trPr>
        <w:tc>
          <w:tcPr>
            <w:tcW w:w="3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Dana L. Stonestreet</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Chairman and CEO</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i w:val="1"/>
                <w:iCs w:val="1"/>
                <w:color w:val="auto"/>
              </w:rPr>
              <w:t>(Duly Authorized Officer)</w:t>
            </w:r>
          </w:p>
        </w:tc>
      </w:tr>
      <w:tr>
        <w:trPr>
          <w:trHeight w:val="489"/>
        </w:trPr>
        <w:tc>
          <w:tcPr>
            <w:tcW w:w="3000" w:type="dxa"/>
            <w:vAlign w:val="bottom"/>
          </w:tcPr>
          <w:p>
            <w:pPr>
              <w:spacing w:after="0"/>
              <w:rPr>
                <w:sz w:val="20"/>
                <w:szCs w:val="20"/>
                <w:color w:val="auto"/>
              </w:rPr>
            </w:pPr>
            <w:r>
              <w:rPr>
                <w:rFonts w:ascii="Arial" w:cs="Arial" w:eastAsia="Arial" w:hAnsi="Arial"/>
                <w:sz w:val="16"/>
                <w:szCs w:val="16"/>
                <w:color w:val="auto"/>
              </w:rPr>
              <w:t>Date: May 9, 2022</w:t>
            </w:r>
          </w:p>
        </w:tc>
        <w:tc>
          <w:tcPr>
            <w:tcW w:w="2600" w:type="dxa"/>
            <w:vAlign w:val="bottom"/>
          </w:tcPr>
          <w:p>
            <w:pPr>
              <w:ind w:left="1780"/>
              <w:spacing w:after="0"/>
              <w:rPr>
                <w:sz w:val="20"/>
                <w:szCs w:val="20"/>
                <w:color w:val="auto"/>
              </w:rPr>
            </w:pPr>
            <w:r>
              <w:rPr>
                <w:rFonts w:ascii="Arial" w:cs="Arial" w:eastAsia="Arial" w:hAnsi="Arial"/>
                <w:sz w:val="16"/>
                <w:szCs w:val="16"/>
                <w:color w:val="auto"/>
              </w:rPr>
              <w:t>By:</w:t>
            </w:r>
          </w:p>
        </w:tc>
        <w:tc>
          <w:tcPr>
            <w:tcW w:w="56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Tony J. VunCannon</w:t>
            </w:r>
          </w:p>
        </w:tc>
      </w:tr>
      <w:tr>
        <w:trPr>
          <w:trHeight w:val="207"/>
        </w:trPr>
        <w:tc>
          <w:tcPr>
            <w:tcW w:w="30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Tony J. VunCannon</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Executive Vice President, CFO, Corporate Secretary and Treasurer</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6"/>
                <w:szCs w:val="16"/>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093"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6"/>
          <w:szCs w:val="16"/>
          <w:b w:val="1"/>
          <w:bCs w:val="1"/>
          <w:color w:val="auto"/>
        </w:rPr>
        <w:t>FORM OF JOINDER AGREEMENT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UNDER THE</w:t>
      </w:r>
    </w:p>
    <w:p>
      <w:pPr>
        <w:jc w:val="center"/>
        <w:ind w:right="-19"/>
        <w:spacing w:after="0" w:line="228" w:lineRule="auto"/>
        <w:rPr>
          <w:sz w:val="20"/>
          <w:szCs w:val="20"/>
          <w:color w:val="auto"/>
        </w:rPr>
      </w:pPr>
      <w:r>
        <w:rPr>
          <w:rFonts w:ascii="Arial" w:cs="Arial" w:eastAsia="Arial" w:hAnsi="Arial"/>
          <w:sz w:val="16"/>
          <w:szCs w:val="16"/>
          <w:b w:val="1"/>
          <w:bCs w:val="1"/>
          <w:color w:val="auto"/>
        </w:rPr>
        <w:t>HOMETRUST BANK DEFINED CONTRIBUTION</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MEDICAL CARE PLAN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THIS AGREEMENT, entered into as of _________________, ________, by and between _____________ (the “Participant”) and HomeTrust Bank (the “Bank”).</w:t>
      </w:r>
    </w:p>
    <w:p>
      <w:pPr>
        <w:spacing w:after="0" w:line="258" w:lineRule="exact"/>
        <w:rPr>
          <w:sz w:val="20"/>
          <w:szCs w:val="20"/>
          <w:color w:val="auto"/>
        </w:rPr>
      </w:pPr>
    </w:p>
    <w:p>
      <w:pPr>
        <w:ind w:firstLine="648"/>
        <w:spacing w:after="0" w:line="258" w:lineRule="auto"/>
        <w:rPr>
          <w:sz w:val="20"/>
          <w:szCs w:val="20"/>
          <w:color w:val="auto"/>
        </w:rPr>
      </w:pPr>
      <w:r>
        <w:rPr>
          <w:rFonts w:ascii="Arial" w:cs="Arial" w:eastAsia="Arial" w:hAnsi="Arial"/>
          <w:sz w:val="16"/>
          <w:szCs w:val="16"/>
          <w:color w:val="auto"/>
        </w:rPr>
        <w:t>WHEREAS, the Bank maintains the HomeTrust Bank Defined Contribution Executive Medical Care Plan (the “Plan”), which is incorporated into and forms a part of this Agreement, and the Participant has been selected by the Board under the Plan to participate in the Plan.</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NOW, THEREFORE, IT IS AGREED, by and between the Bank and the Participant, that the following provisions applicable to the Participant shall apply:</w:t>
      </w:r>
    </w:p>
    <w:p>
      <w:pPr>
        <w:spacing w:after="0" w:line="246" w:lineRule="exact"/>
        <w:rPr>
          <w:sz w:val="20"/>
          <w:szCs w:val="20"/>
          <w:color w:val="auto"/>
        </w:rPr>
      </w:pPr>
    </w:p>
    <w:p>
      <w:pPr>
        <w:ind w:right="100" w:firstLine="8"/>
        <w:spacing w:after="0" w:line="258" w:lineRule="auto"/>
        <w:tabs>
          <w:tab w:leader="none" w:pos="162"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Initial Plan Participation</w:t>
      </w:r>
      <w:r>
        <w:rPr>
          <w:rFonts w:ascii="Arial" w:cs="Arial" w:eastAsia="Arial" w:hAnsi="Arial"/>
          <w:sz w:val="16"/>
          <w:szCs w:val="16"/>
          <w:color w:val="auto"/>
        </w:rPr>
        <w:t>: You are now a participant in the plan with the right to defer up to $____________ of your income into the plan over the coming years. Deferral elections must be made in accordance with IRS requirements.</w:t>
      </w:r>
    </w:p>
    <w:p>
      <w:pPr>
        <w:spacing w:after="0" w:line="198" w:lineRule="exact"/>
        <w:rPr>
          <w:rFonts w:ascii="Arial" w:cs="Arial" w:eastAsia="Arial" w:hAnsi="Arial"/>
          <w:sz w:val="16"/>
          <w:szCs w:val="16"/>
          <w:color w:val="auto"/>
        </w:rPr>
      </w:pPr>
    </w:p>
    <w:p>
      <w:pPr>
        <w:ind w:left="180" w:hanging="172"/>
        <w:spacing w:after="0"/>
        <w:tabs>
          <w:tab w:leader="none" w:pos="18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Vesting Schedule and Related Provisions</w:t>
      </w:r>
      <w:r>
        <w:rPr>
          <w:rFonts w:ascii="Arial" w:cs="Arial" w:eastAsia="Arial" w:hAnsi="Arial"/>
          <w:sz w:val="16"/>
          <w:szCs w:val="16"/>
          <w:color w:val="auto"/>
        </w:rPr>
        <w:t>:</w:t>
      </w:r>
    </w:p>
    <w:p>
      <w:pPr>
        <w:spacing w:after="0" w:line="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deferrals into this plan will vest immediately.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3. </w:t>
      </w:r>
      <w:r>
        <w:rPr>
          <w:rFonts w:ascii="Arial" w:cs="Arial" w:eastAsia="Arial" w:hAnsi="Arial"/>
          <w:sz w:val="16"/>
          <w:szCs w:val="16"/>
          <w:u w:val="single" w:color="auto"/>
          <w:color w:val="auto"/>
        </w:rPr>
        <w:t>Spouse</w:t>
      </w:r>
      <w:r>
        <w:rPr>
          <w:rFonts w:ascii="Arial" w:cs="Arial" w:eastAsia="Arial" w:hAnsi="Arial"/>
          <w:sz w:val="16"/>
          <w:szCs w:val="16"/>
          <w:color w:val="auto"/>
        </w:rPr>
        <w:t>: ______________________</w:t>
      </w:r>
    </w:p>
    <w:p>
      <w:pPr>
        <w:spacing w:after="0" w:line="235" w:lineRule="exact"/>
        <w:rPr>
          <w:sz w:val="20"/>
          <w:szCs w:val="20"/>
          <w:color w:val="auto"/>
        </w:rPr>
      </w:pPr>
    </w:p>
    <w:p>
      <w:pPr>
        <w:ind w:right="440" w:firstLine="648"/>
        <w:spacing w:after="0" w:line="258" w:lineRule="auto"/>
        <w:rPr>
          <w:sz w:val="20"/>
          <w:szCs w:val="20"/>
          <w:color w:val="auto"/>
        </w:rPr>
      </w:pPr>
      <w:r>
        <w:rPr>
          <w:rFonts w:ascii="Arial" w:cs="Arial" w:eastAsia="Arial" w:hAnsi="Arial"/>
          <w:sz w:val="16"/>
          <w:szCs w:val="16"/>
          <w:color w:val="auto"/>
        </w:rPr>
        <w:t>Upon divorce, the provisions of this Joinder Agreement applicable to the spouse (as defined in the Plan) will no longer be of effect. Upon remarriage, a new Joinder Agreement must be completed with respect to the new spouse in order for her to receive benefits under the Plan.</w:t>
      </w:r>
    </w:p>
    <w:p>
      <w:pPr>
        <w:spacing w:after="0" w:line="198" w:lineRule="exact"/>
        <w:rPr>
          <w:sz w:val="20"/>
          <w:szCs w:val="20"/>
          <w:color w:val="auto"/>
        </w:rPr>
      </w:pPr>
    </w:p>
    <w:p>
      <w:pPr>
        <w:ind w:left="20" w:right="7500" w:hanging="12"/>
        <w:spacing w:after="0" w:line="299" w:lineRule="auto"/>
        <w:tabs>
          <w:tab w:leader="none" w:pos="164"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Beneficiary Designations</w:t>
      </w:r>
      <w:r>
        <w:rPr>
          <w:rFonts w:ascii="Arial" w:cs="Arial" w:eastAsia="Arial" w:hAnsi="Arial"/>
          <w:sz w:val="16"/>
          <w:szCs w:val="16"/>
          <w:color w:val="auto"/>
        </w:rPr>
        <w:t xml:space="preserve">: Add extra sheet if necessary </w:t>
      </w:r>
      <w:r>
        <w:rPr>
          <w:rFonts w:ascii="Arial" w:cs="Arial" w:eastAsia="Arial" w:hAnsi="Arial"/>
          <w:sz w:val="16"/>
          <w:szCs w:val="16"/>
          <w:u w:val="single" w:color="auto"/>
          <w:color w:val="auto"/>
        </w:rPr>
        <w:t>Primary</w:t>
      </w:r>
    </w:p>
    <w:tbl>
      <w:tblPr>
        <w:tblLayout w:type="fixed"/>
        <w:tblInd w:w="20" w:type="dxa"/>
        <w:tblCellMar>
          <w:top w:w="0" w:type="dxa"/>
          <w:left w:w="0" w:type="dxa"/>
          <w:bottom w:w="0" w:type="dxa"/>
          <w:right w:w="0" w:type="dxa"/>
        </w:tblCellMar>
      </w:tblPr>
      <w:tr>
        <w:trPr>
          <w:trHeight w:val="172"/>
        </w:trPr>
        <w:tc>
          <w:tcPr>
            <w:tcW w:w="440" w:type="dxa"/>
            <w:vAlign w:val="bottom"/>
            <w:tcBorders>
              <w:bottom w:val="single" w:sz="8" w:color="auto"/>
            </w:tcBorders>
          </w:tcPr>
          <w:p>
            <w:pPr>
              <w:spacing w:after="0" w:line="172" w:lineRule="exact"/>
              <w:rPr>
                <w:sz w:val="20"/>
                <w:szCs w:val="20"/>
                <w:color w:val="auto"/>
              </w:rPr>
            </w:pPr>
            <w:r>
              <w:rPr>
                <w:rFonts w:ascii="Arial" w:cs="Arial" w:eastAsia="Arial" w:hAnsi="Arial"/>
                <w:sz w:val="16"/>
                <w:szCs w:val="16"/>
                <w:color w:val="auto"/>
                <w:w w:val="89"/>
              </w:rPr>
              <w:t>Name:</w:t>
            </w:r>
          </w:p>
        </w:tc>
        <w:tc>
          <w:tcPr>
            <w:tcW w:w="1520" w:type="dxa"/>
            <w:vAlign w:val="bottom"/>
            <w:gridSpan w:val="3"/>
          </w:tcPr>
          <w:p>
            <w:pPr>
              <w:spacing w:after="0"/>
              <w:rPr>
                <w:sz w:val="14"/>
                <w:szCs w:val="14"/>
                <w:color w:val="auto"/>
              </w:rPr>
            </w:pP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Borders>
              <w:bottom w:val="single" w:sz="8" w:color="auto"/>
            </w:tcBorders>
          </w:tcPr>
          <w:p>
            <w:pPr>
              <w:spacing w:after="0" w:line="172" w:lineRule="exact"/>
              <w:rPr>
                <w:sz w:val="20"/>
                <w:szCs w:val="20"/>
                <w:color w:val="auto"/>
              </w:rPr>
            </w:pPr>
            <w:r>
              <w:rPr>
                <w:rFonts w:ascii="Arial" w:cs="Arial" w:eastAsia="Arial" w:hAnsi="Arial"/>
                <w:sz w:val="16"/>
                <w:szCs w:val="16"/>
                <w:color w:val="auto"/>
                <w:w w:val="90"/>
              </w:rPr>
              <w:t>Relationship:</w:t>
            </w:r>
          </w:p>
        </w:tc>
        <w:tc>
          <w:tcPr>
            <w:tcW w:w="0" w:type="dxa"/>
            <w:vAlign w:val="bottom"/>
          </w:tcPr>
          <w:p>
            <w:pPr>
              <w:spacing w:after="0"/>
              <w:rPr>
                <w:sz w:val="1"/>
                <w:szCs w:val="1"/>
                <w:color w:val="auto"/>
              </w:rPr>
            </w:pPr>
          </w:p>
        </w:tc>
      </w:tr>
      <w:tr>
        <w:trPr>
          <w:trHeight w:val="34"/>
        </w:trPr>
        <w:tc>
          <w:tcPr>
            <w:tcW w:w="1960" w:type="dxa"/>
            <w:vAlign w:val="bottom"/>
            <w:gridSpan w:val="4"/>
            <w:vMerge w:val="restart"/>
          </w:tcPr>
          <w:p>
            <w:pPr>
              <w:spacing w:after="0"/>
              <w:rPr>
                <w:sz w:val="20"/>
                <w:szCs w:val="20"/>
                <w:color w:val="auto"/>
              </w:rPr>
            </w:pPr>
            <w:r>
              <w:rPr>
                <w:rFonts w:ascii="Arial" w:cs="Arial" w:eastAsia="Arial" w:hAnsi="Arial"/>
                <w:sz w:val="16"/>
                <w:szCs w:val="16"/>
                <w:color w:val="auto"/>
              </w:rPr>
              <w:t>Address:</w:t>
            </w:r>
          </w:p>
        </w:tc>
        <w:tc>
          <w:tcPr>
            <w:tcW w:w="2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1960" w:type="dxa"/>
            <w:vAlign w:val="bottom"/>
            <w:gridSpan w:val="4"/>
            <w:vMerge w:val="continue"/>
          </w:tcPr>
          <w:p>
            <w:pPr>
              <w:spacing w:after="0"/>
              <w:rPr>
                <w:sz w:val="13"/>
                <w:szCs w:val="13"/>
                <w:color w:val="auto"/>
              </w:rPr>
            </w:pPr>
          </w:p>
        </w:tc>
        <w:tc>
          <w:tcPr>
            <w:tcW w:w="2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960" w:type="dxa"/>
            <w:vAlign w:val="bottom"/>
            <w:gridSpan w:val="4"/>
            <w:vMerge w:val="restart"/>
          </w:tcPr>
          <w:p>
            <w:pPr>
              <w:spacing w:after="0"/>
              <w:rPr>
                <w:sz w:val="20"/>
                <w:szCs w:val="20"/>
                <w:color w:val="auto"/>
              </w:rPr>
            </w:pPr>
            <w:r>
              <w:rPr>
                <w:rFonts w:ascii="Arial" w:cs="Arial" w:eastAsia="Arial" w:hAnsi="Arial"/>
                <w:sz w:val="16"/>
                <w:szCs w:val="16"/>
                <w:color w:val="auto"/>
              </w:rPr>
              <w:t>Contingent</w:t>
            </w:r>
          </w:p>
        </w:tc>
        <w:tc>
          <w:tcPr>
            <w:tcW w:w="2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gridSpan w:val="4"/>
            <w:vMerge w:val="continue"/>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1960" w:type="dxa"/>
            <w:vAlign w:val="bottom"/>
            <w:gridSpan w:val="4"/>
            <w:vMerge w:val="continue"/>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Name:</w:t>
            </w:r>
          </w:p>
        </w:tc>
        <w:tc>
          <w:tcPr>
            <w:tcW w:w="280" w:type="dxa"/>
            <w:vAlign w:val="bottom"/>
            <w:tcBorders>
              <w:top w:val="single" w:sz="8" w:color="auto"/>
            </w:tcBorders>
            <w:gridSpan w:val="2"/>
          </w:tcPr>
          <w:p>
            <w:pPr>
              <w:spacing w:after="0"/>
              <w:rPr>
                <w:sz w:val="18"/>
                <w:szCs w:val="18"/>
                <w:color w:val="auto"/>
              </w:rPr>
            </w:pPr>
          </w:p>
        </w:tc>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Relationship;</w:t>
            </w:r>
          </w:p>
        </w:tc>
        <w:tc>
          <w:tcPr>
            <w:tcW w:w="0" w:type="dxa"/>
            <w:vAlign w:val="bottom"/>
          </w:tcPr>
          <w:p>
            <w:pPr>
              <w:spacing w:after="0"/>
              <w:rPr>
                <w:sz w:val="1"/>
                <w:szCs w:val="1"/>
                <w:color w:val="auto"/>
              </w:rPr>
            </w:pPr>
          </w:p>
        </w:tc>
      </w:tr>
      <w:tr>
        <w:trPr>
          <w:trHeight w:val="34"/>
        </w:trPr>
        <w:tc>
          <w:tcPr>
            <w:tcW w:w="1960" w:type="dxa"/>
            <w:vAlign w:val="bottom"/>
            <w:gridSpan w:val="4"/>
            <w:vMerge w:val="restart"/>
          </w:tcPr>
          <w:p>
            <w:pPr>
              <w:spacing w:after="0"/>
              <w:rPr>
                <w:sz w:val="20"/>
                <w:szCs w:val="20"/>
                <w:color w:val="auto"/>
              </w:rPr>
            </w:pPr>
            <w:r>
              <w:rPr>
                <w:rFonts w:ascii="Arial" w:cs="Arial" w:eastAsia="Arial" w:hAnsi="Arial"/>
                <w:sz w:val="16"/>
                <w:szCs w:val="16"/>
                <w:color w:val="auto"/>
              </w:rPr>
              <w:t>Address:</w:t>
            </w:r>
          </w:p>
        </w:tc>
        <w:tc>
          <w:tcPr>
            <w:tcW w:w="2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960" w:type="dxa"/>
            <w:vAlign w:val="bottom"/>
            <w:gridSpan w:val="4"/>
            <w:vMerge w:val="continue"/>
          </w:tcPr>
          <w:p>
            <w:pPr>
              <w:spacing w:after="0"/>
              <w:rPr>
                <w:sz w:val="13"/>
                <w:szCs w:val="13"/>
                <w:color w:val="auto"/>
              </w:rPr>
            </w:pPr>
          </w:p>
        </w:tc>
        <w:tc>
          <w:tcPr>
            <w:tcW w:w="2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1960" w:type="dxa"/>
            <w:vAlign w:val="bottom"/>
            <w:gridSpan w:val="4"/>
            <w:vMerge w:val="restart"/>
          </w:tcPr>
          <w:p>
            <w:pPr>
              <w:spacing w:after="0"/>
              <w:rPr>
                <w:sz w:val="20"/>
                <w:szCs w:val="20"/>
                <w:color w:val="auto"/>
              </w:rPr>
            </w:pPr>
            <w:r>
              <w:rPr>
                <w:rFonts w:ascii="Arial" w:cs="Arial" w:eastAsia="Arial" w:hAnsi="Arial"/>
                <w:sz w:val="16"/>
                <w:szCs w:val="16"/>
                <w:color w:val="auto"/>
              </w:rPr>
              <w:t>Contingent</w:t>
            </w:r>
          </w:p>
        </w:tc>
        <w:tc>
          <w:tcPr>
            <w:tcW w:w="2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gridSpan w:val="4"/>
            <w:vMerge w:val="continue"/>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1960" w:type="dxa"/>
            <w:vAlign w:val="bottom"/>
            <w:gridSpan w:val="4"/>
            <w:vMerge w:val="continue"/>
          </w:tcPr>
          <w:p>
            <w:pPr>
              <w:spacing w:after="0"/>
              <w:rPr>
                <w:sz w:val="24"/>
                <w:szCs w:val="24"/>
                <w:color w:val="auto"/>
              </w:rPr>
            </w:pPr>
          </w:p>
        </w:tc>
        <w:tc>
          <w:tcPr>
            <w:tcW w:w="2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w w:val="89"/>
              </w:rPr>
              <w:t>Name:</w:t>
            </w:r>
          </w:p>
        </w:tc>
        <w:tc>
          <w:tcPr>
            <w:tcW w:w="280" w:type="dxa"/>
            <w:vAlign w:val="bottom"/>
            <w:tcBorders>
              <w:top w:val="single" w:sz="8" w:color="auto"/>
            </w:tcBorders>
            <w:gridSpan w:val="2"/>
          </w:tcPr>
          <w:p>
            <w:pPr>
              <w:spacing w:after="0"/>
              <w:rPr>
                <w:sz w:val="18"/>
                <w:szCs w:val="18"/>
                <w:color w:val="auto"/>
              </w:rPr>
            </w:pPr>
          </w:p>
        </w:tc>
        <w:tc>
          <w:tcPr>
            <w:tcW w:w="12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0"/>
              </w:rPr>
              <w:t>Relationship:</w:t>
            </w:r>
          </w:p>
        </w:tc>
        <w:tc>
          <w:tcPr>
            <w:tcW w:w="0" w:type="dxa"/>
            <w:vAlign w:val="bottom"/>
          </w:tcPr>
          <w:p>
            <w:pPr>
              <w:spacing w:after="0"/>
              <w:rPr>
                <w:sz w:val="1"/>
                <w:szCs w:val="1"/>
                <w:color w:val="auto"/>
              </w:rPr>
            </w:pPr>
          </w:p>
        </w:tc>
      </w:tr>
      <w:tr>
        <w:trPr>
          <w:trHeight w:val="34"/>
        </w:trPr>
        <w:tc>
          <w:tcPr>
            <w:tcW w:w="1960" w:type="dxa"/>
            <w:vAlign w:val="bottom"/>
            <w:gridSpan w:val="4"/>
            <w:vMerge w:val="restart"/>
          </w:tcPr>
          <w:p>
            <w:pPr>
              <w:spacing w:after="0"/>
              <w:rPr>
                <w:sz w:val="20"/>
                <w:szCs w:val="20"/>
                <w:color w:val="auto"/>
              </w:rPr>
            </w:pPr>
            <w:r>
              <w:rPr>
                <w:rFonts w:ascii="Arial" w:cs="Arial" w:eastAsia="Arial" w:hAnsi="Arial"/>
                <w:sz w:val="16"/>
                <w:szCs w:val="16"/>
                <w:color w:val="auto"/>
              </w:rPr>
              <w:t>Address:</w:t>
            </w:r>
          </w:p>
        </w:tc>
        <w:tc>
          <w:tcPr>
            <w:tcW w:w="2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1960" w:type="dxa"/>
            <w:vAlign w:val="bottom"/>
            <w:gridSpan w:val="4"/>
            <w:vMerge w:val="continue"/>
          </w:tcPr>
          <w:p>
            <w:pPr>
              <w:spacing w:after="0"/>
              <w:rPr>
                <w:sz w:val="13"/>
                <w:szCs w:val="13"/>
                <w:color w:val="auto"/>
              </w:rPr>
            </w:pPr>
          </w:p>
        </w:tc>
        <w:tc>
          <w:tcPr>
            <w:tcW w:w="2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4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6"/>
          <w:szCs w:val="16"/>
          <w:color w:val="auto"/>
        </w:rPr>
        <w:t>Does the Surviving Spouse Have Right to Designate Beneficiary To Receive Benefit Accounts Upon Second Death:</w:t>
      </w:r>
    </w:p>
    <w:p>
      <w:pPr>
        <w:spacing w:after="0" w:line="235" w:lineRule="exact"/>
        <w:rPr>
          <w:sz w:val="20"/>
          <w:szCs w:val="20"/>
          <w:color w:val="auto"/>
        </w:rPr>
      </w:pPr>
    </w:p>
    <w:p>
      <w:pPr>
        <w:ind w:left="680" w:hanging="101"/>
        <w:spacing w:after="0"/>
        <w:tabs>
          <w:tab w:leader="none" w:pos="680" w:val="left"/>
        </w:tabs>
        <w:numPr>
          <w:ilvl w:val="1"/>
          <w:numId w:val="19"/>
        </w:numPr>
        <w:rPr>
          <w:rFonts w:ascii="Arial" w:cs="Arial" w:eastAsia="Arial" w:hAnsi="Arial"/>
          <w:sz w:val="16"/>
          <w:szCs w:val="16"/>
          <w:color w:val="auto"/>
        </w:rPr>
      </w:pPr>
      <w:r>
        <w:rPr>
          <w:rFonts w:ascii="Arial" w:cs="Arial" w:eastAsia="Arial" w:hAnsi="Arial"/>
          <w:sz w:val="16"/>
          <w:szCs w:val="16"/>
          <w:color w:val="auto"/>
        </w:rPr>
        <w:t>)Yes (Spouse’s beneficiary will receive - spouse must provide beneficiaries)</w:t>
      </w:r>
    </w:p>
    <w:p>
      <w:pPr>
        <w:spacing w:after="0" w:line="234" w:lineRule="exact"/>
        <w:rPr>
          <w:rFonts w:ascii="Arial" w:cs="Arial" w:eastAsia="Arial" w:hAnsi="Arial"/>
          <w:sz w:val="16"/>
          <w:szCs w:val="16"/>
          <w:color w:val="auto"/>
        </w:rPr>
      </w:pPr>
    </w:p>
    <w:p>
      <w:pPr>
        <w:ind w:left="660" w:hanging="85"/>
        <w:spacing w:after="0"/>
        <w:tabs>
          <w:tab w:leader="none" w:pos="6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)No (Participant’s beneficiary will receive)</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80" w:hanging="172"/>
        <w:spacing w:after="0"/>
        <w:tabs>
          <w:tab w:leader="none" w:pos="180" w:val="left"/>
        </w:tabs>
        <w:numPr>
          <w:ilvl w:val="0"/>
          <w:numId w:val="19"/>
        </w:numPr>
        <w:rPr>
          <w:rFonts w:ascii="Arial" w:cs="Arial" w:eastAsia="Arial" w:hAnsi="Arial"/>
          <w:sz w:val="15"/>
          <w:szCs w:val="15"/>
          <w:color w:val="auto"/>
        </w:rPr>
      </w:pPr>
      <w:r>
        <w:rPr>
          <w:rFonts w:ascii="Arial" w:cs="Arial" w:eastAsia="Arial" w:hAnsi="Arial"/>
          <w:sz w:val="15"/>
          <w:szCs w:val="15"/>
          <w:u w:val="single" w:color="auto"/>
          <w:color w:val="auto"/>
        </w:rPr>
        <w:t>Election of Who May Receive Payments of Excess Amounts the Committee in its Sole Discretion Elects to Pay under Section 4(c)(8) of the Plan (Select One)</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 The surviving Spouse has rights to any and all Excess Amounts, up to 100 percent of the Benefit Account.</w:t>
      </w:r>
    </w:p>
    <w:p>
      <w:pPr>
        <w:spacing w:after="0" w:line="235" w:lineRule="exact"/>
        <w:rPr>
          <w:sz w:val="20"/>
          <w:szCs w:val="20"/>
          <w:color w:val="auto"/>
        </w:rPr>
      </w:pPr>
    </w:p>
    <w:p>
      <w:pPr>
        <w:ind w:right="520" w:firstLine="656"/>
        <w:spacing w:after="0" w:line="258" w:lineRule="auto"/>
        <w:tabs>
          <w:tab w:leader="none" w:pos="742" w:val="left"/>
        </w:tabs>
        <w:numPr>
          <w:ilvl w:val="0"/>
          <w:numId w:val="20"/>
        </w:numPr>
        <w:rPr>
          <w:rFonts w:ascii="Arial" w:cs="Arial" w:eastAsia="Arial" w:hAnsi="Arial"/>
          <w:sz w:val="16"/>
          <w:szCs w:val="16"/>
          <w:color w:val="auto"/>
        </w:rPr>
      </w:pPr>
      <w:r>
        <w:rPr>
          <w:rFonts w:ascii="Arial" w:cs="Arial" w:eastAsia="Arial" w:hAnsi="Arial"/>
          <w:sz w:val="16"/>
          <w:szCs w:val="16"/>
          <w:color w:val="auto"/>
        </w:rPr>
        <w:t>) The surviving Spouse has NO rights to any Excess Amounts whatsoever. Therefore Excess Amount payments can be made to the beneficiary(ies) of the Participant only, if the Committee elects to pay an Excess Amount.</w:t>
      </w:r>
    </w:p>
    <w:p>
      <w:pPr>
        <w:sectPr>
          <w:pgSz w:w="11900" w:h="16838" w:orient="portrait"/>
          <w:cols w:equalWidth="0" w:num="1">
            <w:col w:w="11220"/>
          </w:cols>
          <w:pgMar w:left="320" w:top="1408" w:right="359" w:bottom="1440" w:gutter="0" w:footer="0" w:header="0"/>
        </w:sectPr>
      </w:pPr>
    </w:p>
    <w:bookmarkStart w:id="52" w:name="page53"/>
    <w:bookmarkEnd w:id="52"/>
    <w:p>
      <w:pPr>
        <w:ind w:firstLine="656"/>
        <w:spacing w:after="0" w:line="258" w:lineRule="auto"/>
        <w:tabs>
          <w:tab w:leader="none" w:pos="742" w:val="left"/>
        </w:tabs>
        <w:numPr>
          <w:ilvl w:val="1"/>
          <w:numId w:val="21"/>
        </w:numPr>
        <w:rPr>
          <w:rFonts w:ascii="Arial" w:cs="Arial" w:eastAsia="Arial" w:hAnsi="Arial"/>
          <w:sz w:val="16"/>
          <w:szCs w:val="16"/>
          <w:color w:val="auto"/>
        </w:rPr>
      </w:pPr>
      <w:r>
        <w:rPr>
          <w:rFonts w:ascii="Arial" w:cs="Arial" w:eastAsia="Arial" w:hAnsi="Arial"/>
          <w:sz w:val="16"/>
          <w:szCs w:val="16"/>
          <w:color w:val="auto"/>
        </w:rPr>
        <w:t>) The surviving Spouse has the right to receive monthly payments of the Excess Amount over what the life expectancy of the Participant would have been on the date payments begin, while the Spouse is still living.</w:t>
      </w:r>
    </w:p>
    <w:p>
      <w:pPr>
        <w:spacing w:after="0" w:line="198" w:lineRule="exact"/>
        <w:rPr>
          <w:rFonts w:ascii="Arial" w:cs="Arial" w:eastAsia="Arial" w:hAnsi="Arial"/>
          <w:sz w:val="16"/>
          <w:szCs w:val="16"/>
          <w:color w:val="auto"/>
        </w:rPr>
      </w:pPr>
    </w:p>
    <w:p>
      <w:pPr>
        <w:ind w:left="180" w:hanging="172"/>
        <w:spacing w:after="0"/>
        <w:tabs>
          <w:tab w:leader="none" w:pos="18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Other Provisions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695325</wp:posOffset>
            </wp:positionV>
            <wp:extent cx="67976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9">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480695</wp:posOffset>
            </wp:positionV>
            <wp:extent cx="679767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0">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266700</wp:posOffset>
            </wp:positionV>
            <wp:extent cx="67976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11">
                      <a:extLst>
                        <a:ext uri="{28A0092B-C50C-407E-A947-70E740481C1C}"/>
                      </a:extLst>
                    </a:blip>
                    <a:srcRect/>
                    <a:stretch>
                      <a:fillRect/>
                    </a:stretch>
                  </pic:blipFill>
                  <pic:spPr bwMode="auto">
                    <a:xfrm>
                      <a:off x="0" y="0"/>
                      <a:ext cx="67976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80" w:firstLine="648"/>
        <w:spacing w:after="0" w:line="301" w:lineRule="auto"/>
        <w:rPr>
          <w:sz w:val="20"/>
          <w:szCs w:val="20"/>
          <w:color w:val="auto"/>
        </w:rPr>
      </w:pPr>
      <w:r>
        <w:rPr>
          <w:rFonts w:ascii="Arial" w:cs="Arial" w:eastAsia="Arial" w:hAnsi="Arial"/>
          <w:sz w:val="14"/>
          <w:szCs w:val="14"/>
          <w:color w:val="auto"/>
        </w:rPr>
        <w:t>IN WITNESS WHEREOF, the Participant has executed this Agreement, and the Bank has caused these presents to be executed in its name and on its behalf, all as of the date set forth above.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400" w:type="dxa"/>
            <w:vAlign w:val="bottom"/>
          </w:tcPr>
          <w:p>
            <w:pPr>
              <w:ind w:left="20"/>
              <w:spacing w:after="0"/>
              <w:rPr>
                <w:sz w:val="20"/>
                <w:szCs w:val="20"/>
                <w:color w:val="auto"/>
              </w:rPr>
            </w:pPr>
            <w:r>
              <w:rPr>
                <w:rFonts w:ascii="Arial" w:cs="Arial" w:eastAsia="Arial" w:hAnsi="Arial"/>
                <w:sz w:val="16"/>
                <w:szCs w:val="16"/>
                <w:color w:val="auto"/>
              </w:rPr>
              <w:t>Participant:</w:t>
            </w:r>
          </w:p>
        </w:tc>
        <w:tc>
          <w:tcPr>
            <w:tcW w:w="2620" w:type="dxa"/>
            <w:vAlign w:val="bottom"/>
          </w:tcPr>
          <w:p>
            <w:pPr>
              <w:ind w:left="360"/>
              <w:spacing w:after="0"/>
              <w:rPr>
                <w:sz w:val="20"/>
                <w:szCs w:val="20"/>
                <w:color w:val="auto"/>
              </w:rPr>
            </w:pPr>
            <w:r>
              <w:rPr>
                <w:rFonts w:ascii="Arial" w:cs="Arial" w:eastAsia="Arial" w:hAnsi="Arial"/>
                <w:sz w:val="16"/>
                <w:szCs w:val="16"/>
                <w:color w:val="auto"/>
              </w:rPr>
              <w:t>Date:</w:t>
            </w:r>
          </w:p>
        </w:tc>
      </w:tr>
      <w:tr>
        <w:trPr>
          <w:trHeight w:val="364"/>
        </w:trPr>
        <w:tc>
          <w:tcPr>
            <w:tcW w:w="5400" w:type="dxa"/>
            <w:vAlign w:val="bottom"/>
            <w:tcBorders>
              <w:bottom w:val="single" w:sz="8" w:color="auto"/>
            </w:tcBorders>
          </w:tcPr>
          <w:p>
            <w:pPr>
              <w:spacing w:after="0"/>
              <w:rPr>
                <w:sz w:val="24"/>
                <w:szCs w:val="24"/>
                <w:color w:val="auto"/>
              </w:rPr>
            </w:pPr>
          </w:p>
        </w:tc>
        <w:tc>
          <w:tcPr>
            <w:tcW w:w="2620" w:type="dxa"/>
            <w:vAlign w:val="bottom"/>
          </w:tcPr>
          <w:p>
            <w:pPr>
              <w:ind w:left="360"/>
              <w:spacing w:after="0"/>
              <w:rPr>
                <w:sz w:val="20"/>
                <w:szCs w:val="20"/>
                <w:color w:val="auto"/>
              </w:rPr>
            </w:pPr>
            <w:r>
              <w:rPr>
                <w:rFonts w:ascii="Arial" w:cs="Arial" w:eastAsia="Arial" w:hAnsi="Arial"/>
                <w:sz w:val="16"/>
                <w:szCs w:val="16"/>
                <w:color w:val="auto"/>
                <w:w w:val="89"/>
              </w:rPr>
              <w:t>____________________________</w:t>
            </w:r>
          </w:p>
        </w:tc>
      </w:tr>
      <w:tr>
        <w:trPr>
          <w:trHeight w:val="386"/>
        </w:trPr>
        <w:tc>
          <w:tcPr>
            <w:tcW w:w="5400" w:type="dxa"/>
            <w:vAlign w:val="bottom"/>
          </w:tcPr>
          <w:p>
            <w:pPr>
              <w:ind w:left="20"/>
              <w:spacing w:after="0"/>
              <w:rPr>
                <w:sz w:val="20"/>
                <w:szCs w:val="20"/>
                <w:color w:val="auto"/>
              </w:rPr>
            </w:pPr>
            <w:r>
              <w:rPr>
                <w:rFonts w:ascii="Arial" w:cs="Arial" w:eastAsia="Arial" w:hAnsi="Arial"/>
                <w:sz w:val="16"/>
                <w:szCs w:val="16"/>
                <w:color w:val="auto"/>
              </w:rPr>
              <w:t>Name: ________________________________</w:t>
            </w:r>
          </w:p>
        </w:tc>
        <w:tc>
          <w:tcPr>
            <w:tcW w:w="2620" w:type="dxa"/>
            <w:vAlign w:val="bottom"/>
          </w:tcPr>
          <w:p>
            <w:pPr>
              <w:spacing w:after="0"/>
              <w:rPr>
                <w:sz w:val="24"/>
                <w:szCs w:val="24"/>
                <w:color w:val="auto"/>
              </w:rPr>
            </w:pPr>
          </w:p>
        </w:tc>
      </w:tr>
      <w:tr>
        <w:trPr>
          <w:trHeight w:val="499"/>
        </w:trPr>
        <w:tc>
          <w:tcPr>
            <w:tcW w:w="5400" w:type="dxa"/>
            <w:vAlign w:val="bottom"/>
          </w:tcPr>
          <w:p>
            <w:pPr>
              <w:ind w:left="20"/>
              <w:spacing w:after="0"/>
              <w:rPr>
                <w:sz w:val="20"/>
                <w:szCs w:val="20"/>
                <w:color w:val="auto"/>
              </w:rPr>
            </w:pPr>
            <w:r>
              <w:rPr>
                <w:rFonts w:ascii="Arial" w:cs="Arial" w:eastAsia="Arial" w:hAnsi="Arial"/>
                <w:sz w:val="16"/>
                <w:szCs w:val="16"/>
                <w:color w:val="auto"/>
              </w:rPr>
              <w:t>Witness:</w:t>
            </w:r>
          </w:p>
        </w:tc>
        <w:tc>
          <w:tcPr>
            <w:tcW w:w="2620" w:type="dxa"/>
            <w:vAlign w:val="bottom"/>
          </w:tcPr>
          <w:p>
            <w:pPr>
              <w:spacing w:after="0"/>
              <w:rPr>
                <w:sz w:val="24"/>
                <w:szCs w:val="24"/>
                <w:color w:val="auto"/>
              </w:rPr>
            </w:pPr>
          </w:p>
        </w:tc>
      </w:tr>
      <w:tr>
        <w:trPr>
          <w:trHeight w:val="195"/>
        </w:trPr>
        <w:tc>
          <w:tcPr>
            <w:tcW w:w="5400" w:type="dxa"/>
            <w:vAlign w:val="bottom"/>
            <w:tcBorders>
              <w:bottom w:val="single" w:sz="8" w:color="auto"/>
            </w:tcBorders>
          </w:tcPr>
          <w:p>
            <w:pPr>
              <w:spacing w:after="0"/>
              <w:rPr>
                <w:sz w:val="16"/>
                <w:szCs w:val="16"/>
                <w:color w:val="auto"/>
              </w:rPr>
            </w:pPr>
          </w:p>
        </w:tc>
        <w:tc>
          <w:tcPr>
            <w:tcW w:w="2620" w:type="dxa"/>
            <w:vAlign w:val="bottom"/>
          </w:tcPr>
          <w:p>
            <w:pPr>
              <w:spacing w:after="0"/>
              <w:rPr>
                <w:sz w:val="16"/>
                <w:szCs w:val="16"/>
                <w:color w:val="auto"/>
              </w:rPr>
            </w:pPr>
          </w:p>
        </w:tc>
      </w:tr>
      <w:tr>
        <w:trPr>
          <w:trHeight w:val="379"/>
        </w:trPr>
        <w:tc>
          <w:tcPr>
            <w:tcW w:w="5400" w:type="dxa"/>
            <w:vAlign w:val="bottom"/>
          </w:tcPr>
          <w:p>
            <w:pPr>
              <w:ind w:left="20"/>
              <w:spacing w:after="0"/>
              <w:rPr>
                <w:sz w:val="20"/>
                <w:szCs w:val="20"/>
                <w:color w:val="auto"/>
              </w:rPr>
            </w:pPr>
            <w:r>
              <w:rPr>
                <w:rFonts w:ascii="Arial" w:cs="Arial" w:eastAsia="Arial" w:hAnsi="Arial"/>
                <w:sz w:val="16"/>
                <w:szCs w:val="16"/>
                <w:color w:val="auto"/>
              </w:rPr>
              <w:t>Name: ________________________________</w:t>
            </w:r>
          </w:p>
        </w:tc>
        <w:tc>
          <w:tcPr>
            <w:tcW w:w="2620" w:type="dxa"/>
            <w:vAlign w:val="bottom"/>
          </w:tcPr>
          <w:p>
            <w:pPr>
              <w:spacing w:after="0"/>
              <w:rPr>
                <w:sz w:val="24"/>
                <w:szCs w:val="24"/>
                <w:color w:val="auto"/>
              </w:rPr>
            </w:pPr>
          </w:p>
        </w:tc>
      </w:tr>
      <w:tr>
        <w:trPr>
          <w:trHeight w:val="769"/>
        </w:trPr>
        <w:tc>
          <w:tcPr>
            <w:tcW w:w="5400" w:type="dxa"/>
            <w:vAlign w:val="bottom"/>
          </w:tcPr>
          <w:p>
            <w:pPr>
              <w:ind w:left="20"/>
              <w:spacing w:after="0"/>
              <w:rPr>
                <w:sz w:val="20"/>
                <w:szCs w:val="20"/>
                <w:color w:val="auto"/>
              </w:rPr>
            </w:pPr>
            <w:r>
              <w:rPr>
                <w:rFonts w:ascii="Arial" w:cs="Arial" w:eastAsia="Arial" w:hAnsi="Arial"/>
                <w:sz w:val="16"/>
                <w:szCs w:val="16"/>
                <w:color w:val="auto"/>
              </w:rPr>
              <w:t>HOMETRUST BANK</w:t>
            </w:r>
          </w:p>
        </w:tc>
        <w:tc>
          <w:tcPr>
            <w:tcW w:w="2620" w:type="dxa"/>
            <w:vAlign w:val="bottom"/>
          </w:tcPr>
          <w:p>
            <w:pPr>
              <w:ind w:left="360"/>
              <w:spacing w:after="0"/>
              <w:rPr>
                <w:sz w:val="20"/>
                <w:szCs w:val="20"/>
                <w:color w:val="auto"/>
              </w:rPr>
            </w:pPr>
            <w:r>
              <w:rPr>
                <w:rFonts w:ascii="Arial" w:cs="Arial" w:eastAsia="Arial" w:hAnsi="Arial"/>
                <w:sz w:val="16"/>
                <w:szCs w:val="16"/>
                <w:color w:val="auto"/>
              </w:rPr>
              <w:t>Date:</w:t>
            </w:r>
          </w:p>
        </w:tc>
      </w:tr>
      <w:tr>
        <w:trPr>
          <w:trHeight w:val="351"/>
        </w:trPr>
        <w:tc>
          <w:tcPr>
            <w:tcW w:w="5400" w:type="dxa"/>
            <w:vAlign w:val="bottom"/>
          </w:tcPr>
          <w:p>
            <w:pPr>
              <w:ind w:left="20"/>
              <w:spacing w:after="0"/>
              <w:rPr>
                <w:sz w:val="20"/>
                <w:szCs w:val="20"/>
                <w:color w:val="auto"/>
              </w:rPr>
            </w:pPr>
            <w:r>
              <w:rPr>
                <w:rFonts w:ascii="Arial" w:cs="Arial" w:eastAsia="Arial" w:hAnsi="Arial"/>
                <w:sz w:val="16"/>
                <w:szCs w:val="16"/>
                <w:color w:val="auto"/>
              </w:rPr>
              <w:t>By: ________________________________</w:t>
            </w:r>
          </w:p>
        </w:tc>
        <w:tc>
          <w:tcPr>
            <w:tcW w:w="2620" w:type="dxa"/>
            <w:vAlign w:val="bottom"/>
          </w:tcPr>
          <w:p>
            <w:pPr>
              <w:ind w:left="360"/>
              <w:spacing w:after="0"/>
              <w:rPr>
                <w:sz w:val="20"/>
                <w:szCs w:val="20"/>
                <w:color w:val="auto"/>
              </w:rPr>
            </w:pPr>
            <w:r>
              <w:rPr>
                <w:rFonts w:ascii="Arial" w:cs="Arial" w:eastAsia="Arial" w:hAnsi="Arial"/>
                <w:sz w:val="16"/>
                <w:szCs w:val="16"/>
                <w:color w:val="auto"/>
                <w:w w:val="89"/>
              </w:rPr>
              <w:t>____________________________</w:t>
            </w:r>
          </w:p>
        </w:tc>
      </w:tr>
      <w:tr>
        <w:trPr>
          <w:trHeight w:val="500"/>
        </w:trPr>
        <w:tc>
          <w:tcPr>
            <w:tcW w:w="5400" w:type="dxa"/>
            <w:vAlign w:val="bottom"/>
          </w:tcPr>
          <w:p>
            <w:pPr>
              <w:ind w:left="20"/>
              <w:spacing w:after="0"/>
              <w:rPr>
                <w:sz w:val="20"/>
                <w:szCs w:val="20"/>
                <w:color w:val="auto"/>
              </w:rPr>
            </w:pPr>
            <w:r>
              <w:rPr>
                <w:rFonts w:ascii="Arial" w:cs="Arial" w:eastAsia="Arial" w:hAnsi="Arial"/>
                <w:sz w:val="16"/>
                <w:szCs w:val="16"/>
                <w:color w:val="auto"/>
              </w:rPr>
              <w:t>ATTEST:</w:t>
            </w:r>
          </w:p>
        </w:tc>
        <w:tc>
          <w:tcPr>
            <w:tcW w:w="2620" w:type="dxa"/>
            <w:vAlign w:val="bottom"/>
          </w:tcPr>
          <w:p>
            <w:pPr>
              <w:spacing w:after="0"/>
              <w:rPr>
                <w:sz w:val="24"/>
                <w:szCs w:val="24"/>
                <w:color w:val="auto"/>
              </w:rPr>
            </w:pPr>
          </w:p>
        </w:tc>
      </w:tr>
      <w:tr>
        <w:trPr>
          <w:trHeight w:val="195"/>
        </w:trPr>
        <w:tc>
          <w:tcPr>
            <w:tcW w:w="5400" w:type="dxa"/>
            <w:vAlign w:val="bottom"/>
            <w:tcBorders>
              <w:bottom w:val="single" w:sz="8" w:color="auto"/>
            </w:tcBorders>
          </w:tcPr>
          <w:p>
            <w:pPr>
              <w:spacing w:after="0"/>
              <w:rPr>
                <w:sz w:val="16"/>
                <w:szCs w:val="16"/>
                <w:color w:val="auto"/>
              </w:rPr>
            </w:pPr>
          </w:p>
        </w:tc>
        <w:tc>
          <w:tcPr>
            <w:tcW w:w="2620" w:type="dxa"/>
            <w:vAlign w:val="bottom"/>
          </w:tcPr>
          <w:p>
            <w:pPr>
              <w:spacing w:after="0"/>
              <w:rPr>
                <w:sz w:val="16"/>
                <w:szCs w:val="16"/>
                <w:color w:val="auto"/>
              </w:rPr>
            </w:pPr>
          </w:p>
        </w:tc>
      </w:tr>
      <w:tr>
        <w:trPr>
          <w:trHeight w:val="460"/>
        </w:trPr>
        <w:tc>
          <w:tcPr>
            <w:tcW w:w="5400" w:type="dxa"/>
            <w:vAlign w:val="bottom"/>
          </w:tcPr>
          <w:p>
            <w:pPr>
              <w:ind w:left="20"/>
              <w:spacing w:after="0"/>
              <w:rPr>
                <w:sz w:val="20"/>
                <w:szCs w:val="20"/>
                <w:color w:val="auto"/>
              </w:rPr>
            </w:pPr>
            <w:r>
              <w:rPr>
                <w:rFonts w:ascii="Arial" w:cs="Arial" w:eastAsia="Arial" w:hAnsi="Arial"/>
                <w:sz w:val="16"/>
                <w:szCs w:val="16"/>
                <w:color w:val="auto"/>
              </w:rPr>
              <w:t>Title: ________________________________</w:t>
            </w:r>
          </w:p>
        </w:tc>
        <w:tc>
          <w:tcPr>
            <w:tcW w:w="26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180"/>
          </w:cols>
          <w:pgMar w:left="320" w:top="1412" w:right="399" w:bottom="1440" w:gutter="0" w:footer="0" w:header="0"/>
        </w:sectPr>
      </w:pPr>
    </w:p>
    <w:bookmarkStart w:id="53" w:name="page54"/>
    <w:bookmarkEnd w:id="53"/>
    <w:p>
      <w:pPr>
        <w:jc w:val="center"/>
        <w:spacing w:after="0"/>
        <w:rPr>
          <w:sz w:val="20"/>
          <w:szCs w:val="20"/>
          <w:color w:val="auto"/>
        </w:rPr>
      </w:pPr>
      <w:r>
        <w:rPr>
          <w:rFonts w:ascii="Arial" w:cs="Arial" w:eastAsia="Arial" w:hAnsi="Arial"/>
          <w:sz w:val="16"/>
          <w:szCs w:val="16"/>
          <w:b w:val="1"/>
          <w:bCs w:val="1"/>
          <w:color w:val="auto"/>
        </w:rPr>
        <w:t>AMENDMENT NO. 1</w:t>
      </w:r>
    </w:p>
    <w:p>
      <w:pPr>
        <w:jc w:val="center"/>
        <w:spacing w:after="0" w:line="211" w:lineRule="auto"/>
        <w:rPr>
          <w:sz w:val="20"/>
          <w:szCs w:val="20"/>
          <w:color w:val="auto"/>
        </w:rPr>
      </w:pPr>
      <w:r>
        <w:rPr>
          <w:rFonts w:ascii="Arial" w:cs="Arial" w:eastAsia="Arial" w:hAnsi="Arial"/>
          <w:sz w:val="16"/>
          <w:szCs w:val="16"/>
          <w:b w:val="1"/>
          <w:bCs w:val="1"/>
          <w:color w:val="auto"/>
        </w:rPr>
        <w:t>To</w:t>
      </w:r>
    </w:p>
    <w:p>
      <w:pPr>
        <w:jc w:val="center"/>
        <w:spacing w:after="0" w:line="211" w:lineRule="auto"/>
        <w:rPr>
          <w:sz w:val="20"/>
          <w:szCs w:val="20"/>
          <w:color w:val="auto"/>
        </w:rPr>
      </w:pPr>
      <w:r>
        <w:rPr>
          <w:rFonts w:ascii="Arial" w:cs="Arial" w:eastAsia="Arial" w:hAnsi="Arial"/>
          <w:sz w:val="16"/>
          <w:szCs w:val="16"/>
          <w:b w:val="1"/>
          <w:bCs w:val="1"/>
          <w:color w:val="auto"/>
        </w:rPr>
        <w:t>HOMETRUST BANK</w:t>
      </w:r>
    </w:p>
    <w:p>
      <w:pPr>
        <w:jc w:val="center"/>
        <w:spacing w:after="0" w:line="211" w:lineRule="auto"/>
        <w:rPr>
          <w:sz w:val="20"/>
          <w:szCs w:val="20"/>
          <w:color w:val="auto"/>
        </w:rPr>
      </w:pPr>
      <w:r>
        <w:rPr>
          <w:rFonts w:ascii="Arial" w:cs="Arial" w:eastAsia="Arial" w:hAnsi="Arial"/>
          <w:sz w:val="16"/>
          <w:szCs w:val="16"/>
          <w:b w:val="1"/>
          <w:bCs w:val="1"/>
          <w:color w:val="auto"/>
        </w:rPr>
        <w:t>EXECUTIVE SUPPLEMENTAL RETIREMENT INCOME MASTER AGREEMENT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(ADDENDUM TO DISABILITY CLAIMS PROCEDURE)</w:t>
      </w:r>
    </w:p>
    <w:p>
      <w:pPr>
        <w:spacing w:after="0" w:line="207"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This Amendment No. 1 to the HomeTrust Bank Executive Supplemental Retirement Income Master Agreement (the “Plan”) is made effective as of April 1, 2018 and shall apply to all claims for Disability Benefits under the Plan received on or after April 1, 2018. All capitalized terms not defined herein shall have the meaning set forth in the Plan.</w:t>
      </w:r>
    </w:p>
    <w:p>
      <w:pPr>
        <w:spacing w:after="0" w:line="200"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6"/>
          <w:szCs w:val="16"/>
          <w:u w:val="single" w:color="auto"/>
          <w:color w:val="auto"/>
        </w:rPr>
        <w:t>Disability Claim.</w:t>
      </w:r>
      <w:r>
        <w:rPr>
          <w:rFonts w:ascii="Arial" w:cs="Arial" w:eastAsia="Arial" w:hAnsi="Arial"/>
          <w:sz w:val="16"/>
          <w:szCs w:val="16"/>
          <w:color w:val="auto"/>
        </w:rPr>
        <w:t xml:space="preserve"> The Administrator shall ensure that all written claims for Disability Benefits under the Plan and all appeals related to Disability Benefits are adjudicated in a manner designed to ensure the independence and impartiality of the persons involved in making the decision. The claims procedures set forth in this Amendment supersede all claims procedures language set forth in Section 7.7 of the Plan with respect to claims for Disability Benefits, except that the first sentence of Section 7.7 of the Plan shall continue to apply.</w:t>
      </w:r>
    </w:p>
    <w:p>
      <w:pPr>
        <w:spacing w:after="0" w:line="20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4"/>
          <w:szCs w:val="14"/>
          <w:u w:val="single" w:color="auto"/>
          <w:color w:val="auto"/>
        </w:rPr>
        <w:t>Timing of Administrator Response.</w:t>
      </w:r>
      <w:r>
        <w:rPr>
          <w:rFonts w:ascii="Arial" w:cs="Arial" w:eastAsia="Arial" w:hAnsi="Arial"/>
          <w:sz w:val="14"/>
          <w:szCs w:val="14"/>
          <w:color w:val="auto"/>
        </w:rPr>
        <w:t xml:space="preserve"> If the claim relates to a determination of disability, and the claim requires an independent determination by the Administrator of an Executive’s disability status, the Administrator shall notify the claimant of the Plan’s benefit determination within a reasonable period of time, but no later than forty-five (45) days after receipt of the claim. If, due to matters beyond the control of the Plan, the Administrator needs additional time to process a claim, the claimant will be notified, within forty-five (45) days after the Administrator receives the claim, of the circumstances requiring the extension of time and the date by which the Administrator expects to make its decision, but not beyond seventy-five (75) days from the date the claim was received. If, prior to the end of the extension period, due to matters beyond the control of the Plan, a decision cannot be rendered within that extension period, the period for making the determination may be extended for up to an additional thirty</w:t>
      </w:r>
    </w:p>
    <w:p>
      <w:pPr>
        <w:spacing w:after="0" w:line="4" w:lineRule="exact"/>
        <w:rPr>
          <w:sz w:val="20"/>
          <w:szCs w:val="20"/>
          <w:color w:val="auto"/>
        </w:rPr>
      </w:pPr>
    </w:p>
    <w:p>
      <w:pPr>
        <w:jc w:val="both"/>
        <w:ind w:firstLine="8"/>
        <w:spacing w:after="0" w:line="221" w:lineRule="auto"/>
        <w:tabs>
          <w:tab w:leader="none" w:pos="311" w:val="left"/>
        </w:tabs>
        <w:numPr>
          <w:ilvl w:val="0"/>
          <w:numId w:val="22"/>
        </w:numPr>
        <w:rPr>
          <w:rFonts w:ascii="Arial" w:cs="Arial" w:eastAsia="Arial" w:hAnsi="Arial"/>
          <w:sz w:val="16"/>
          <w:szCs w:val="16"/>
          <w:color w:val="auto"/>
        </w:rPr>
      </w:pPr>
      <w:r>
        <w:rPr>
          <w:rFonts w:ascii="Arial" w:cs="Arial" w:eastAsia="Arial" w:hAnsi="Arial"/>
          <w:sz w:val="16"/>
          <w:szCs w:val="16"/>
          <w:color w:val="auto"/>
        </w:rPr>
        <w:t>days, provided that the Administrator notifies the claimant, prior to the expiration of the first extension period, of the circumstances requiring the extension and the date by which the Plan expects to render a decision. The extension notice shall specifically explain the standards on which entitlement to a disability benefit is based, the unresolved issues that prevent a decision on the claim and the additional information needed from the claimant to resolve those issues, and the claimant shall be afforded at least forty-five (45) days within which to provide the specified information.</w:t>
      </w:r>
    </w:p>
    <w:p>
      <w:pPr>
        <w:spacing w:after="0" w:line="19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5"/>
          <w:szCs w:val="15"/>
          <w:u w:val="single" w:color="auto"/>
          <w:color w:val="auto"/>
        </w:rPr>
        <w:t>Calculating Time Periods</w:t>
      </w:r>
      <w:r>
        <w:rPr>
          <w:rFonts w:ascii="Arial" w:cs="Arial" w:eastAsia="Arial" w:hAnsi="Arial"/>
          <w:sz w:val="15"/>
          <w:szCs w:val="15"/>
          <w:color w:val="auto"/>
        </w:rPr>
        <w:t xml:space="preserve">. </w:t>
      </w:r>
      <w:r>
        <w:rPr>
          <w:rFonts w:ascii="Arial" w:cs="Arial" w:eastAsia="Arial" w:hAnsi="Arial"/>
          <w:sz w:val="15"/>
          <w:szCs w:val="15"/>
          <w:color w:val="333333"/>
        </w:rPr>
        <w:t>For purposes of</w:t>
      </w:r>
      <w:r>
        <w:rPr>
          <w:rFonts w:ascii="Arial" w:cs="Arial" w:eastAsia="Arial" w:hAnsi="Arial"/>
          <w:sz w:val="15"/>
          <w:szCs w:val="15"/>
          <w:color w:val="auto"/>
        </w:rPr>
        <w:t xml:space="preserve"> calculating the time periods in the preceding paragraph</w:t>
      </w:r>
      <w:r>
        <w:rPr>
          <w:rFonts w:ascii="Arial" w:cs="Arial" w:eastAsia="Arial" w:hAnsi="Arial"/>
          <w:sz w:val="15"/>
          <w:szCs w:val="15"/>
          <w:color w:val="333333"/>
        </w:rPr>
        <w:t>, the period of time within which a benefit determination is</w:t>
      </w:r>
      <w:r>
        <w:rPr>
          <w:rFonts w:ascii="Arial" w:cs="Arial" w:eastAsia="Arial" w:hAnsi="Arial"/>
          <w:sz w:val="15"/>
          <w:szCs w:val="15"/>
          <w:color w:val="auto"/>
        </w:rPr>
        <w:t xml:space="preserve"> </w:t>
      </w:r>
      <w:r>
        <w:rPr>
          <w:rFonts w:ascii="Arial" w:cs="Arial" w:eastAsia="Arial" w:hAnsi="Arial"/>
          <w:sz w:val="15"/>
          <w:szCs w:val="15"/>
          <w:color w:val="333333"/>
        </w:rPr>
        <w:t>required to be made shall begin at the time a claim is filed in accordance with the reasonable procedures of the Plan, without regard to whether all the information necessary to make a benefit determination accompanies the filing. In the event that a period of time is extended as permitted pursuant to the preceding paragraph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spacing w:after="0" w:line="20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u w:val="single" w:color="auto"/>
          <w:color w:val="auto"/>
        </w:rPr>
        <w:t>Notice of Decision.</w:t>
      </w:r>
      <w:r>
        <w:rPr>
          <w:rFonts w:ascii="Arial" w:cs="Arial" w:eastAsia="Arial" w:hAnsi="Arial"/>
          <w:sz w:val="16"/>
          <w:szCs w:val="16"/>
          <w:color w:val="auto"/>
        </w:rPr>
        <w:t xml:space="preserve"> In the case of an adverse benefit determination with respect to disability benefits, the Administrator will provide a notification in a culturally and linguistically appropriate manner (as described in Department of Labor Regulation Section 2560.503-1(o)) that shall set forth the following in a manner calculated to be understood by the claimant:</w:t>
      </w:r>
    </w:p>
    <w:p>
      <w:pPr>
        <w:spacing w:after="0" w:line="200" w:lineRule="exact"/>
        <w:rPr>
          <w:sz w:val="20"/>
          <w:szCs w:val="20"/>
          <w:color w:val="auto"/>
        </w:rPr>
      </w:pPr>
    </w:p>
    <w:p>
      <w:pPr>
        <w:ind w:left="840" w:hanging="184"/>
        <w:spacing w:after="0"/>
        <w:tabs>
          <w:tab w:leader="none" w:pos="8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specific reasons for the adverse determination;</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reference to the specific provisions of the Plan or insurance contract on which the determination is based;</w:t>
      </w:r>
    </w:p>
    <w:p>
      <w:pPr>
        <w:spacing w:after="0" w:line="221" w:lineRule="exact"/>
        <w:rPr>
          <w:rFonts w:ascii="Arial" w:cs="Arial" w:eastAsia="Arial" w:hAnsi="Arial"/>
          <w:sz w:val="16"/>
          <w:szCs w:val="16"/>
          <w:color w:val="auto"/>
        </w:rPr>
      </w:pPr>
    </w:p>
    <w:p>
      <w:pPr>
        <w:ind w:right="20" w:firstLine="656"/>
        <w:spacing w:after="0"/>
        <w:tabs>
          <w:tab w:leader="none" w:pos="934" w:val="left"/>
        </w:tabs>
        <w:numPr>
          <w:ilvl w:val="0"/>
          <w:numId w:val="23"/>
        </w:numPr>
        <w:rPr>
          <w:rFonts w:ascii="Arial" w:cs="Arial" w:eastAsia="Arial" w:hAnsi="Arial"/>
          <w:sz w:val="16"/>
          <w:szCs w:val="16"/>
          <w:color w:val="auto"/>
        </w:rPr>
      </w:pPr>
      <w:r>
        <w:rPr>
          <w:rFonts w:ascii="Arial" w:cs="Arial" w:eastAsia="Arial" w:hAnsi="Arial"/>
          <w:sz w:val="16"/>
          <w:szCs w:val="16"/>
          <w:color w:val="auto"/>
        </w:rPr>
        <w:t>notice that the claimant has a right to request a review of the claim denial and an explanation of the Plan’s review procedures and the time limits applicable to such procedures;</w:t>
      </w:r>
    </w:p>
    <w:p>
      <w:pPr>
        <w:spacing w:after="0" w:line="199" w:lineRule="exact"/>
        <w:rPr>
          <w:rFonts w:ascii="Arial" w:cs="Arial" w:eastAsia="Arial" w:hAnsi="Arial"/>
          <w:sz w:val="16"/>
          <w:szCs w:val="16"/>
          <w:color w:val="auto"/>
        </w:rPr>
      </w:pPr>
    </w:p>
    <w:p>
      <w:pPr>
        <w:ind w:firstLine="656"/>
        <w:spacing w:after="0"/>
        <w:tabs>
          <w:tab w:leader="none" w:pos="926"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ERISA Section 502(a) following an adverse benefit determination on review, and a description of any time limit that applies under the Plan for bringing such an action;</w:t>
      </w:r>
    </w:p>
    <w:p>
      <w:pPr>
        <w:spacing w:after="0" w:line="199" w:lineRule="exact"/>
        <w:rPr>
          <w:rFonts w:ascii="Arial" w:cs="Arial" w:eastAsia="Arial" w:hAnsi="Arial"/>
          <w:sz w:val="16"/>
          <w:szCs w:val="16"/>
          <w:color w:val="auto"/>
        </w:rPr>
      </w:pPr>
    </w:p>
    <w:p>
      <w:pPr>
        <w:ind w:left="880" w:hanging="224"/>
        <w:spacing w:after="0"/>
        <w:tabs>
          <w:tab w:leader="none" w:pos="8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discussion of the decision, including an explanation of the basis for disagreeing with or not following:</w:t>
      </w:r>
    </w:p>
    <w:p>
      <w:pPr>
        <w:spacing w:after="0" w:line="221" w:lineRule="exact"/>
        <w:rPr>
          <w:rFonts w:ascii="Arial" w:cs="Arial" w:eastAsia="Arial" w:hAnsi="Arial"/>
          <w:sz w:val="16"/>
          <w:szCs w:val="16"/>
          <w:color w:val="auto"/>
        </w:rPr>
      </w:pPr>
    </w:p>
    <w:p>
      <w:pPr>
        <w:ind w:left="1540" w:hanging="236"/>
        <w:spacing w:after="0"/>
        <w:tabs>
          <w:tab w:leader="none" w:pos="1540" w:val="left"/>
        </w:tabs>
        <w:numPr>
          <w:ilvl w:val="1"/>
          <w:numId w:val="23"/>
        </w:numPr>
        <w:rPr>
          <w:rFonts w:ascii="Arial" w:cs="Arial" w:eastAsia="Arial" w:hAnsi="Arial"/>
          <w:sz w:val="15"/>
          <w:szCs w:val="15"/>
          <w:color w:val="auto"/>
        </w:rPr>
      </w:pPr>
      <w:r>
        <w:rPr>
          <w:rFonts w:ascii="Arial" w:cs="Arial" w:eastAsia="Arial" w:hAnsi="Arial"/>
          <w:sz w:val="15"/>
          <w:szCs w:val="15"/>
          <w:color w:val="auto"/>
        </w:rPr>
        <w:t>the views presented by the claimant of health care professionals treating the claimant and vocational professionals who evaluated the claimant;</w:t>
      </w:r>
    </w:p>
    <w:p>
      <w:pPr>
        <w:spacing w:after="0" w:line="232" w:lineRule="exact"/>
        <w:rPr>
          <w:rFonts w:ascii="Arial" w:cs="Arial" w:eastAsia="Arial" w:hAnsi="Arial"/>
          <w:sz w:val="15"/>
          <w:szCs w:val="15"/>
          <w:color w:val="auto"/>
        </w:rPr>
      </w:pPr>
    </w:p>
    <w:p>
      <w:pPr>
        <w:ind w:right="20" w:firstLine="1304"/>
        <w:spacing w:after="0"/>
        <w:tabs>
          <w:tab w:leader="none" w:pos="1554" w:val="left"/>
        </w:tabs>
        <w:numPr>
          <w:ilvl w:val="1"/>
          <w:numId w:val="23"/>
        </w:numPr>
        <w:rPr>
          <w:rFonts w:ascii="Arial" w:cs="Arial" w:eastAsia="Arial" w:hAnsi="Arial"/>
          <w:sz w:val="16"/>
          <w:szCs w:val="16"/>
          <w:color w:val="auto"/>
        </w:rPr>
      </w:pPr>
      <w:r>
        <w:rPr>
          <w:rFonts w:ascii="Arial" w:cs="Arial" w:eastAsia="Arial" w:hAnsi="Arial"/>
          <w:sz w:val="16"/>
          <w:szCs w:val="16"/>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99" w:lineRule="exact"/>
        <w:rPr>
          <w:rFonts w:ascii="Arial" w:cs="Arial" w:eastAsia="Arial" w:hAnsi="Arial"/>
          <w:sz w:val="16"/>
          <w:szCs w:val="16"/>
          <w:color w:val="auto"/>
        </w:rPr>
      </w:pPr>
    </w:p>
    <w:p>
      <w:pPr>
        <w:ind w:left="1540" w:hanging="236"/>
        <w:spacing w:after="0"/>
        <w:tabs>
          <w:tab w:leader="none" w:pos="154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disability determination regarding the claimant presented by the claimant made by the Social Security Administration.</w:t>
      </w:r>
    </w:p>
    <w:p>
      <w:pPr>
        <w:spacing w:after="0" w:line="221" w:lineRule="exact"/>
        <w:rPr>
          <w:rFonts w:ascii="Arial" w:cs="Arial" w:eastAsia="Arial" w:hAnsi="Arial"/>
          <w:sz w:val="16"/>
          <w:szCs w:val="16"/>
          <w:color w:val="auto"/>
        </w:rPr>
      </w:pPr>
    </w:p>
    <w:p>
      <w:pPr>
        <w:jc w:val="both"/>
        <w:ind w:firstLine="656"/>
        <w:spacing w:after="0" w:line="230" w:lineRule="auto"/>
        <w:tabs>
          <w:tab w:leader="none" w:pos="944"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200" w:lineRule="exact"/>
        <w:rPr>
          <w:rFonts w:ascii="Arial" w:cs="Arial" w:eastAsia="Arial" w:hAnsi="Arial"/>
          <w:sz w:val="16"/>
          <w:szCs w:val="16"/>
          <w:color w:val="auto"/>
        </w:rPr>
      </w:pPr>
    </w:p>
    <w:p>
      <w:pPr>
        <w:ind w:firstLine="656"/>
        <w:spacing w:after="0"/>
        <w:tabs>
          <w:tab w:leader="none" w:pos="986" w:val="left"/>
        </w:tabs>
        <w:numPr>
          <w:ilvl w:val="0"/>
          <w:numId w:val="23"/>
        </w:numPr>
        <w:rPr>
          <w:rFonts w:ascii="Arial" w:cs="Arial" w:eastAsia="Arial" w:hAnsi="Arial"/>
          <w:sz w:val="16"/>
          <w:szCs w:val="16"/>
          <w:color w:val="auto"/>
        </w:rPr>
      </w:pPr>
      <w:r>
        <w:rPr>
          <w:rFonts w:ascii="Arial" w:cs="Arial" w:eastAsia="Arial" w:hAnsi="Arial"/>
          <w:sz w:val="16"/>
          <w:szCs w:val="16"/>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4" w:right="339" w:bottom="1440" w:gutter="0" w:footer="0" w:header="0"/>
        </w:sectPr>
      </w:pPr>
    </w:p>
    <w:bookmarkStart w:id="54" w:name="page55"/>
    <w:bookmarkEnd w:id="54"/>
    <w:p>
      <w:pPr>
        <w:jc w:val="both"/>
        <w:ind w:firstLine="656"/>
        <w:spacing w:after="0" w:line="230" w:lineRule="auto"/>
        <w:tabs>
          <w:tab w:leader="none" w:pos="1026"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in accordance with Department of Labor Regulation Section 2560.503-1(m)(8).</w:t>
      </w:r>
    </w:p>
    <w:p>
      <w:pPr>
        <w:spacing w:after="0" w:line="200" w:lineRule="exact"/>
        <w:rPr>
          <w:sz w:val="20"/>
          <w:szCs w:val="20"/>
          <w:color w:val="auto"/>
        </w:rPr>
      </w:pPr>
    </w:p>
    <w:p>
      <w:pPr>
        <w:jc w:val="both"/>
        <w:ind w:right="20" w:firstLine="648"/>
        <w:spacing w:after="0" w:line="230" w:lineRule="auto"/>
        <w:rPr>
          <w:sz w:val="20"/>
          <w:szCs w:val="20"/>
          <w:color w:val="auto"/>
        </w:rPr>
      </w:pPr>
      <w:r>
        <w:rPr>
          <w:rFonts w:ascii="Arial" w:cs="Arial" w:eastAsia="Arial" w:hAnsi="Arial"/>
          <w:sz w:val="16"/>
          <w:szCs w:val="16"/>
          <w:u w:val="single" w:color="auto"/>
          <w:color w:val="auto"/>
        </w:rPr>
        <w:t>Appeal of Adverse Benefit Determinations.</w:t>
      </w:r>
      <w:r>
        <w:rPr>
          <w:rFonts w:ascii="Arial" w:cs="Arial" w:eastAsia="Arial" w:hAnsi="Arial"/>
          <w:sz w:val="16"/>
          <w:szCs w:val="16"/>
          <w:color w:val="auto"/>
        </w:rPr>
        <w:t xml:space="preserve"> If the initial claim for Disability Benefits requires an independent determination by the Administrator of an Executive’s disability status, and the Administrator denies the claim, in whole or in part, the claimant shall have a reasonable opportunity to appeal the adverse benefit determination to an appropriate named fiduciary of the Plan for a full and fair review of the claim and the adverse benefit determination, as follows:</w:t>
      </w:r>
    </w:p>
    <w:p>
      <w:pPr>
        <w:spacing w:after="0" w:line="200" w:lineRule="exact"/>
        <w:rPr>
          <w:sz w:val="20"/>
          <w:szCs w:val="20"/>
          <w:color w:val="auto"/>
        </w:rPr>
      </w:pPr>
    </w:p>
    <w:p>
      <w:pPr>
        <w:ind w:left="840" w:hanging="184"/>
        <w:spacing w:after="0"/>
        <w:tabs>
          <w:tab w:leader="none" w:pos="840" w:val="left"/>
        </w:tabs>
        <w:numPr>
          <w:ilvl w:val="1"/>
          <w:numId w:val="25"/>
        </w:numPr>
        <w:rPr>
          <w:rFonts w:ascii="Arial" w:cs="Arial" w:eastAsia="Arial" w:hAnsi="Arial"/>
          <w:sz w:val="15"/>
          <w:szCs w:val="15"/>
          <w:color w:val="auto"/>
        </w:rPr>
      </w:pPr>
      <w:r>
        <w:rPr>
          <w:rFonts w:ascii="Arial" w:cs="Arial" w:eastAsia="Arial" w:hAnsi="Arial"/>
          <w:sz w:val="15"/>
          <w:szCs w:val="15"/>
          <w:color w:val="auto"/>
        </w:rPr>
        <w:t>The c</w:t>
      </w:r>
      <w:r>
        <w:rPr>
          <w:rFonts w:ascii="Arial" w:cs="Arial" w:eastAsia="Arial" w:hAnsi="Arial"/>
          <w:sz w:val="15"/>
          <w:szCs w:val="15"/>
          <w:color w:val="333333"/>
        </w:rPr>
        <w:t>laimant shall have at least 180 days following receipt of a notification of an adverse benefit determination within which to appeal the determination;</w:t>
      </w:r>
    </w:p>
    <w:p>
      <w:pPr>
        <w:spacing w:after="0" w:line="232" w:lineRule="exact"/>
        <w:rPr>
          <w:rFonts w:ascii="Arial" w:cs="Arial" w:eastAsia="Arial" w:hAnsi="Arial"/>
          <w:sz w:val="15"/>
          <w:szCs w:val="15"/>
          <w:color w:val="auto"/>
        </w:rPr>
      </w:pPr>
    </w:p>
    <w:p>
      <w:pPr>
        <w:ind w:left="900" w:hanging="244"/>
        <w:spacing w:after="0"/>
        <w:tabs>
          <w:tab w:leader="none" w:pos="9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claimant shall have the opportunity to submit written comments, documents, records and other information relating to the claim for benefits;</w:t>
      </w:r>
    </w:p>
    <w:p>
      <w:pPr>
        <w:spacing w:after="0" w:line="221" w:lineRule="exact"/>
        <w:rPr>
          <w:rFonts w:ascii="Arial" w:cs="Arial" w:eastAsia="Arial" w:hAnsi="Arial"/>
          <w:sz w:val="16"/>
          <w:szCs w:val="16"/>
          <w:color w:val="auto"/>
        </w:rPr>
      </w:pPr>
    </w:p>
    <w:p>
      <w:pPr>
        <w:jc w:val="both"/>
        <w:ind w:firstLine="656"/>
        <w:spacing w:after="0" w:line="225" w:lineRule="auto"/>
        <w:tabs>
          <w:tab w:leader="none" w:pos="931" w:val="left"/>
        </w:tabs>
        <w:numPr>
          <w:ilvl w:val="1"/>
          <w:numId w:val="25"/>
        </w:numPr>
        <w:rPr>
          <w:rFonts w:ascii="Arial" w:cs="Arial" w:eastAsia="Arial" w:hAnsi="Arial"/>
          <w:sz w:val="16"/>
          <w:szCs w:val="16"/>
          <w:color w:val="auto"/>
        </w:rPr>
      </w:pPr>
      <w:r>
        <w:rPr>
          <w:rFonts w:ascii="Arial" w:cs="Arial" w:eastAsia="Arial" w:hAnsi="Arial"/>
          <w:sz w:val="16"/>
          <w:szCs w:val="16"/>
          <w:color w:val="auto"/>
        </w:rPr>
        <w:t>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review is required to be provided, to give the claimant a reasonable opportunity to respond prior to that date.</w:t>
      </w:r>
    </w:p>
    <w:p>
      <w:pPr>
        <w:spacing w:after="0" w:line="201" w:lineRule="exact"/>
        <w:rPr>
          <w:rFonts w:ascii="Arial" w:cs="Arial" w:eastAsia="Arial" w:hAnsi="Arial"/>
          <w:sz w:val="16"/>
          <w:szCs w:val="16"/>
          <w:color w:val="auto"/>
        </w:rPr>
      </w:pPr>
    </w:p>
    <w:p>
      <w:pPr>
        <w:jc w:val="both"/>
        <w:ind w:firstLine="656"/>
        <w:spacing w:after="0" w:line="217" w:lineRule="auto"/>
        <w:tabs>
          <w:tab w:leader="none" w:pos="927" w:val="left"/>
        </w:tabs>
        <w:numPr>
          <w:ilvl w:val="1"/>
          <w:numId w:val="25"/>
        </w:numPr>
        <w:rPr>
          <w:rFonts w:ascii="Arial" w:cs="Arial" w:eastAsia="Arial" w:hAnsi="Arial"/>
          <w:sz w:val="16"/>
          <w:szCs w:val="16"/>
          <w:color w:val="auto"/>
        </w:rPr>
      </w:pPr>
      <w:r>
        <w:rPr>
          <w:rFonts w:ascii="Arial" w:cs="Arial" w:eastAsia="Arial" w:hAnsi="Arial"/>
          <w:sz w:val="16"/>
          <w:szCs w:val="16"/>
          <w:color w:val="auto"/>
        </w:rPr>
        <w:t>The Administrator shall respond in writing to such claimant within forty-five (45) days after receiving the request for review. If the Administrator determines that special circumstances require additional time for processing the claim, the Administrator can extend the response period by an additional forty-five (45) days by notifying the claimant in writing, prior to the end of the initial 45-day period, that an additional period is required. The notice of extension must set forth the special circumstances requiring an extension of time and the date by which the Administrator expects to render its decision. For purposes of this paragraph, the period of time within which a benefit determination on review is required to be made shall begin at the time an appeal is filed in accordance with the reasonable procedures of the Plan, without regard to whether all the information necessary to make a benefit determination on review accompanies the filing. In the event that a period of time is extended as permitted pursuant to this paragraph due to the claimant's failure to submit information necessary to decide a claim, the period for making the benefit determination on review shall be tolled from the date on which the notification of the extension is sent to the claimant until the date on which the claimant responds to the request for additional information.</w:t>
      </w:r>
    </w:p>
    <w:p>
      <w:pPr>
        <w:spacing w:after="0" w:line="203" w:lineRule="exact"/>
        <w:rPr>
          <w:rFonts w:ascii="Arial" w:cs="Arial" w:eastAsia="Arial" w:hAnsi="Arial"/>
          <w:sz w:val="16"/>
          <w:szCs w:val="16"/>
          <w:color w:val="auto"/>
        </w:rPr>
      </w:pPr>
    </w:p>
    <w:p>
      <w:pPr>
        <w:jc w:val="both"/>
        <w:ind w:firstLine="8"/>
        <w:spacing w:after="0" w:line="225" w:lineRule="auto"/>
        <w:tabs>
          <w:tab w:leader="none" w:pos="231"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claimant shall be given the opportunity to submit issues and written comments to the Administrator,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201" w:lineRule="exact"/>
        <w:rPr>
          <w:rFonts w:ascii="Arial" w:cs="Arial" w:eastAsia="Arial" w:hAnsi="Arial"/>
          <w:sz w:val="16"/>
          <w:szCs w:val="16"/>
          <w:color w:val="auto"/>
        </w:rPr>
      </w:pPr>
    </w:p>
    <w:p>
      <w:pPr>
        <w:jc w:val="both"/>
        <w:ind w:firstLine="8"/>
        <w:spacing w:after="0" w:line="251" w:lineRule="auto"/>
        <w:tabs>
          <w:tab w:leader="none" w:pos="284" w:val="left"/>
        </w:tabs>
        <w:numPr>
          <w:ilvl w:val="0"/>
          <w:numId w:val="26"/>
        </w:numPr>
        <w:rPr>
          <w:rFonts w:ascii="Arial" w:cs="Arial" w:eastAsia="Arial" w:hAnsi="Arial"/>
          <w:sz w:val="14"/>
          <w:szCs w:val="14"/>
          <w:color w:val="auto"/>
        </w:rPr>
      </w:pPr>
      <w:r>
        <w:rPr>
          <w:rFonts w:ascii="Arial" w:cs="Arial" w:eastAsia="Arial" w:hAnsi="Arial"/>
          <w:sz w:val="14"/>
          <w:szCs w:val="14"/>
          <w:color w:val="auto"/>
        </w:rPr>
        <w:t>In considering the review, the Administrator shall take into account all comments, documents, records and other information submitted by the claimant relating to the claim, without regard to whether such information was submitted or considered in the initial benefit determination. Additional considerations shall be required in the case of a claim for disability benefits.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 If the initial adverse benefit determination was based in whole or in part on a medical judgment, the appropriate named fiduciary of the Plan shall consult with a health care professional who has appropriate training and experience in the field of medicine involving the medical judgment. The health care professional who is consulted on appeal will not be the same individual who was consulted during the initial determination or a subordinate of such individual. If the Administrator obtained the advice of medical or vocational experts in making the initial adverse benefits determination (regardless of whether the advice was relied upon), the Administrator will identify such experts.</w:t>
      </w:r>
    </w:p>
    <w:p>
      <w:pPr>
        <w:spacing w:after="0" w:line="192"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u w:val="single" w:color="auto"/>
          <w:color w:val="auto"/>
        </w:rPr>
        <w:t>Notice of Decision after Review.</w:t>
      </w:r>
      <w:r>
        <w:rPr>
          <w:rFonts w:ascii="Arial" w:cs="Arial" w:eastAsia="Arial" w:hAnsi="Arial"/>
          <w:sz w:val="16"/>
          <w:szCs w:val="16"/>
          <w:color w:val="auto"/>
        </w:rPr>
        <w:t xml:space="preserve"> In the case of an adverse benefit determination with respect to Disability Benefits, the Administrator will provide a notification in a culturally and linguistically appropriate manner (as described in Department of Labor Regulation Section 2560.503-1(o)) that shall set forth the following in a manner calculated to be understood by the claimant:</w:t>
      </w:r>
    </w:p>
    <w:p>
      <w:pPr>
        <w:spacing w:after="0" w:line="200" w:lineRule="exact"/>
        <w:rPr>
          <w:sz w:val="20"/>
          <w:szCs w:val="20"/>
          <w:color w:val="auto"/>
        </w:rPr>
      </w:pPr>
    </w:p>
    <w:p>
      <w:pPr>
        <w:ind w:left="840" w:hanging="184"/>
        <w:spacing w:after="0"/>
        <w:tabs>
          <w:tab w:leader="none" w:pos="8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Administrator’s decision;</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specific reasons for the adverse determination;</w:t>
      </w:r>
    </w:p>
    <w:p>
      <w:pPr>
        <w:spacing w:after="0" w:line="221" w:lineRule="exact"/>
        <w:rPr>
          <w:rFonts w:ascii="Arial" w:cs="Arial" w:eastAsia="Arial" w:hAnsi="Arial"/>
          <w:sz w:val="16"/>
          <w:szCs w:val="16"/>
          <w:color w:val="auto"/>
        </w:rPr>
      </w:pPr>
    </w:p>
    <w:p>
      <w:pPr>
        <w:ind w:left="940" w:hanging="284"/>
        <w:spacing w:after="0"/>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reference to the specific provisions of the Plan or insurance contract on which the decision is based;</w:t>
      </w:r>
    </w:p>
    <w:p>
      <w:pPr>
        <w:spacing w:after="0" w:line="221" w:lineRule="exact"/>
        <w:rPr>
          <w:rFonts w:ascii="Arial" w:cs="Arial" w:eastAsia="Arial" w:hAnsi="Arial"/>
          <w:sz w:val="16"/>
          <w:szCs w:val="16"/>
          <w:color w:val="auto"/>
        </w:rPr>
      </w:pPr>
    </w:p>
    <w:p>
      <w:pPr>
        <w:ind w:firstLine="656"/>
        <w:spacing w:after="0"/>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(as defined in applicable ERISA regulations) to the claimant's claim for benefits;</w:t>
      </w:r>
    </w:p>
    <w:p>
      <w:pPr>
        <w:spacing w:after="0" w:line="199" w:lineRule="exact"/>
        <w:rPr>
          <w:rFonts w:ascii="Arial" w:cs="Arial" w:eastAsia="Arial" w:hAnsi="Arial"/>
          <w:sz w:val="16"/>
          <w:szCs w:val="16"/>
          <w:color w:val="auto"/>
        </w:rPr>
      </w:pPr>
    </w:p>
    <w:p>
      <w:pPr>
        <w:ind w:left="880" w:hanging="224"/>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statement describing any voluntary appeal procedures offered by the Plan and the claimant’s right to obtain information about such procedures;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sectPr>
      </w:pPr>
    </w:p>
    <w:bookmarkStart w:id="55" w:name="page56"/>
    <w:bookmarkEnd w:id="55"/>
    <w:p>
      <w:pPr>
        <w:ind w:firstLine="656"/>
        <w:spacing w:after="0"/>
        <w:tabs>
          <w:tab w:leader="none" w:pos="931"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ERISA Section 502(a) which shall describe any applicable contractual limitations period that applies to the claimant’s right to bring such an action, including the calendar date on which the contractual limitations period expires for the claim;</w:t>
      </w:r>
    </w:p>
    <w:p>
      <w:pPr>
        <w:spacing w:after="0" w:line="191" w:lineRule="exact"/>
        <w:rPr>
          <w:rFonts w:ascii="Arial" w:cs="Arial" w:eastAsia="Arial" w:hAnsi="Arial"/>
          <w:sz w:val="16"/>
          <w:szCs w:val="16"/>
          <w:color w:val="auto"/>
        </w:rPr>
      </w:pPr>
    </w:p>
    <w:p>
      <w:pPr>
        <w:ind w:left="980" w:hanging="324"/>
        <w:spacing w:after="0"/>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 discussion of the decision, including an explanation of the basis for disagreeing with or not following:</w:t>
      </w:r>
    </w:p>
    <w:p>
      <w:pPr>
        <w:ind w:left="1540" w:hanging="236"/>
        <w:spacing w:after="0"/>
        <w:tabs>
          <w:tab w:leader="none" w:pos="1540" w:val="left"/>
        </w:tabs>
        <w:numPr>
          <w:ilvl w:val="1"/>
          <w:numId w:val="28"/>
        </w:numPr>
        <w:rPr>
          <w:rFonts w:ascii="Arial" w:cs="Arial" w:eastAsia="Arial" w:hAnsi="Arial"/>
          <w:sz w:val="15"/>
          <w:szCs w:val="15"/>
          <w:color w:val="auto"/>
        </w:rPr>
      </w:pPr>
      <w:r>
        <w:rPr>
          <w:rFonts w:ascii="Arial" w:cs="Arial" w:eastAsia="Arial" w:hAnsi="Arial"/>
          <w:sz w:val="15"/>
          <w:szCs w:val="15"/>
          <w:color w:val="auto"/>
        </w:rPr>
        <w:t>the views presented by the claimant of health care professionals treating the claimant and vocational professionals who evaluated the claimant;</w:t>
      </w:r>
    </w:p>
    <w:p>
      <w:pPr>
        <w:spacing w:after="0" w:line="218" w:lineRule="exact"/>
        <w:rPr>
          <w:rFonts w:ascii="Arial" w:cs="Arial" w:eastAsia="Arial" w:hAnsi="Arial"/>
          <w:sz w:val="15"/>
          <w:szCs w:val="15"/>
          <w:color w:val="auto"/>
        </w:rPr>
      </w:pPr>
    </w:p>
    <w:p>
      <w:pPr>
        <w:ind w:firstLine="1304"/>
        <w:spacing w:after="0"/>
        <w:tabs>
          <w:tab w:leader="none" w:pos="1549" w:val="left"/>
        </w:tabs>
        <w:numPr>
          <w:ilvl w:val="1"/>
          <w:numId w:val="28"/>
        </w:numPr>
        <w:rPr>
          <w:rFonts w:ascii="Arial" w:cs="Arial" w:eastAsia="Arial" w:hAnsi="Arial"/>
          <w:sz w:val="16"/>
          <w:szCs w:val="16"/>
          <w:color w:val="auto"/>
        </w:rPr>
      </w:pPr>
      <w:r>
        <w:rPr>
          <w:rFonts w:ascii="Arial" w:cs="Arial" w:eastAsia="Arial" w:hAnsi="Arial"/>
          <w:sz w:val="16"/>
          <w:szCs w:val="16"/>
          <w:color w:val="auto"/>
        </w:rPr>
        <w:t>the views of medical or vocational experts whose advice was obtained on behalf of the Plan in connection with the claimant’s adverse benefit determination, without regard to whether the advice was relied upon in making the benefit determination; and</w:t>
      </w:r>
    </w:p>
    <w:p>
      <w:pPr>
        <w:spacing w:after="0" w:line="199" w:lineRule="exact"/>
        <w:rPr>
          <w:rFonts w:ascii="Arial" w:cs="Arial" w:eastAsia="Arial" w:hAnsi="Arial"/>
          <w:sz w:val="16"/>
          <w:szCs w:val="16"/>
          <w:color w:val="auto"/>
        </w:rPr>
      </w:pPr>
    </w:p>
    <w:p>
      <w:pPr>
        <w:ind w:left="1540" w:hanging="236"/>
        <w:spacing w:after="0"/>
        <w:tabs>
          <w:tab w:leader="none" w:pos="15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 disability determination regarding the claimant presented by the claimant made by the Social Security Administration.</w:t>
      </w:r>
    </w:p>
    <w:p>
      <w:pPr>
        <w:spacing w:after="0" w:line="221" w:lineRule="exact"/>
        <w:rPr>
          <w:rFonts w:ascii="Arial" w:cs="Arial" w:eastAsia="Arial" w:hAnsi="Arial"/>
          <w:sz w:val="16"/>
          <w:szCs w:val="16"/>
          <w:color w:val="auto"/>
        </w:rPr>
      </w:pPr>
    </w:p>
    <w:p>
      <w:pPr>
        <w:jc w:val="both"/>
        <w:ind w:firstLine="656"/>
        <w:spacing w:after="0" w:line="230" w:lineRule="auto"/>
        <w:tabs>
          <w:tab w:leader="none" w:pos="103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200" w:lineRule="exact"/>
        <w:rPr>
          <w:rFonts w:ascii="Arial" w:cs="Arial" w:eastAsia="Arial" w:hAnsi="Arial"/>
          <w:sz w:val="16"/>
          <w:szCs w:val="16"/>
          <w:color w:val="auto"/>
        </w:rPr>
      </w:pPr>
    </w:p>
    <w:p>
      <w:pPr>
        <w:ind w:firstLine="656"/>
        <w:spacing w:after="0"/>
        <w:tabs>
          <w:tab w:leader="none" w:pos="943" w:val="left"/>
        </w:tabs>
        <w:numPr>
          <w:ilvl w:val="0"/>
          <w:numId w:val="28"/>
        </w:numPr>
        <w:rPr>
          <w:rFonts w:ascii="Arial" w:cs="Arial" w:eastAsia="Arial" w:hAnsi="Arial"/>
          <w:sz w:val="16"/>
          <w:szCs w:val="16"/>
          <w:color w:val="auto"/>
        </w:rPr>
      </w:pPr>
      <w:r>
        <w:rPr>
          <w:rFonts w:ascii="Arial" w:cs="Arial" w:eastAsia="Arial" w:hAnsi="Arial"/>
          <w:sz w:val="16"/>
          <w:szCs w:val="16"/>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199" w:lineRule="exact"/>
        <w:rPr>
          <w:sz w:val="20"/>
          <w:szCs w:val="20"/>
          <w:color w:val="auto"/>
        </w:rPr>
      </w:pPr>
    </w:p>
    <w:p>
      <w:pPr>
        <w:jc w:val="both"/>
        <w:ind w:firstLine="648"/>
        <w:spacing w:after="0"/>
        <w:rPr>
          <w:sz w:val="20"/>
          <w:szCs w:val="20"/>
          <w:color w:val="auto"/>
        </w:rPr>
      </w:pPr>
      <w:r>
        <w:rPr>
          <w:rFonts w:ascii="Arial" w:cs="Arial" w:eastAsia="Arial" w:hAnsi="Arial"/>
          <w:sz w:val="16"/>
          <w:szCs w:val="16"/>
          <w:u w:val="single" w:color="auto"/>
          <w:color w:val="auto"/>
        </w:rPr>
        <w:t>Exhaustion of Remedies.</w:t>
      </w:r>
      <w:r>
        <w:rPr>
          <w:rFonts w:ascii="Arial" w:cs="Arial" w:eastAsia="Arial" w:hAnsi="Arial"/>
          <w:sz w:val="16"/>
          <w:szCs w:val="16"/>
          <w:color w:val="auto"/>
        </w:rPr>
        <w:t xml:space="preserve"> A claimant must follow the claims review procedures under this Plan and exhaust his or her administrative remedies before taking any further action with respect to a claim for benefits.</w:t>
      </w:r>
    </w:p>
    <w:p>
      <w:pPr>
        <w:spacing w:after="0" w:line="19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5"/>
          <w:szCs w:val="15"/>
          <w:u w:val="single" w:color="auto"/>
          <w:color w:val="auto"/>
        </w:rPr>
        <w:t>Failure of the Plan to Follow Procedures.</w:t>
      </w:r>
      <w:r>
        <w:rPr>
          <w:rFonts w:ascii="Arial" w:cs="Arial" w:eastAsia="Arial" w:hAnsi="Arial"/>
          <w:sz w:val="15"/>
          <w:szCs w:val="15"/>
          <w:color w:val="auto"/>
        </w:rPr>
        <w:t xml:space="preserve"> In the case of a claim for disability benefits, if the Plan fails to strictly adhere to all the requirements of this claims procedure with respect to a disability claim, the claimant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(a) de minimis; (b) non-prejudicial; (c) attributable to good cause or matters beyond the Plan’s control; (d) in the context of an ongoing good-faith exchange of information between the Plan and the claimant; and (e) not reflective of a pattern or practice of noncompliance. The claimant may request a written explanation of the violation from the Plan, and the Plan must provide such explanation within ten (10) days, including a specific description of its bases,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claimant with notice of the resubmission.</w:t>
      </w:r>
    </w:p>
    <w:p>
      <w:pPr>
        <w:spacing w:after="0" w:line="200" w:lineRule="exact"/>
        <w:rPr>
          <w:sz w:val="20"/>
          <w:szCs w:val="20"/>
          <w:color w:val="auto"/>
        </w:rPr>
      </w:pPr>
    </w:p>
    <w:p>
      <w:pPr>
        <w:jc w:val="both"/>
        <w:ind w:firstLine="648"/>
        <w:spacing w:after="0" w:line="207" w:lineRule="auto"/>
        <w:rPr>
          <w:sz w:val="20"/>
          <w:szCs w:val="20"/>
          <w:color w:val="auto"/>
        </w:rPr>
      </w:pPr>
      <w:r>
        <w:rPr>
          <w:rFonts w:ascii="Arial" w:cs="Arial" w:eastAsia="Arial" w:hAnsi="Arial"/>
          <w:sz w:val="16"/>
          <w:szCs w:val="16"/>
          <w:color w:val="auto"/>
        </w:rPr>
        <w:t>IN WITNESS WHEREOF, the Bank has caused this Amendment to be executed by a duly authorized officer as of this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April 2018, and each of the Executives whose signature appears below have consented to this Amendment pursuant to Section IX of the Plan.</w:t>
      </w:r>
    </w:p>
    <w:p>
      <w:pPr>
        <w:spacing w:after="0" w:line="200" w:lineRule="exact"/>
        <w:rPr>
          <w:sz w:val="20"/>
          <w:szCs w:val="20"/>
          <w:color w:val="auto"/>
        </w:rPr>
      </w:pPr>
    </w:p>
    <w:p>
      <w:pPr>
        <w:spacing w:after="0" w:line="243"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By: /s/ Dana L. Stonestreet</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Dana L. Stonestreet</w:t>
      </w:r>
    </w:p>
    <w:p>
      <w:pPr>
        <w:ind w:left="340"/>
        <w:spacing w:after="0"/>
        <w:rPr>
          <w:sz w:val="20"/>
          <w:szCs w:val="20"/>
          <w:color w:val="auto"/>
        </w:rPr>
      </w:pPr>
      <w:r>
        <w:rPr>
          <w:rFonts w:ascii="Arial" w:cs="Arial" w:eastAsia="Arial" w:hAnsi="Arial"/>
          <w:sz w:val="16"/>
          <w:szCs w:val="16"/>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2"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AMENDMENT NO. 1</w:t>
      </w:r>
    </w:p>
    <w:p>
      <w:pPr>
        <w:jc w:val="center"/>
        <w:spacing w:after="0" w:line="211" w:lineRule="auto"/>
        <w:rPr>
          <w:sz w:val="20"/>
          <w:szCs w:val="20"/>
          <w:color w:val="auto"/>
        </w:rPr>
      </w:pPr>
      <w:r>
        <w:rPr>
          <w:rFonts w:ascii="Arial" w:cs="Arial" w:eastAsia="Arial" w:hAnsi="Arial"/>
          <w:sz w:val="16"/>
          <w:szCs w:val="16"/>
          <w:b w:val="1"/>
          <w:bCs w:val="1"/>
          <w:color w:val="auto"/>
        </w:rPr>
        <w:t>To</w:t>
      </w:r>
    </w:p>
    <w:p>
      <w:pPr>
        <w:jc w:val="center"/>
        <w:spacing w:after="0" w:line="211" w:lineRule="auto"/>
        <w:rPr>
          <w:sz w:val="20"/>
          <w:szCs w:val="20"/>
          <w:color w:val="auto"/>
        </w:rPr>
      </w:pPr>
      <w:r>
        <w:rPr>
          <w:rFonts w:ascii="Arial" w:cs="Arial" w:eastAsia="Arial" w:hAnsi="Arial"/>
          <w:sz w:val="16"/>
          <w:szCs w:val="16"/>
          <w:b w:val="1"/>
          <w:bCs w:val="1"/>
          <w:color w:val="auto"/>
        </w:rPr>
        <w:t>HOMETRUST BANK</w:t>
      </w:r>
    </w:p>
    <w:p>
      <w:pPr>
        <w:jc w:val="center"/>
        <w:spacing w:after="0" w:line="211" w:lineRule="auto"/>
        <w:rPr>
          <w:sz w:val="20"/>
          <w:szCs w:val="20"/>
          <w:color w:val="auto"/>
        </w:rPr>
      </w:pPr>
      <w:r>
        <w:rPr>
          <w:rFonts w:ascii="Arial" w:cs="Arial" w:eastAsia="Arial" w:hAnsi="Arial"/>
          <w:sz w:val="16"/>
          <w:szCs w:val="16"/>
          <w:b w:val="1"/>
          <w:bCs w:val="1"/>
          <w:color w:val="auto"/>
        </w:rPr>
        <w:t>DEFINED CONTRIBUTION EXECUTIVE MEDICAL CARE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(ADDENDUM TO CLAIMS PROCEDURE)</w:t>
      </w:r>
    </w:p>
    <w:p>
      <w:pPr>
        <w:spacing w:after="0" w:line="207"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This Amendment No. 1 to the HomeTrust Bank Defined Contribution Executive Medical Care Plan (as amended through May 31, 2009, the “Plan”) is made effective as of April 1, 2018 and shall apply to all claims for benefits under the Plan received on or after April 1, 2018. All capitalized terms not defined herein shall have the meaning set forth in the Plan.</w:t>
      </w:r>
    </w:p>
    <w:p>
      <w:pPr>
        <w:spacing w:after="0" w:line="20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5"/>
          <w:szCs w:val="15"/>
          <w:u w:val="single" w:color="auto"/>
          <w:color w:val="auto"/>
        </w:rPr>
        <w:t>Claims for Benefits.</w:t>
      </w:r>
      <w:r>
        <w:rPr>
          <w:rFonts w:ascii="Arial" w:cs="Arial" w:eastAsia="Arial" w:hAnsi="Arial"/>
          <w:sz w:val="15"/>
          <w:szCs w:val="15"/>
          <w:color w:val="auto"/>
        </w:rPr>
        <w:t xml:space="preserve"> A claim for benefits is a request for benefits under the Plan made by a Participant, a former Participant or any beneficiary of a Participant or former Participant (a “Claimant”) in accordance with the Plan’s procedures for filing benefit claims. With respect to reimbursement of medical expenses, no claims for benefits in advance of obtaining medical care (a “pre-service claim”) are permitted, and no pre-approval of such medical care is required. The Committee shall ensure that all written claims for benefits under the Plan and all appeals related to benefits are adjudicated in a manner designed to ensure the independence and impartiality of the persons involved in making the decision. The claims procedures set forth in this Amendment supersede all claims procedures language set forth in Sections 3(d) and 3(e) of the Plan with respect to claims for Benefits, except that the first sentence of Section 3(d) of the Plan shall continue to apply.</w:t>
      </w:r>
    </w:p>
    <w:p>
      <w:pPr>
        <w:spacing w:after="0" w:line="202"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14"/>
          <w:szCs w:val="14"/>
          <w:u w:val="single" w:color="auto"/>
          <w:color w:val="auto"/>
        </w:rPr>
        <w:t>Timing of Committee Response.</w:t>
      </w:r>
      <w:r>
        <w:rPr>
          <w:rFonts w:ascii="Arial" w:cs="Arial" w:eastAsia="Arial" w:hAnsi="Arial"/>
          <w:sz w:val="14"/>
          <w:szCs w:val="14"/>
          <w:color w:val="auto"/>
        </w:rPr>
        <w:t xml:space="preserve"> The Committee shall notify the Claimant of the Plan’s benefit determination within a reasonable period of time, but no later than thirty (30) days after receipt of the claim. If, due to matters beyond the control of the Plan, the Committee needs additional time to process a claim, the Claimant will be notified, within thirty (30) days after the Committee receives the claim, of the circumstances requiring the extension of time and the date by which the Committee expects to make its decision, but not beyond forty-five (45) days from the date the claim was received. </w:t>
      </w:r>
      <w:r>
        <w:rPr>
          <w:rFonts w:ascii="Arial" w:cs="Arial" w:eastAsia="Arial" w:hAnsi="Arial"/>
          <w:sz w:val="14"/>
          <w:szCs w:val="14"/>
          <w:color w:val="333333"/>
        </w:rPr>
        <w:t>If such an extension is necessary due to a failure of the Claimant to submit the</w:t>
      </w:r>
      <w:r>
        <w:rPr>
          <w:rFonts w:ascii="Arial" w:cs="Arial" w:eastAsia="Arial" w:hAnsi="Arial"/>
          <w:sz w:val="14"/>
          <w:szCs w:val="14"/>
          <w:color w:val="auto"/>
        </w:rPr>
        <w:t xml:space="preserve"> </w:t>
      </w:r>
      <w:r>
        <w:rPr>
          <w:rFonts w:ascii="Arial" w:cs="Arial" w:eastAsia="Arial" w:hAnsi="Arial"/>
          <w:sz w:val="14"/>
          <w:szCs w:val="14"/>
          <w:color w:val="333333"/>
        </w:rPr>
        <w:t xml:space="preserve">information necessary to decide the claim, the notice of extension shall specifically describe the required information, and the Claimant shall be afforded at least </w:t>
      </w:r>
      <w:r>
        <w:rPr>
          <w:rFonts w:ascii="Arial" w:cs="Arial" w:eastAsia="Arial" w:hAnsi="Arial"/>
          <w:sz w:val="14"/>
          <w:szCs w:val="14"/>
          <w:color w:val="000000"/>
        </w:rPr>
        <w:t>forty-five</w:t>
      </w:r>
    </w:p>
    <w:p>
      <w:pPr>
        <w:spacing w:after="0" w:line="2"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6"/>
          <w:szCs w:val="16"/>
          <w:color w:val="auto"/>
        </w:rPr>
      </w:pPr>
      <w:r>
        <w:rPr>
          <w:rFonts w:ascii="Arial" w:cs="Arial" w:eastAsia="Arial" w:hAnsi="Arial"/>
          <w:sz w:val="16"/>
          <w:szCs w:val="16"/>
          <w:color w:val="333333"/>
        </w:rPr>
        <w:t>days from receipt of the notice within which to provide the specified information</w:t>
      </w:r>
      <w:r>
        <w:rPr>
          <w:rFonts w:ascii="Arial" w:cs="Arial" w:eastAsia="Arial" w:hAnsi="Arial"/>
          <w:sz w:val="16"/>
          <w:szCs w:val="16"/>
          <w:color w:val="000000"/>
        </w:rPr>
        <w:t>.</w:t>
      </w:r>
    </w:p>
    <w:p>
      <w:pPr>
        <w:spacing w:after="0" w:line="207"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5"/>
          <w:szCs w:val="15"/>
          <w:u w:val="single" w:color="auto"/>
          <w:color w:val="auto"/>
        </w:rPr>
        <w:t>Calculating Time Periods</w:t>
      </w:r>
      <w:r>
        <w:rPr>
          <w:rFonts w:ascii="Arial" w:cs="Arial" w:eastAsia="Arial" w:hAnsi="Arial"/>
          <w:sz w:val="15"/>
          <w:szCs w:val="15"/>
          <w:color w:val="auto"/>
        </w:rPr>
        <w:t xml:space="preserve">. </w:t>
      </w:r>
      <w:r>
        <w:rPr>
          <w:rFonts w:ascii="Arial" w:cs="Arial" w:eastAsia="Arial" w:hAnsi="Arial"/>
          <w:sz w:val="15"/>
          <w:szCs w:val="15"/>
          <w:color w:val="333333"/>
        </w:rPr>
        <w:t>For purposes of</w:t>
      </w:r>
      <w:r>
        <w:rPr>
          <w:rFonts w:ascii="Arial" w:cs="Arial" w:eastAsia="Arial" w:hAnsi="Arial"/>
          <w:sz w:val="15"/>
          <w:szCs w:val="15"/>
          <w:color w:val="auto"/>
        </w:rPr>
        <w:t xml:space="preserve"> calculating the time periods in the preceding paragraph</w:t>
      </w:r>
      <w:r>
        <w:rPr>
          <w:rFonts w:ascii="Arial" w:cs="Arial" w:eastAsia="Arial" w:hAnsi="Arial"/>
          <w:sz w:val="15"/>
          <w:szCs w:val="15"/>
          <w:color w:val="333333"/>
        </w:rPr>
        <w:t>, the period of time within which a benefit determination is</w:t>
      </w:r>
      <w:r>
        <w:rPr>
          <w:rFonts w:ascii="Arial" w:cs="Arial" w:eastAsia="Arial" w:hAnsi="Arial"/>
          <w:sz w:val="15"/>
          <w:szCs w:val="15"/>
          <w:color w:val="auto"/>
        </w:rPr>
        <w:t xml:space="preserve"> </w:t>
      </w:r>
      <w:r>
        <w:rPr>
          <w:rFonts w:ascii="Arial" w:cs="Arial" w:eastAsia="Arial" w:hAnsi="Arial"/>
          <w:sz w:val="15"/>
          <w:szCs w:val="15"/>
          <w:color w:val="333333"/>
        </w:rPr>
        <w:t>required to be made shall begin at the time a claim is filed in accordance with the reasonable procedures of the Plan, without regard to whether all the information necessary to make a benefit determination accompanies the filing. In the event that a period of time is extended as permitted pursuant to the preceding paragraph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spacing w:after="0" w:line="201" w:lineRule="exact"/>
        <w:rPr>
          <w:sz w:val="20"/>
          <w:szCs w:val="20"/>
          <w:color w:val="auto"/>
        </w:rPr>
      </w:pPr>
    </w:p>
    <w:p>
      <w:pPr>
        <w:jc w:val="both"/>
        <w:ind w:firstLine="648"/>
        <w:spacing w:after="0"/>
        <w:rPr>
          <w:sz w:val="20"/>
          <w:szCs w:val="20"/>
          <w:color w:val="auto"/>
        </w:rPr>
      </w:pPr>
      <w:r>
        <w:rPr>
          <w:rFonts w:ascii="Arial" w:cs="Arial" w:eastAsia="Arial" w:hAnsi="Arial"/>
          <w:sz w:val="16"/>
          <w:szCs w:val="16"/>
          <w:u w:val="single" w:color="auto"/>
          <w:color w:val="auto"/>
        </w:rPr>
        <w:t>Notice of Decision.</w:t>
      </w:r>
      <w:r>
        <w:rPr>
          <w:rFonts w:ascii="Arial" w:cs="Arial" w:eastAsia="Arial" w:hAnsi="Arial"/>
          <w:sz w:val="16"/>
          <w:szCs w:val="16"/>
          <w:color w:val="auto"/>
        </w:rPr>
        <w:t xml:space="preserve"> In the case of an adverse benefit determination with respect to benefits, the Committee will provide a notification that shall set forth the following in a manner calculated to be understood by the Claimant:</w:t>
      </w:r>
    </w:p>
    <w:p>
      <w:pPr>
        <w:spacing w:after="0" w:line="199" w:lineRule="exact"/>
        <w:rPr>
          <w:sz w:val="20"/>
          <w:szCs w:val="20"/>
          <w:color w:val="auto"/>
        </w:rPr>
      </w:pPr>
    </w:p>
    <w:p>
      <w:pPr>
        <w:ind w:left="840" w:hanging="184"/>
        <w:spacing w:after="0"/>
        <w:tabs>
          <w:tab w:leader="none" w:pos="8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specific reasons for the adverse determination;</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reference to the specific provisions of the Plan or insurance contract on which the determination is based;</w:t>
      </w:r>
    </w:p>
    <w:p>
      <w:pPr>
        <w:spacing w:after="0" w:line="221" w:lineRule="exact"/>
        <w:rPr>
          <w:rFonts w:ascii="Arial" w:cs="Arial" w:eastAsia="Arial" w:hAnsi="Arial"/>
          <w:sz w:val="16"/>
          <w:szCs w:val="16"/>
          <w:color w:val="auto"/>
        </w:rPr>
      </w:pPr>
    </w:p>
    <w:p>
      <w:pPr>
        <w:jc w:val="both"/>
        <w:ind w:right="20" w:firstLine="656"/>
        <w:spacing w:after="0" w:line="243" w:lineRule="auto"/>
        <w:tabs>
          <w:tab w:leader="none" w:pos="954" w:val="left"/>
        </w:tabs>
        <w:numPr>
          <w:ilvl w:val="0"/>
          <w:numId w:val="30"/>
        </w:numPr>
        <w:rPr>
          <w:rFonts w:ascii="Arial" w:cs="Arial" w:eastAsia="Arial" w:hAnsi="Arial"/>
          <w:sz w:val="16"/>
          <w:szCs w:val="16"/>
          <w:color w:val="333333"/>
        </w:rPr>
      </w:pPr>
      <w:r>
        <w:rPr>
          <w:rFonts w:ascii="Arial" w:cs="Arial" w:eastAsia="Arial" w:hAnsi="Arial"/>
          <w:sz w:val="16"/>
          <w:szCs w:val="16"/>
          <w:color w:val="333333"/>
        </w:rPr>
        <w:t>if an internal rule, guideline, protocol or other similar criterion was relied upon in making the adverse determination, either the specific rule, guideline, protocol or other similar criterion; or a statement that such a rule, guideline, protocol or other similar criterion was relied upon in making the adverse determination and that a copy of such rule, guideline, protocol or other criterion will be provided free of charge to the Claimant upon request; or</w:t>
      </w:r>
    </w:p>
    <w:p>
      <w:pPr>
        <w:spacing w:after="0" w:line="210" w:lineRule="exact"/>
        <w:rPr>
          <w:rFonts w:ascii="Arial" w:cs="Arial" w:eastAsia="Arial" w:hAnsi="Arial"/>
          <w:sz w:val="16"/>
          <w:szCs w:val="16"/>
          <w:color w:val="333333"/>
        </w:rPr>
      </w:pPr>
    </w:p>
    <w:p>
      <w:pPr>
        <w:jc w:val="both"/>
        <w:ind w:firstLine="656"/>
        <w:spacing w:after="0" w:line="243" w:lineRule="auto"/>
        <w:tabs>
          <w:tab w:leader="none" w:pos="944" w:val="left"/>
        </w:tabs>
        <w:numPr>
          <w:ilvl w:val="0"/>
          <w:numId w:val="30"/>
        </w:numPr>
        <w:rPr>
          <w:rFonts w:ascii="Arial" w:cs="Arial" w:eastAsia="Arial" w:hAnsi="Arial"/>
          <w:sz w:val="16"/>
          <w:szCs w:val="16"/>
          <w:color w:val="333333"/>
        </w:rPr>
      </w:pPr>
      <w:r>
        <w:rPr>
          <w:rFonts w:ascii="Arial" w:cs="Arial" w:eastAsia="Arial" w:hAnsi="Arial"/>
          <w:sz w:val="16"/>
          <w:szCs w:val="16"/>
          <w:color w:val="333333"/>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210" w:lineRule="exact"/>
        <w:rPr>
          <w:rFonts w:ascii="Arial" w:cs="Arial" w:eastAsia="Arial" w:hAnsi="Arial"/>
          <w:sz w:val="16"/>
          <w:szCs w:val="16"/>
          <w:color w:val="333333"/>
        </w:rPr>
      </w:pPr>
    </w:p>
    <w:p>
      <w:pPr>
        <w:ind w:left="880" w:hanging="224"/>
        <w:spacing w:after="0"/>
        <w:tabs>
          <w:tab w:leader="none" w:pos="880" w:val="left"/>
        </w:tabs>
        <w:numPr>
          <w:ilvl w:val="0"/>
          <w:numId w:val="30"/>
        </w:numPr>
        <w:rPr>
          <w:rFonts w:ascii="Arial" w:cs="Arial" w:eastAsia="Arial" w:hAnsi="Arial"/>
          <w:sz w:val="15"/>
          <w:szCs w:val="15"/>
          <w:color w:val="333333"/>
        </w:rPr>
      </w:pPr>
      <w:r>
        <w:rPr>
          <w:rFonts w:ascii="Arial" w:cs="Arial" w:eastAsia="Arial" w:hAnsi="Arial"/>
          <w:sz w:val="15"/>
          <w:szCs w:val="15"/>
          <w:color w:val="333333"/>
        </w:rPr>
        <w:t>a description of any additional material or information necessary for the Claimant to perfect the claim and an explanation of why such material or information</w:t>
      </w:r>
    </w:p>
    <w:p>
      <w:pPr>
        <w:spacing w:after="0" w:line="17" w:lineRule="exact"/>
        <w:rPr>
          <w:rFonts w:ascii="Arial" w:cs="Arial" w:eastAsia="Arial" w:hAnsi="Arial"/>
          <w:sz w:val="15"/>
          <w:szCs w:val="15"/>
          <w:color w:val="333333"/>
        </w:rPr>
      </w:pPr>
    </w:p>
    <w:p>
      <w:pPr>
        <w:spacing w:after="0"/>
        <w:rPr>
          <w:rFonts w:ascii="Arial" w:cs="Arial" w:eastAsia="Arial" w:hAnsi="Arial"/>
          <w:sz w:val="15"/>
          <w:szCs w:val="15"/>
          <w:color w:val="333333"/>
        </w:rPr>
      </w:pPr>
      <w:r>
        <w:rPr>
          <w:rFonts w:ascii="Arial" w:cs="Arial" w:eastAsia="Arial" w:hAnsi="Arial"/>
          <w:sz w:val="16"/>
          <w:szCs w:val="16"/>
          <w:color w:val="333333"/>
        </w:rPr>
        <w:t>is necessary;</w:t>
      </w:r>
    </w:p>
    <w:p>
      <w:pPr>
        <w:spacing w:after="0" w:line="220" w:lineRule="exact"/>
        <w:rPr>
          <w:rFonts w:ascii="Arial" w:cs="Arial" w:eastAsia="Arial" w:hAnsi="Arial"/>
          <w:sz w:val="15"/>
          <w:szCs w:val="15"/>
          <w:color w:val="333333"/>
        </w:rPr>
      </w:pPr>
    </w:p>
    <w:p>
      <w:pPr>
        <w:ind w:left="940" w:hanging="284"/>
        <w:spacing w:after="0"/>
        <w:tabs>
          <w:tab w:leader="none" w:pos="9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 xml:space="preserve">a </w:t>
      </w:r>
      <w:r>
        <w:rPr>
          <w:rFonts w:ascii="Arial" w:cs="Arial" w:eastAsia="Arial" w:hAnsi="Arial"/>
          <w:sz w:val="16"/>
          <w:szCs w:val="16"/>
          <w:color w:val="333333"/>
        </w:rPr>
        <w:t>description of the Plan's review procedures and the time limits applicable to such procedures</w:t>
      </w:r>
      <w:r>
        <w:rPr>
          <w:rFonts w:ascii="Arial" w:cs="Arial" w:eastAsia="Arial" w:hAnsi="Arial"/>
          <w:sz w:val="16"/>
          <w:szCs w:val="16"/>
          <w:color w:val="auto"/>
        </w:rPr>
        <w:t>;</w:t>
      </w:r>
    </w:p>
    <w:p>
      <w:pPr>
        <w:spacing w:after="0" w:line="221" w:lineRule="exact"/>
        <w:rPr>
          <w:rFonts w:ascii="Arial" w:cs="Arial" w:eastAsia="Arial" w:hAnsi="Arial"/>
          <w:sz w:val="16"/>
          <w:szCs w:val="16"/>
          <w:color w:val="auto"/>
        </w:rPr>
      </w:pPr>
    </w:p>
    <w:p>
      <w:pPr>
        <w:jc w:val="both"/>
        <w:ind w:firstLine="656"/>
        <w:spacing w:after="0" w:line="230" w:lineRule="auto"/>
        <w:tabs>
          <w:tab w:leader="none" w:pos="981"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in accordance with Department of Labor Regulation Section 2560.503-1(m)(8); and</w:t>
      </w:r>
    </w:p>
    <w:p>
      <w:pPr>
        <w:spacing w:after="0" w:line="200" w:lineRule="exact"/>
        <w:rPr>
          <w:rFonts w:ascii="Arial" w:cs="Arial" w:eastAsia="Arial" w:hAnsi="Arial"/>
          <w:sz w:val="16"/>
          <w:szCs w:val="16"/>
          <w:color w:val="auto"/>
        </w:rPr>
      </w:pPr>
    </w:p>
    <w:p>
      <w:pPr>
        <w:ind w:firstLine="656"/>
        <w:spacing w:after="0"/>
        <w:tabs>
          <w:tab w:leader="none" w:pos="1042" w:val="left"/>
        </w:tabs>
        <w:numPr>
          <w:ilvl w:val="0"/>
          <w:numId w:val="30"/>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ERISA Section 502(a) following an adverse benefit determination on review, and a description of any time limit that applies under the Plan for bringing such an action;</w:t>
      </w:r>
    </w:p>
    <w:p>
      <w:pPr>
        <w:spacing w:after="0" w:line="199" w:lineRule="exact"/>
        <w:rPr>
          <w:sz w:val="20"/>
          <w:szCs w:val="20"/>
          <w:color w:val="auto"/>
        </w:rPr>
      </w:pPr>
    </w:p>
    <w:p>
      <w:pPr>
        <w:ind w:firstLine="648"/>
        <w:spacing w:after="0" w:line="272" w:lineRule="auto"/>
        <w:rPr>
          <w:sz w:val="20"/>
          <w:szCs w:val="20"/>
          <w:color w:val="auto"/>
        </w:rPr>
      </w:pPr>
      <w:r>
        <w:rPr>
          <w:rFonts w:ascii="Arial" w:cs="Arial" w:eastAsia="Arial" w:hAnsi="Arial"/>
          <w:sz w:val="15"/>
          <w:szCs w:val="15"/>
          <w:u w:val="single" w:color="auto"/>
          <w:color w:val="auto"/>
        </w:rPr>
        <w:t>Appeal of Adverse Benefit Determinations.</w:t>
      </w:r>
      <w:r>
        <w:rPr>
          <w:rFonts w:ascii="Arial" w:cs="Arial" w:eastAsia="Arial" w:hAnsi="Arial"/>
          <w:sz w:val="15"/>
          <w:szCs w:val="15"/>
          <w:color w:val="auto"/>
        </w:rPr>
        <w:t xml:space="preserve"> If the Committee denies the claim, in whole or in part, the Claimant shall have a reasonable opportunity to appeal the adverse benefit determination to an appropriate named fiduciary of the Plan for a full and fair review of the claim and the adverse benefit determination, as follows:</w:t>
      </w:r>
    </w:p>
    <w:p>
      <w:pPr>
        <w:spacing w:after="0" w:line="176" w:lineRule="exact"/>
        <w:rPr>
          <w:sz w:val="20"/>
          <w:szCs w:val="20"/>
          <w:color w:val="auto"/>
        </w:rPr>
      </w:pPr>
    </w:p>
    <w:p>
      <w:pPr>
        <w:ind w:left="840" w:hanging="184"/>
        <w:spacing w:after="0"/>
        <w:tabs>
          <w:tab w:leader="none" w:pos="84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C</w:t>
      </w:r>
      <w:r>
        <w:rPr>
          <w:rFonts w:ascii="Arial" w:cs="Arial" w:eastAsia="Arial" w:hAnsi="Arial"/>
          <w:sz w:val="15"/>
          <w:szCs w:val="15"/>
          <w:color w:val="333333"/>
        </w:rPr>
        <w:t>laimant shall have at least 180 days following receipt of a notification of an adverse benefit determination within which to appeal the determination.</w:t>
      </w:r>
    </w:p>
    <w:p>
      <w:pPr>
        <w:spacing w:after="0" w:line="187" w:lineRule="exact"/>
        <w:rPr>
          <w:rFonts w:ascii="Arial" w:cs="Arial" w:eastAsia="Arial" w:hAnsi="Arial"/>
          <w:sz w:val="15"/>
          <w:szCs w:val="15"/>
          <w:color w:val="auto"/>
        </w:rPr>
      </w:pPr>
    </w:p>
    <w:p>
      <w:pPr>
        <w:ind w:left="5520"/>
        <w:spacing w:after="0"/>
        <w:rPr>
          <w:rFonts w:ascii="Arial" w:cs="Arial" w:eastAsia="Arial" w:hAnsi="Arial"/>
          <w:sz w:val="15"/>
          <w:szCs w:val="15"/>
          <w:color w:val="auto"/>
        </w:rPr>
      </w:pPr>
      <w:r>
        <w:rPr>
          <w:rFonts w:ascii="Arial" w:cs="Arial" w:eastAsia="Arial" w:hAnsi="Arial"/>
          <w:sz w:val="18"/>
          <w:szCs w:val="18"/>
          <w:color w:val="auto"/>
        </w:rPr>
        <w:t>-1-</w:t>
      </w:r>
    </w:p>
    <w:p>
      <w:pPr>
        <w:sectPr>
          <w:pgSz w:w="11900" w:h="16838" w:orient="portrait"/>
          <w:cols w:equalWidth="0" w:num="1">
            <w:col w:w="11240"/>
          </w:cols>
          <w:pgMar w:left="320" w:top="1404" w:right="339" w:bottom="1440" w:gutter="0" w:footer="0" w:header="0"/>
        </w:sectPr>
      </w:pPr>
    </w:p>
    <w:bookmarkStart w:id="57" w:name="page58"/>
    <w:bookmarkEnd w:id="57"/>
    <w:p>
      <w:pPr>
        <w:ind w:left="900" w:hanging="244"/>
        <w:spacing w:after="0"/>
        <w:tabs>
          <w:tab w:leader="none" w:pos="9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Claimant shall have the opportunity to submit written comments, documents, records and other information relating to the claim for benefits.</w:t>
      </w:r>
    </w:p>
    <w:p>
      <w:pPr>
        <w:spacing w:after="0" w:line="221" w:lineRule="exact"/>
        <w:rPr>
          <w:rFonts w:ascii="Arial" w:cs="Arial" w:eastAsia="Arial" w:hAnsi="Arial"/>
          <w:sz w:val="16"/>
          <w:szCs w:val="16"/>
          <w:color w:val="auto"/>
        </w:rPr>
      </w:pPr>
    </w:p>
    <w:p>
      <w:pPr>
        <w:jc w:val="both"/>
        <w:ind w:firstLine="656"/>
        <w:spacing w:after="0" w:line="248" w:lineRule="auto"/>
        <w:tabs>
          <w:tab w:leader="none" w:pos="945" w:val="left"/>
        </w:tabs>
        <w:numPr>
          <w:ilvl w:val="1"/>
          <w:numId w:val="32"/>
        </w:numPr>
        <w:rPr>
          <w:rFonts w:ascii="Arial" w:cs="Arial" w:eastAsia="Arial" w:hAnsi="Arial"/>
          <w:sz w:val="15"/>
          <w:szCs w:val="15"/>
          <w:color w:val="auto"/>
        </w:rPr>
      </w:pPr>
      <w:r>
        <w:rPr>
          <w:rFonts w:ascii="Arial" w:cs="Arial" w:eastAsia="Arial" w:hAnsi="Arial"/>
          <w:sz w:val="15"/>
          <w:szCs w:val="15"/>
          <w:color w:val="auto"/>
        </w:rPr>
        <w:t>The Committee shall respond in writing to such Claimant within sixty (60) days after receiving the request for review. For purposes of this paragraph, the period of time within which a benefit determination on review is required to be made shall begin at the time an appeal is filed in accordance with the reasonable procedures of the Plan, without regard to whether all the information necessary to make a benefit determination on review accompanies the filing.</w:t>
      </w:r>
    </w:p>
    <w:p>
      <w:pPr>
        <w:spacing w:after="0" w:line="194" w:lineRule="exact"/>
        <w:rPr>
          <w:rFonts w:ascii="Arial" w:cs="Arial" w:eastAsia="Arial" w:hAnsi="Arial"/>
          <w:sz w:val="15"/>
          <w:szCs w:val="15"/>
          <w:color w:val="auto"/>
        </w:rPr>
      </w:pPr>
    </w:p>
    <w:p>
      <w:pPr>
        <w:jc w:val="both"/>
        <w:ind w:firstLine="8"/>
        <w:spacing w:after="0" w:line="218" w:lineRule="auto"/>
        <w:tabs>
          <w:tab w:leader="none" w:pos="29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considering the review, the Committee shall take into account all comments, documents, records and other information submitted by the Claimant relating to the claim, without regard to whether such information was submitted or considered in the initial benefit determination.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 If the initial adverse benefit determination was based in whole or in part on a medical judgment, the appropriate named fiduciary of the Plan shall consult with a health care professional who has appropriate training and experience in the field of medicine involving the medical judgment. The health care professional who is consulted on appeal will not be the same individual who was consulted during the initial determination or a subordinate of such individual. If the Committee obtained the advice of medical or vocational experts in making the initial adverse benefits determination (regardless of whether the advice was relied upon), the Committee will identify such experts.</w:t>
      </w:r>
    </w:p>
    <w:p>
      <w:pPr>
        <w:spacing w:after="0" w:line="202" w:lineRule="exact"/>
        <w:rPr>
          <w:sz w:val="20"/>
          <w:szCs w:val="20"/>
          <w:color w:val="auto"/>
        </w:rPr>
      </w:pPr>
    </w:p>
    <w:p>
      <w:pPr>
        <w:ind w:firstLine="648"/>
        <w:spacing w:after="0"/>
        <w:rPr>
          <w:sz w:val="20"/>
          <w:szCs w:val="20"/>
          <w:color w:val="auto"/>
        </w:rPr>
      </w:pPr>
      <w:r>
        <w:rPr>
          <w:rFonts w:ascii="Arial" w:cs="Arial" w:eastAsia="Arial" w:hAnsi="Arial"/>
          <w:sz w:val="16"/>
          <w:szCs w:val="16"/>
          <w:u w:val="single" w:color="auto"/>
          <w:color w:val="auto"/>
        </w:rPr>
        <w:t>Notice of Decision after Review.</w:t>
      </w:r>
      <w:r>
        <w:rPr>
          <w:rFonts w:ascii="Arial" w:cs="Arial" w:eastAsia="Arial" w:hAnsi="Arial"/>
          <w:sz w:val="16"/>
          <w:szCs w:val="16"/>
          <w:color w:val="auto"/>
        </w:rPr>
        <w:t xml:space="preserve"> In the case of an adverse benefit determination with respect to benefits, the Committee will provide a that shall set forth the following in a manner calculated to be understood by the Claimant:</w:t>
      </w:r>
    </w:p>
    <w:p>
      <w:pPr>
        <w:spacing w:after="0" w:line="199" w:lineRule="exact"/>
        <w:rPr>
          <w:sz w:val="20"/>
          <w:szCs w:val="20"/>
          <w:color w:val="auto"/>
        </w:rPr>
      </w:pPr>
    </w:p>
    <w:p>
      <w:pPr>
        <w:ind w:left="840" w:hanging="184"/>
        <w:spacing w:after="0"/>
        <w:tabs>
          <w:tab w:leader="none" w:pos="8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Committee’s decision;</w:t>
      </w:r>
    </w:p>
    <w:p>
      <w:pPr>
        <w:spacing w:after="0" w:line="213" w:lineRule="exact"/>
        <w:rPr>
          <w:rFonts w:ascii="Arial" w:cs="Arial" w:eastAsia="Arial" w:hAnsi="Arial"/>
          <w:sz w:val="16"/>
          <w:szCs w:val="16"/>
          <w:color w:val="auto"/>
        </w:rPr>
      </w:pPr>
    </w:p>
    <w:p>
      <w:pPr>
        <w:ind w:left="900" w:hanging="244"/>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specific reasons for the adverse determination;</w:t>
      </w:r>
    </w:p>
    <w:p>
      <w:pPr>
        <w:ind w:left="940" w:hanging="284"/>
        <w:spacing w:after="0"/>
        <w:tabs>
          <w:tab w:leader="none" w:pos="9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reference to the specific provisions of the Plan on which the decision is based;</w:t>
      </w:r>
    </w:p>
    <w:p>
      <w:pPr>
        <w:spacing w:after="0" w:line="207" w:lineRule="exact"/>
        <w:rPr>
          <w:rFonts w:ascii="Arial" w:cs="Arial" w:eastAsia="Arial" w:hAnsi="Arial"/>
          <w:sz w:val="16"/>
          <w:szCs w:val="16"/>
          <w:color w:val="auto"/>
        </w:rPr>
      </w:pPr>
    </w:p>
    <w:p>
      <w:pPr>
        <w:jc w:val="both"/>
        <w:ind w:firstLine="656"/>
        <w:spacing w:after="0" w:line="243" w:lineRule="auto"/>
        <w:tabs>
          <w:tab w:leader="none" w:pos="945" w:val="left"/>
        </w:tabs>
        <w:numPr>
          <w:ilvl w:val="0"/>
          <w:numId w:val="34"/>
        </w:numPr>
        <w:rPr>
          <w:rFonts w:ascii="Arial" w:cs="Arial" w:eastAsia="Arial" w:hAnsi="Arial"/>
          <w:sz w:val="16"/>
          <w:szCs w:val="16"/>
          <w:color w:val="333333"/>
        </w:rPr>
      </w:pPr>
      <w:r>
        <w:rPr>
          <w:rFonts w:ascii="Arial" w:cs="Arial" w:eastAsia="Arial" w:hAnsi="Arial"/>
          <w:sz w:val="16"/>
          <w:szCs w:val="16"/>
          <w:color w:val="333333"/>
        </w:rPr>
        <w:t>if an internal rule, guideline, protocol or other similar criterion was relied upon in making the adverse determination, either the specific rule, guideline, protocol or other similar criterion; or a statement that such rule, guideline, protocol or other similar criterion was relied upon in making the adverse determination and that a copy of the rule, guideline, protocol or other similar criterion will be provided free of charge to the claimant upon request;</w:t>
      </w:r>
    </w:p>
    <w:p>
      <w:pPr>
        <w:spacing w:after="0" w:line="210" w:lineRule="exact"/>
        <w:rPr>
          <w:rFonts w:ascii="Arial" w:cs="Arial" w:eastAsia="Arial" w:hAnsi="Arial"/>
          <w:sz w:val="16"/>
          <w:szCs w:val="16"/>
          <w:color w:val="333333"/>
        </w:rPr>
      </w:pPr>
    </w:p>
    <w:p>
      <w:pPr>
        <w:jc w:val="both"/>
        <w:ind w:firstLine="656"/>
        <w:spacing w:after="0" w:line="243" w:lineRule="auto"/>
        <w:tabs>
          <w:tab w:leader="none" w:pos="901" w:val="left"/>
        </w:tabs>
        <w:numPr>
          <w:ilvl w:val="0"/>
          <w:numId w:val="34"/>
        </w:numPr>
        <w:rPr>
          <w:rFonts w:ascii="Arial" w:cs="Arial" w:eastAsia="Arial" w:hAnsi="Arial"/>
          <w:sz w:val="16"/>
          <w:szCs w:val="16"/>
          <w:color w:val="333333"/>
        </w:rPr>
      </w:pPr>
      <w:r>
        <w:rPr>
          <w:rFonts w:ascii="Arial" w:cs="Arial" w:eastAsia="Arial" w:hAnsi="Arial"/>
          <w:sz w:val="16"/>
          <w:szCs w:val="16"/>
          <w:color w:val="333333"/>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210" w:lineRule="exact"/>
        <w:rPr>
          <w:rFonts w:ascii="Arial" w:cs="Arial" w:eastAsia="Arial" w:hAnsi="Arial"/>
          <w:sz w:val="16"/>
          <w:szCs w:val="16"/>
          <w:color w:val="333333"/>
        </w:rPr>
      </w:pPr>
    </w:p>
    <w:p>
      <w:pPr>
        <w:ind w:right="20" w:firstLine="656"/>
        <w:spacing w:after="0"/>
        <w:tabs>
          <w:tab w:leader="none" w:pos="938"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(as defined in applicable ERISA regulations) to the Claimant's claim for benefits;</w:t>
      </w:r>
    </w:p>
    <w:p>
      <w:pPr>
        <w:spacing w:after="0" w:line="199" w:lineRule="exact"/>
        <w:rPr>
          <w:rFonts w:ascii="Arial" w:cs="Arial" w:eastAsia="Arial" w:hAnsi="Arial"/>
          <w:sz w:val="16"/>
          <w:szCs w:val="16"/>
          <w:color w:val="auto"/>
        </w:rPr>
      </w:pPr>
    </w:p>
    <w:p>
      <w:pPr>
        <w:jc w:val="both"/>
        <w:ind w:firstLine="656"/>
        <w:spacing w:after="0" w:line="230" w:lineRule="auto"/>
        <w:tabs>
          <w:tab w:leader="none" w:pos="9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statement describing any voluntary appeal procedures offered by the Plan and the Claimant’s right to obtain information about such procedures, including the following statement: “</w:t>
      </w:r>
      <w:r>
        <w:rPr>
          <w:rFonts w:ascii="Arial" w:cs="Arial" w:eastAsia="Arial" w:hAnsi="Arial"/>
          <w:sz w:val="16"/>
          <w:szCs w:val="16"/>
          <w:color w:val="333333"/>
        </w:rPr>
        <w:t>You and your Plan may have other voluntary alternative dispute resolution options, such as mediation. One way to find out what may be available</w:t>
      </w:r>
      <w:r>
        <w:rPr>
          <w:rFonts w:ascii="Arial" w:cs="Arial" w:eastAsia="Arial" w:hAnsi="Arial"/>
          <w:sz w:val="16"/>
          <w:szCs w:val="16"/>
          <w:color w:val="auto"/>
        </w:rPr>
        <w:t xml:space="preserve"> </w:t>
      </w:r>
      <w:r>
        <w:rPr>
          <w:rFonts w:ascii="Arial" w:cs="Arial" w:eastAsia="Arial" w:hAnsi="Arial"/>
          <w:sz w:val="16"/>
          <w:szCs w:val="16"/>
          <w:color w:val="333333"/>
        </w:rPr>
        <w:t>is to contact your local U.S. Department of Labor Office and your State insurance regulatory agency.” and</w:t>
      </w:r>
    </w:p>
    <w:p>
      <w:pPr>
        <w:spacing w:after="0" w:line="200" w:lineRule="exact"/>
        <w:rPr>
          <w:rFonts w:ascii="Arial" w:cs="Arial" w:eastAsia="Arial" w:hAnsi="Arial"/>
          <w:sz w:val="16"/>
          <w:szCs w:val="16"/>
          <w:color w:val="auto"/>
        </w:rPr>
      </w:pPr>
    </w:p>
    <w:p>
      <w:pPr>
        <w:ind w:left="1020" w:hanging="364"/>
        <w:spacing w:after="0"/>
        <w:tabs>
          <w:tab w:leader="none" w:pos="10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ERISA Section 502(a);</w:t>
      </w:r>
    </w:p>
    <w:p>
      <w:pPr>
        <w:spacing w:after="0" w:line="221" w:lineRule="exact"/>
        <w:rPr>
          <w:sz w:val="20"/>
          <w:szCs w:val="20"/>
          <w:color w:val="auto"/>
        </w:rPr>
      </w:pPr>
    </w:p>
    <w:p>
      <w:pPr>
        <w:ind w:right="20" w:firstLine="648"/>
        <w:spacing w:after="0"/>
        <w:rPr>
          <w:sz w:val="20"/>
          <w:szCs w:val="20"/>
          <w:color w:val="auto"/>
        </w:rPr>
      </w:pPr>
      <w:r>
        <w:rPr>
          <w:rFonts w:ascii="Arial" w:cs="Arial" w:eastAsia="Arial" w:hAnsi="Arial"/>
          <w:sz w:val="16"/>
          <w:szCs w:val="16"/>
          <w:u w:val="single" w:color="auto"/>
          <w:color w:val="auto"/>
        </w:rPr>
        <w:t>Exhaustion of Remedies.</w:t>
      </w:r>
      <w:r>
        <w:rPr>
          <w:rFonts w:ascii="Arial" w:cs="Arial" w:eastAsia="Arial" w:hAnsi="Arial"/>
          <w:sz w:val="16"/>
          <w:szCs w:val="16"/>
          <w:color w:val="auto"/>
        </w:rPr>
        <w:t xml:space="preserve"> A Claimant must follow the claims review procedures under this Plan and exhaust his or her administrative remedies before taking any further action with respect to a claim for benefits.</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Bank has caused this Amendment to be executed by a duly authorized officer as of this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April 2018.</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7"/>
          <w:szCs w:val="17"/>
          <w:color w:val="auto"/>
        </w:rPr>
        <w:t>/s/</w:t>
      </w:r>
      <w:r>
        <w:rPr>
          <w:rFonts w:ascii="Arial" w:cs="Arial" w:eastAsia="Arial" w:hAnsi="Arial"/>
          <w:sz w:val="16"/>
          <w:szCs w:val="16"/>
          <w:color w:val="auto"/>
        </w:rPr>
        <w:t xml:space="preserve"> Dana L. Stonestreet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Dana L. Stonestreet</w:t>
      </w:r>
    </w:p>
    <w:p>
      <w:pPr>
        <w:ind w:left="34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240"/>
          </w:cols>
          <w:pgMar w:left="320" w:top="14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412" w:right="339"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auto"/>
        </w:rPr>
        <w:t>AMENDMENT NO. 1</w:t>
      </w:r>
    </w:p>
    <w:p>
      <w:pPr>
        <w:jc w:val="center"/>
        <w:spacing w:after="0" w:line="211" w:lineRule="auto"/>
        <w:rPr>
          <w:sz w:val="20"/>
          <w:szCs w:val="20"/>
          <w:color w:val="auto"/>
        </w:rPr>
      </w:pPr>
      <w:r>
        <w:rPr>
          <w:rFonts w:ascii="Arial" w:cs="Arial" w:eastAsia="Arial" w:hAnsi="Arial"/>
          <w:sz w:val="16"/>
          <w:szCs w:val="16"/>
          <w:b w:val="1"/>
          <w:bCs w:val="1"/>
          <w:color w:val="auto"/>
        </w:rPr>
        <w:t>To</w:t>
      </w:r>
    </w:p>
    <w:p>
      <w:pPr>
        <w:jc w:val="center"/>
        <w:spacing w:after="0" w:line="211" w:lineRule="auto"/>
        <w:rPr>
          <w:sz w:val="20"/>
          <w:szCs w:val="20"/>
          <w:color w:val="auto"/>
        </w:rPr>
      </w:pPr>
      <w:r>
        <w:rPr>
          <w:rFonts w:ascii="Arial" w:cs="Arial" w:eastAsia="Arial" w:hAnsi="Arial"/>
          <w:sz w:val="16"/>
          <w:szCs w:val="16"/>
          <w:b w:val="1"/>
          <w:bCs w:val="1"/>
          <w:color w:val="auto"/>
        </w:rPr>
        <w:t>2005 HOMETRUST BANK</w:t>
      </w:r>
    </w:p>
    <w:p>
      <w:pPr>
        <w:jc w:val="center"/>
        <w:spacing w:after="0" w:line="211" w:lineRule="auto"/>
        <w:rPr>
          <w:sz w:val="20"/>
          <w:szCs w:val="20"/>
          <w:color w:val="auto"/>
        </w:rPr>
      </w:pPr>
      <w:r>
        <w:rPr>
          <w:rFonts w:ascii="Arial" w:cs="Arial" w:eastAsia="Arial" w:hAnsi="Arial"/>
          <w:sz w:val="16"/>
          <w:szCs w:val="16"/>
          <w:b w:val="1"/>
          <w:bCs w:val="1"/>
          <w:color w:val="auto"/>
        </w:rPr>
        <w:t>DEFERRED COMPENSATION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(ADDENDUM TO DISABILITY CLAIMS PROCEDURE)</w:t>
      </w:r>
    </w:p>
    <w:p>
      <w:pPr>
        <w:spacing w:after="0" w:line="207" w:lineRule="exact"/>
        <w:rPr>
          <w:sz w:val="20"/>
          <w:szCs w:val="20"/>
          <w:color w:val="auto"/>
        </w:rPr>
      </w:pPr>
    </w:p>
    <w:p>
      <w:pPr>
        <w:jc w:val="both"/>
        <w:spacing w:after="0" w:line="230" w:lineRule="auto"/>
        <w:rPr>
          <w:sz w:val="20"/>
          <w:szCs w:val="20"/>
          <w:color w:val="auto"/>
        </w:rPr>
      </w:pPr>
      <w:r>
        <w:rPr>
          <w:rFonts w:ascii="Arial" w:cs="Arial" w:eastAsia="Arial" w:hAnsi="Arial"/>
          <w:sz w:val="16"/>
          <w:szCs w:val="16"/>
          <w:color w:val="auto"/>
        </w:rPr>
        <w:t>This Amendment No. 1 to the 2005 HomeTrust Bank Deferred Compensation Plan (as amended through August 31, 2011, the “Plan”) is made effective as of April 1, 2018 and shall apply to all claims for Disability Benefits under the Plan received on or after April 1, 2018. All capitalized terms not defined herein shall have the meaning set forth in the Plan.</w:t>
      </w:r>
    </w:p>
    <w:p>
      <w:pPr>
        <w:spacing w:after="0" w:line="200"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6"/>
          <w:szCs w:val="16"/>
          <w:u w:val="single" w:color="auto"/>
          <w:color w:val="auto"/>
        </w:rPr>
        <w:t>Disability Claim.</w:t>
      </w:r>
      <w:r>
        <w:rPr>
          <w:rFonts w:ascii="Arial" w:cs="Arial" w:eastAsia="Arial" w:hAnsi="Arial"/>
          <w:sz w:val="16"/>
          <w:szCs w:val="16"/>
          <w:color w:val="auto"/>
        </w:rPr>
        <w:t xml:space="preserve"> The Administrative Committee shall ensure that all written claims for Disability Benefits under the Plan and all appeals related to Disability Benefits are adjudicated in a manner designed to ensure the independence and impartiality of the persons involved in making the decision. The claims procedures set forth in this Amendment supersede all claims procedures language set forth in Article 12 of the Plan with respect to claims for Disability Benefits, except that Section 12.1 of the Plan shall continue to apply.</w:t>
      </w:r>
    </w:p>
    <w:p>
      <w:pPr>
        <w:spacing w:after="0" w:line="20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5"/>
          <w:szCs w:val="15"/>
          <w:u w:val="single" w:color="auto"/>
          <w:color w:val="auto"/>
        </w:rPr>
        <w:t>Timing of Administrative Committee Response.</w:t>
      </w:r>
      <w:r>
        <w:rPr>
          <w:rFonts w:ascii="Arial" w:cs="Arial" w:eastAsia="Arial" w:hAnsi="Arial"/>
          <w:sz w:val="15"/>
          <w:szCs w:val="15"/>
          <w:color w:val="auto"/>
        </w:rPr>
        <w:t xml:space="preserve"> If the claim relates to a determination of disability, and the claim requires an independent determination by the Administrative Committee of a Participant’s disability status, the Administrative Committee shall notify the Claimant of the Plan’s benefit determination within a reasonable period of time, but no later than forty-five (45) days after receipt of the claim. If, due to matters beyond the control of the Plan, the Administrative Committee needs additional time to process a claim, the Claimant will be notified, within forty-five (45) days after the Administrative Committee receives the claim, of the circumstances requiring the extension of time and the date by which the Administrative Committee expects to make its decision, but not beyond seventy-five (75) days from the date the claim was received. If, prior to the end of the extension period, due to matters beyond the control of the Plan, a decision cannot be rendered within that extension period, the period for making the determination may be extended for up to an additional thirty (30) days, provided that the Administrative Committee notifies the Claimant, prior to the expiration of the first extension period, of the circumstances requiring the extension and the date by which the Plan expects to render a decision. The extension notice shall specifically explain the standards on which entitlement to a disability benefit is based, the unresolved issues that prevent a decision on the claim and the additional information needed from the Claimant to resolve those issues, and the Claimant shall be afforded at least forty-five (45) days within which to provide the specified information.</w:t>
      </w:r>
    </w:p>
    <w:p>
      <w:pPr>
        <w:spacing w:after="0" w:line="19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5"/>
          <w:szCs w:val="15"/>
          <w:u w:val="single" w:color="auto"/>
          <w:color w:val="auto"/>
        </w:rPr>
        <w:t>Calculating Time Periods</w:t>
      </w:r>
      <w:r>
        <w:rPr>
          <w:rFonts w:ascii="Arial" w:cs="Arial" w:eastAsia="Arial" w:hAnsi="Arial"/>
          <w:sz w:val="15"/>
          <w:szCs w:val="15"/>
          <w:color w:val="auto"/>
        </w:rPr>
        <w:t xml:space="preserve">. </w:t>
      </w:r>
      <w:r>
        <w:rPr>
          <w:rFonts w:ascii="Arial" w:cs="Arial" w:eastAsia="Arial" w:hAnsi="Arial"/>
          <w:sz w:val="15"/>
          <w:szCs w:val="15"/>
          <w:color w:val="333333"/>
        </w:rPr>
        <w:t>For purposes of</w:t>
      </w:r>
      <w:r>
        <w:rPr>
          <w:rFonts w:ascii="Arial" w:cs="Arial" w:eastAsia="Arial" w:hAnsi="Arial"/>
          <w:sz w:val="15"/>
          <w:szCs w:val="15"/>
          <w:color w:val="auto"/>
        </w:rPr>
        <w:t xml:space="preserve"> calculating the time periods in the preceding paragraph</w:t>
      </w:r>
      <w:r>
        <w:rPr>
          <w:rFonts w:ascii="Arial" w:cs="Arial" w:eastAsia="Arial" w:hAnsi="Arial"/>
          <w:sz w:val="15"/>
          <w:szCs w:val="15"/>
          <w:color w:val="333333"/>
        </w:rPr>
        <w:t>, the period of time within which a benefit determination is</w:t>
      </w:r>
      <w:r>
        <w:rPr>
          <w:rFonts w:ascii="Arial" w:cs="Arial" w:eastAsia="Arial" w:hAnsi="Arial"/>
          <w:sz w:val="15"/>
          <w:szCs w:val="15"/>
          <w:color w:val="auto"/>
        </w:rPr>
        <w:t xml:space="preserve"> </w:t>
      </w:r>
      <w:r>
        <w:rPr>
          <w:rFonts w:ascii="Arial" w:cs="Arial" w:eastAsia="Arial" w:hAnsi="Arial"/>
          <w:sz w:val="15"/>
          <w:szCs w:val="15"/>
          <w:color w:val="333333"/>
        </w:rPr>
        <w:t>required to be made shall begin at the time a claim is filed in accordance with the reasonable procedures of the Plan, without regard to whether all the information necessary to make a benefit determination accompanies the filing. In the event that a period of time is extended as permitted pursuant to the preceding paragraph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spacing w:after="0" w:line="20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u w:val="single" w:color="auto"/>
          <w:color w:val="auto"/>
        </w:rPr>
        <w:t>Notice of Decision.</w:t>
      </w:r>
      <w:r>
        <w:rPr>
          <w:rFonts w:ascii="Arial" w:cs="Arial" w:eastAsia="Arial" w:hAnsi="Arial"/>
          <w:sz w:val="16"/>
          <w:szCs w:val="16"/>
          <w:color w:val="auto"/>
        </w:rPr>
        <w:t xml:space="preserve"> In the case of an adverse benefit determination with respect to disability benefits, the Administrative Committee will provide a notification in a culturally and linguistically appropriate manner (as described in Department of Labor Regulation Section 2560.503-1(o)) that shall set forth the following in a manner calculated to be understood by the Claimant:</w:t>
      </w:r>
    </w:p>
    <w:p>
      <w:pPr>
        <w:spacing w:after="0" w:line="200" w:lineRule="exact"/>
        <w:rPr>
          <w:sz w:val="20"/>
          <w:szCs w:val="20"/>
          <w:color w:val="auto"/>
        </w:rPr>
      </w:pPr>
    </w:p>
    <w:p>
      <w:pPr>
        <w:ind w:left="840" w:hanging="184"/>
        <w:spacing w:after="0"/>
        <w:tabs>
          <w:tab w:leader="none" w:pos="8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specific reasons for the adverse determination;</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reference to the specific provisions of the Plan or insurance contract on which the determination is based;</w:t>
      </w:r>
    </w:p>
    <w:p>
      <w:pPr>
        <w:spacing w:after="0" w:line="221" w:lineRule="exact"/>
        <w:rPr>
          <w:rFonts w:ascii="Arial" w:cs="Arial" w:eastAsia="Arial" w:hAnsi="Arial"/>
          <w:sz w:val="16"/>
          <w:szCs w:val="16"/>
          <w:color w:val="auto"/>
        </w:rPr>
      </w:pPr>
    </w:p>
    <w:p>
      <w:pPr>
        <w:ind w:firstLine="656"/>
        <w:spacing w:after="0"/>
        <w:tabs>
          <w:tab w:leader="none" w:pos="933" w:val="left"/>
        </w:tabs>
        <w:numPr>
          <w:ilvl w:val="0"/>
          <w:numId w:val="35"/>
        </w:numPr>
        <w:rPr>
          <w:rFonts w:ascii="Arial" w:cs="Arial" w:eastAsia="Arial" w:hAnsi="Arial"/>
          <w:sz w:val="16"/>
          <w:szCs w:val="16"/>
          <w:color w:val="auto"/>
        </w:rPr>
      </w:pPr>
      <w:r>
        <w:rPr>
          <w:rFonts w:ascii="Arial" w:cs="Arial" w:eastAsia="Arial" w:hAnsi="Arial"/>
          <w:sz w:val="16"/>
          <w:szCs w:val="16"/>
          <w:color w:val="auto"/>
        </w:rPr>
        <w:t>notice that the Claimant has a right to request a review of the claim denial and an explanation of the Plan’s review procedures and the time limits applicable to such procedures;</w:t>
      </w:r>
    </w:p>
    <w:p>
      <w:pPr>
        <w:spacing w:after="0" w:line="199" w:lineRule="exact"/>
        <w:rPr>
          <w:rFonts w:ascii="Arial" w:cs="Arial" w:eastAsia="Arial" w:hAnsi="Arial"/>
          <w:sz w:val="16"/>
          <w:szCs w:val="16"/>
          <w:color w:val="auto"/>
        </w:rPr>
      </w:pPr>
    </w:p>
    <w:p>
      <w:pPr>
        <w:ind w:firstLine="656"/>
        <w:spacing w:after="0"/>
        <w:tabs>
          <w:tab w:leader="none" w:pos="924"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ERISA Section 502(a) following an adverse benefit determination on review, and a description of any time limit that applies under the Plan for bringing such an action;</w:t>
      </w:r>
    </w:p>
    <w:p>
      <w:pPr>
        <w:spacing w:after="0" w:line="199" w:lineRule="exact"/>
        <w:rPr>
          <w:rFonts w:ascii="Arial" w:cs="Arial" w:eastAsia="Arial" w:hAnsi="Arial"/>
          <w:sz w:val="16"/>
          <w:szCs w:val="16"/>
          <w:color w:val="auto"/>
        </w:rPr>
      </w:pPr>
    </w:p>
    <w:p>
      <w:pPr>
        <w:ind w:left="880" w:hanging="224"/>
        <w:spacing w:after="0"/>
        <w:tabs>
          <w:tab w:leader="none" w:pos="8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discussion of the decision, including an explanation of the basis for disagreeing with or not following:</w:t>
      </w:r>
    </w:p>
    <w:p>
      <w:pPr>
        <w:spacing w:after="0" w:line="221" w:lineRule="exact"/>
        <w:rPr>
          <w:rFonts w:ascii="Arial" w:cs="Arial" w:eastAsia="Arial" w:hAnsi="Arial"/>
          <w:sz w:val="16"/>
          <w:szCs w:val="16"/>
          <w:color w:val="auto"/>
        </w:rPr>
      </w:pPr>
    </w:p>
    <w:p>
      <w:pPr>
        <w:ind w:left="1540" w:hanging="236"/>
        <w:spacing w:after="0"/>
        <w:tabs>
          <w:tab w:leader="none" w:pos="1540" w:val="left"/>
        </w:tabs>
        <w:numPr>
          <w:ilvl w:val="1"/>
          <w:numId w:val="35"/>
        </w:numPr>
        <w:rPr>
          <w:rFonts w:ascii="Arial" w:cs="Arial" w:eastAsia="Arial" w:hAnsi="Arial"/>
          <w:sz w:val="15"/>
          <w:szCs w:val="15"/>
          <w:color w:val="auto"/>
        </w:rPr>
      </w:pPr>
      <w:r>
        <w:rPr>
          <w:rFonts w:ascii="Arial" w:cs="Arial" w:eastAsia="Arial" w:hAnsi="Arial"/>
          <w:sz w:val="15"/>
          <w:szCs w:val="15"/>
          <w:color w:val="auto"/>
        </w:rPr>
        <w:t>the views presented by the Claimant of health care professionals treating the Claimant and vocational professionals who evaluated the Claimant;</w:t>
      </w:r>
    </w:p>
    <w:p>
      <w:pPr>
        <w:spacing w:after="0" w:line="232" w:lineRule="exact"/>
        <w:rPr>
          <w:rFonts w:ascii="Arial" w:cs="Arial" w:eastAsia="Arial" w:hAnsi="Arial"/>
          <w:sz w:val="15"/>
          <w:szCs w:val="15"/>
          <w:color w:val="auto"/>
        </w:rPr>
      </w:pPr>
    </w:p>
    <w:p>
      <w:pPr>
        <w:ind w:firstLine="1304"/>
        <w:spacing w:after="0"/>
        <w:tabs>
          <w:tab w:leader="none" w:pos="1553"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99" w:lineRule="exact"/>
        <w:rPr>
          <w:rFonts w:ascii="Arial" w:cs="Arial" w:eastAsia="Arial" w:hAnsi="Arial"/>
          <w:sz w:val="16"/>
          <w:szCs w:val="16"/>
          <w:color w:val="auto"/>
        </w:rPr>
      </w:pPr>
    </w:p>
    <w:p>
      <w:pPr>
        <w:ind w:left="1540" w:hanging="236"/>
        <w:spacing w:after="0"/>
        <w:tabs>
          <w:tab w:leader="none" w:pos="154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 disability determination regarding the Claimant presented by the Claimant made by the Social Security Administration.</w:t>
      </w:r>
    </w:p>
    <w:p>
      <w:pPr>
        <w:spacing w:after="0" w:line="221" w:lineRule="exact"/>
        <w:rPr>
          <w:rFonts w:ascii="Arial" w:cs="Arial" w:eastAsia="Arial" w:hAnsi="Arial"/>
          <w:sz w:val="16"/>
          <w:szCs w:val="16"/>
          <w:color w:val="auto"/>
        </w:rPr>
      </w:pPr>
    </w:p>
    <w:p>
      <w:pPr>
        <w:jc w:val="both"/>
        <w:ind w:firstLine="656"/>
        <w:spacing w:after="0" w:line="230" w:lineRule="auto"/>
        <w:tabs>
          <w:tab w:leader="none" w:pos="9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4" w:right="339" w:bottom="1440" w:gutter="0" w:footer="0" w:header="0"/>
        </w:sectPr>
      </w:pPr>
    </w:p>
    <w:bookmarkStart w:id="59" w:name="page60"/>
    <w:bookmarkEnd w:id="59"/>
    <w:p>
      <w:pPr>
        <w:ind w:firstLine="656"/>
        <w:spacing w:after="0"/>
        <w:tabs>
          <w:tab w:leader="none" w:pos="986" w:val="left"/>
        </w:tabs>
        <w:numPr>
          <w:ilvl w:val="0"/>
          <w:numId w:val="36"/>
        </w:numPr>
        <w:rPr>
          <w:rFonts w:ascii="Arial" w:cs="Arial" w:eastAsia="Arial" w:hAnsi="Arial"/>
          <w:sz w:val="16"/>
          <w:szCs w:val="16"/>
          <w:color w:val="auto"/>
        </w:rPr>
      </w:pPr>
      <w:r>
        <w:rPr>
          <w:rFonts w:ascii="Arial" w:cs="Arial" w:eastAsia="Arial" w:hAnsi="Arial"/>
          <w:sz w:val="16"/>
          <w:szCs w:val="16"/>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spacing w:after="0" w:line="199" w:lineRule="exact"/>
        <w:rPr>
          <w:rFonts w:ascii="Arial" w:cs="Arial" w:eastAsia="Arial" w:hAnsi="Arial"/>
          <w:sz w:val="16"/>
          <w:szCs w:val="16"/>
          <w:color w:val="auto"/>
        </w:rPr>
      </w:pPr>
    </w:p>
    <w:p>
      <w:pPr>
        <w:jc w:val="both"/>
        <w:ind w:firstLine="656"/>
        <w:spacing w:after="0" w:line="230" w:lineRule="auto"/>
        <w:tabs>
          <w:tab w:leader="none" w:pos="102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in accordance with Department of Labor Regulation Section 2560.503-1(m)(8).</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5"/>
          <w:szCs w:val="15"/>
          <w:u w:val="single" w:color="auto"/>
          <w:color w:val="auto"/>
        </w:rPr>
        <w:t>Appeal of Adverse Benefit Determinations.</w:t>
      </w:r>
      <w:r>
        <w:rPr>
          <w:rFonts w:ascii="Arial" w:cs="Arial" w:eastAsia="Arial" w:hAnsi="Arial"/>
          <w:sz w:val="15"/>
          <w:szCs w:val="15"/>
          <w:color w:val="auto"/>
        </w:rPr>
        <w:t xml:space="preserve"> If the initial claim for Disability Benefits requires an independent determination by the Administrative Committee of a Participant’s disability status, and the Administrative Committee denies the claim, in whole or in part, the Claimant shall have a reasonable opportunity to appeal the adverse benefit determination to an appropriate named fiduciary of the Plan for a full and fair review of the claim and the adverse benefit determination, as follows:</w:t>
      </w:r>
    </w:p>
    <w:p>
      <w:pPr>
        <w:spacing w:after="0" w:line="194" w:lineRule="exact"/>
        <w:rPr>
          <w:sz w:val="20"/>
          <w:szCs w:val="20"/>
          <w:color w:val="auto"/>
        </w:rPr>
      </w:pPr>
    </w:p>
    <w:p>
      <w:pPr>
        <w:ind w:left="840" w:hanging="184"/>
        <w:spacing w:after="0"/>
        <w:tabs>
          <w:tab w:leader="none" w:pos="840" w:val="left"/>
        </w:tabs>
        <w:numPr>
          <w:ilvl w:val="1"/>
          <w:numId w:val="37"/>
        </w:numPr>
        <w:rPr>
          <w:rFonts w:ascii="Arial" w:cs="Arial" w:eastAsia="Arial" w:hAnsi="Arial"/>
          <w:sz w:val="15"/>
          <w:szCs w:val="15"/>
          <w:color w:val="auto"/>
        </w:rPr>
      </w:pPr>
      <w:r>
        <w:rPr>
          <w:rFonts w:ascii="Arial" w:cs="Arial" w:eastAsia="Arial" w:hAnsi="Arial"/>
          <w:sz w:val="15"/>
          <w:szCs w:val="15"/>
          <w:color w:val="auto"/>
        </w:rPr>
        <w:t>The C</w:t>
      </w:r>
      <w:r>
        <w:rPr>
          <w:rFonts w:ascii="Arial" w:cs="Arial" w:eastAsia="Arial" w:hAnsi="Arial"/>
          <w:sz w:val="15"/>
          <w:szCs w:val="15"/>
          <w:color w:val="333333"/>
        </w:rPr>
        <w:t>laimant shall have at least 180 days following receipt of a notification of an adverse benefit determination within which to appeal the determination;</w:t>
      </w:r>
    </w:p>
    <w:p>
      <w:pPr>
        <w:spacing w:after="0" w:line="232" w:lineRule="exact"/>
        <w:rPr>
          <w:rFonts w:ascii="Arial" w:cs="Arial" w:eastAsia="Arial" w:hAnsi="Arial"/>
          <w:sz w:val="15"/>
          <w:szCs w:val="15"/>
          <w:color w:val="auto"/>
        </w:rPr>
      </w:pPr>
    </w:p>
    <w:p>
      <w:pPr>
        <w:ind w:left="900" w:hanging="244"/>
        <w:spacing w:after="0"/>
        <w:tabs>
          <w:tab w:leader="none" w:pos="90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Claimant shall have the opportunity to submit written comments, documents, records and other information relating to the claim for benefits;</w:t>
      </w:r>
    </w:p>
    <w:p>
      <w:pPr>
        <w:spacing w:after="0" w:line="221" w:lineRule="exact"/>
        <w:rPr>
          <w:rFonts w:ascii="Arial" w:cs="Arial" w:eastAsia="Arial" w:hAnsi="Arial"/>
          <w:sz w:val="16"/>
          <w:szCs w:val="16"/>
          <w:color w:val="auto"/>
        </w:rPr>
      </w:pPr>
    </w:p>
    <w:p>
      <w:pPr>
        <w:jc w:val="both"/>
        <w:ind w:firstLine="656"/>
        <w:spacing w:after="0" w:line="225" w:lineRule="auto"/>
        <w:tabs>
          <w:tab w:leader="none" w:pos="931" w:val="left"/>
        </w:tabs>
        <w:numPr>
          <w:ilvl w:val="1"/>
          <w:numId w:val="37"/>
        </w:numPr>
        <w:rPr>
          <w:rFonts w:ascii="Arial" w:cs="Arial" w:eastAsia="Arial" w:hAnsi="Arial"/>
          <w:sz w:val="16"/>
          <w:szCs w:val="16"/>
          <w:color w:val="auto"/>
        </w:rPr>
      </w:pPr>
      <w:r>
        <w:rPr>
          <w:rFonts w:ascii="Arial" w:cs="Arial" w:eastAsia="Arial" w:hAnsi="Arial"/>
          <w:sz w:val="16"/>
          <w:szCs w:val="16"/>
          <w:color w:val="auto"/>
        </w:rPr>
        <w:t>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review is required to be provided, to give the Claimant a reasonable opportunity to respond prior to that date.</w:t>
      </w:r>
    </w:p>
    <w:p>
      <w:pPr>
        <w:spacing w:after="0" w:line="201" w:lineRule="exact"/>
        <w:rPr>
          <w:rFonts w:ascii="Arial" w:cs="Arial" w:eastAsia="Arial" w:hAnsi="Arial"/>
          <w:sz w:val="16"/>
          <w:szCs w:val="16"/>
          <w:color w:val="auto"/>
        </w:rPr>
      </w:pPr>
    </w:p>
    <w:p>
      <w:pPr>
        <w:jc w:val="both"/>
        <w:ind w:firstLine="656"/>
        <w:spacing w:after="0" w:line="217" w:lineRule="auto"/>
        <w:tabs>
          <w:tab w:leader="none" w:pos="965"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Administrative Committee shall respond in writing to such Claimant within forty-five (45) days after receiving the request for review. If the Administrative Committee determines that special circumstances require additional time for processing the claim, the Administrative Committee can extend the response period by an additional forty-five (45) days by notifying the Claimant in writing, prior to the end of the initial 45-day period, that an additional period is required. The notice of extension must set forth the special circumstances requiring an extension of time and the date by which the Administrative Committee expects to render its decision. For purposes of this paragraph, the period of time within which a benefit determination on review is required to be made shall begin at the time an appeal is filed in accordance with the reasonable procedures of the Plan, without regard to whether all the information necessary to make a benefit determination on review accompanies the filing. In the event that a period of time is extended as permitted pursuant to this paragraph due to the Claimant's failure to submit information necessary to decide a claim, the period for making the benefit determination on review shall be tolled from the date on which the notification of the extension is sent to the Claimant until the date on which the Claimant responds to the request for additional information.</w:t>
      </w:r>
    </w:p>
    <w:p>
      <w:pPr>
        <w:spacing w:after="0" w:line="203" w:lineRule="exact"/>
        <w:rPr>
          <w:rFonts w:ascii="Arial" w:cs="Arial" w:eastAsia="Arial" w:hAnsi="Arial"/>
          <w:sz w:val="16"/>
          <w:szCs w:val="16"/>
          <w:color w:val="auto"/>
        </w:rPr>
      </w:pPr>
    </w:p>
    <w:p>
      <w:pPr>
        <w:jc w:val="both"/>
        <w:ind w:firstLine="8"/>
        <w:spacing w:after="0" w:line="225" w:lineRule="auto"/>
        <w:tabs>
          <w:tab w:leader="none" w:pos="2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Claimant shall be given the opportunity to submit issues and written comments to the Administrative Committee,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201" w:lineRule="exact"/>
        <w:rPr>
          <w:rFonts w:ascii="Arial" w:cs="Arial" w:eastAsia="Arial" w:hAnsi="Arial"/>
          <w:sz w:val="16"/>
          <w:szCs w:val="16"/>
          <w:color w:val="auto"/>
        </w:rPr>
      </w:pPr>
    </w:p>
    <w:p>
      <w:pPr>
        <w:jc w:val="both"/>
        <w:ind w:firstLine="8"/>
        <w:spacing w:after="0" w:line="217" w:lineRule="auto"/>
        <w:tabs>
          <w:tab w:leader="none" w:pos="289" w:val="left"/>
        </w:tabs>
        <w:numPr>
          <w:ilvl w:val="0"/>
          <w:numId w:val="38"/>
        </w:numPr>
        <w:rPr>
          <w:rFonts w:ascii="Arial" w:cs="Arial" w:eastAsia="Arial" w:hAnsi="Arial"/>
          <w:sz w:val="16"/>
          <w:szCs w:val="16"/>
          <w:color w:val="auto"/>
        </w:rPr>
      </w:pPr>
      <w:r>
        <w:rPr>
          <w:rFonts w:ascii="Arial" w:cs="Arial" w:eastAsia="Arial" w:hAnsi="Arial"/>
          <w:sz w:val="16"/>
          <w:szCs w:val="16"/>
          <w:color w:val="auto"/>
        </w:rPr>
        <w:t>In considering the review, the Administrative Committee shall take into account all comments, documents, records and other information submitted by the Claimant relating to the claim, without regard to whether such information was submitted or considered in the initial benefit determination. Additional considerations shall be required in the case of a claim for disability benefits.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 If the initial adverse benefit determination was based in whole or in part on a medical judgment, the appropriate named fiduciary of the Plan shall consult with a health care professional who has appropriate training and experience in the field of medicine involving the medical judgment. The health care professional who is consulted on appeal will not be the same individual who was consulted during the initial determination or a subordinate of such individual. If the Administrative Committee obtained the advice of medical or vocational experts in making the initial adverse benefits determination (regardless of whether the advice was relied upon), the Administrative Committee will identify such experts.</w:t>
      </w:r>
    </w:p>
    <w:p>
      <w:pPr>
        <w:spacing w:after="0" w:line="20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u w:val="single" w:color="auto"/>
          <w:color w:val="auto"/>
        </w:rPr>
        <w:t>Notice of Decision after Review.</w:t>
      </w:r>
      <w:r>
        <w:rPr>
          <w:rFonts w:ascii="Arial" w:cs="Arial" w:eastAsia="Arial" w:hAnsi="Arial"/>
          <w:sz w:val="16"/>
          <w:szCs w:val="16"/>
          <w:color w:val="auto"/>
        </w:rPr>
        <w:t xml:space="preserve"> In the case of an adverse benefit determination with respect to Disability Benefits, the Administrative Committee will provide a notification in a culturally and linguistically appropriate manner (as described in Department of Labor Regulation Section 2560.503-1(o)) that shall set forth the following in a manner calculated to be understood by the Claimant:</w:t>
      </w:r>
    </w:p>
    <w:p>
      <w:pPr>
        <w:spacing w:after="0" w:line="200" w:lineRule="exact"/>
        <w:rPr>
          <w:sz w:val="20"/>
          <w:szCs w:val="20"/>
          <w:color w:val="auto"/>
        </w:rPr>
      </w:pPr>
    </w:p>
    <w:p>
      <w:pPr>
        <w:ind w:left="840" w:hanging="184"/>
        <w:spacing w:after="0"/>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Administrative Committee’s decision;</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specific reasons for the adverse determination;</w:t>
      </w:r>
    </w:p>
    <w:p>
      <w:pPr>
        <w:spacing w:after="0" w:line="221" w:lineRule="exact"/>
        <w:rPr>
          <w:rFonts w:ascii="Arial" w:cs="Arial" w:eastAsia="Arial" w:hAnsi="Arial"/>
          <w:sz w:val="16"/>
          <w:szCs w:val="16"/>
          <w:color w:val="auto"/>
        </w:rPr>
      </w:pPr>
    </w:p>
    <w:p>
      <w:pPr>
        <w:ind w:left="940" w:hanging="284"/>
        <w:spacing w:after="0"/>
        <w:tabs>
          <w:tab w:leader="none" w:pos="9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reference to the specific provisions of the Plan or insurance contract on which the decision is based;</w:t>
      </w:r>
    </w:p>
    <w:p>
      <w:pPr>
        <w:spacing w:after="0" w:line="221" w:lineRule="exact"/>
        <w:rPr>
          <w:rFonts w:ascii="Arial" w:cs="Arial" w:eastAsia="Arial" w:hAnsi="Arial"/>
          <w:sz w:val="16"/>
          <w:szCs w:val="16"/>
          <w:color w:val="auto"/>
        </w:rPr>
      </w:pPr>
    </w:p>
    <w:p>
      <w:pPr>
        <w:ind w:right="20" w:firstLine="656"/>
        <w:spacing w:after="0"/>
        <w:tabs>
          <w:tab w:leader="none" w:pos="938" w:val="left"/>
        </w:tabs>
        <w:numPr>
          <w:ilvl w:val="0"/>
          <w:numId w:val="39"/>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(as defined in applicable ERISA regulations) to the Claimant's claim for benefits;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sectPr>
      </w:pPr>
    </w:p>
    <w:bookmarkStart w:id="60" w:name="page61"/>
    <w:bookmarkEnd w:id="60"/>
    <w:p>
      <w:pPr>
        <w:ind w:left="880" w:hanging="224"/>
        <w:spacing w:after="0"/>
        <w:tabs>
          <w:tab w:leader="none" w:pos="8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statement describing any voluntary appeal procedures offered by the Plan and the Claimant’s right to obtain information about such procedures;</w:t>
      </w:r>
    </w:p>
    <w:p>
      <w:pPr>
        <w:spacing w:after="0" w:line="221" w:lineRule="exact"/>
        <w:rPr>
          <w:rFonts w:ascii="Arial" w:cs="Arial" w:eastAsia="Arial" w:hAnsi="Arial"/>
          <w:sz w:val="16"/>
          <w:szCs w:val="16"/>
          <w:color w:val="auto"/>
        </w:rPr>
      </w:pPr>
    </w:p>
    <w:p>
      <w:pPr>
        <w:ind w:firstLine="656"/>
        <w:spacing w:after="0"/>
        <w:tabs>
          <w:tab w:leader="none" w:pos="93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ERISA Section 502(a) which shall describe any applicable contractual limitations period that applies to the Claimant’s right to bring such an action, including the calendar date on which the contractual limitations period expires for the claim;</w:t>
      </w:r>
    </w:p>
    <w:p>
      <w:pPr>
        <w:spacing w:after="0" w:line="200" w:lineRule="exact"/>
        <w:rPr>
          <w:rFonts w:ascii="Arial" w:cs="Arial" w:eastAsia="Arial" w:hAnsi="Arial"/>
          <w:sz w:val="16"/>
          <w:szCs w:val="16"/>
          <w:color w:val="auto"/>
        </w:rPr>
      </w:pPr>
    </w:p>
    <w:p>
      <w:pPr>
        <w:spacing w:after="0" w:line="242" w:lineRule="exact"/>
        <w:rPr>
          <w:rFonts w:ascii="Arial" w:cs="Arial" w:eastAsia="Arial" w:hAnsi="Arial"/>
          <w:sz w:val="16"/>
          <w:szCs w:val="16"/>
          <w:color w:val="auto"/>
        </w:rPr>
      </w:pPr>
    </w:p>
    <w:p>
      <w:pPr>
        <w:ind w:left="980" w:hanging="324"/>
        <w:spacing w:after="0"/>
        <w:tabs>
          <w:tab w:leader="none" w:pos="9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 discussion of the decision, including an explanation of the basis for disagreeing with or not following:</w:t>
      </w:r>
    </w:p>
    <w:p>
      <w:pPr>
        <w:spacing w:after="0" w:line="221" w:lineRule="exact"/>
        <w:rPr>
          <w:rFonts w:ascii="Arial" w:cs="Arial" w:eastAsia="Arial" w:hAnsi="Arial"/>
          <w:sz w:val="16"/>
          <w:szCs w:val="16"/>
          <w:color w:val="auto"/>
        </w:rPr>
      </w:pPr>
    </w:p>
    <w:p>
      <w:pPr>
        <w:ind w:left="1540" w:hanging="236"/>
        <w:spacing w:after="0"/>
        <w:tabs>
          <w:tab w:leader="none" w:pos="154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views presented by the Claimant of health care professionals treating the Claimant and vocational professionals who evaluated the Claimant;</w:t>
      </w:r>
    </w:p>
    <w:p>
      <w:pPr>
        <w:spacing w:after="0" w:line="232" w:lineRule="exact"/>
        <w:rPr>
          <w:rFonts w:ascii="Arial" w:cs="Arial" w:eastAsia="Arial" w:hAnsi="Arial"/>
          <w:sz w:val="15"/>
          <w:szCs w:val="15"/>
          <w:color w:val="auto"/>
        </w:rPr>
      </w:pPr>
    </w:p>
    <w:p>
      <w:pPr>
        <w:ind w:right="20" w:firstLine="1304"/>
        <w:spacing w:after="0"/>
        <w:tabs>
          <w:tab w:leader="none" w:pos="1547"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views of medical or vocational experts whose advice was obtained on behalf of the Plan in connection with the Claimant’s adverse benefit determination, without regard to whether the advice was relied upon in making the benefit determination; and</w:t>
      </w:r>
    </w:p>
    <w:p>
      <w:pPr>
        <w:spacing w:after="0" w:line="199" w:lineRule="exact"/>
        <w:rPr>
          <w:rFonts w:ascii="Arial" w:cs="Arial" w:eastAsia="Arial" w:hAnsi="Arial"/>
          <w:sz w:val="16"/>
          <w:szCs w:val="16"/>
          <w:color w:val="auto"/>
        </w:rPr>
      </w:pPr>
    </w:p>
    <w:p>
      <w:pPr>
        <w:ind w:left="1540" w:hanging="236"/>
        <w:spacing w:after="0"/>
        <w:tabs>
          <w:tab w:leader="none" w:pos="15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 disability determination regarding the Claimant presented by the Claimant made by the Social Security Administration.</w:t>
      </w:r>
    </w:p>
    <w:p>
      <w:pPr>
        <w:spacing w:after="0" w:line="221" w:lineRule="exact"/>
        <w:rPr>
          <w:rFonts w:ascii="Arial" w:cs="Arial" w:eastAsia="Arial" w:hAnsi="Arial"/>
          <w:sz w:val="16"/>
          <w:szCs w:val="16"/>
          <w:color w:val="auto"/>
        </w:rPr>
      </w:pPr>
    </w:p>
    <w:p>
      <w:pPr>
        <w:jc w:val="both"/>
        <w:ind w:firstLine="656"/>
        <w:spacing w:after="0" w:line="230" w:lineRule="auto"/>
        <w:tabs>
          <w:tab w:leader="none" w:pos="103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200" w:lineRule="exact"/>
        <w:rPr>
          <w:rFonts w:ascii="Arial" w:cs="Arial" w:eastAsia="Arial" w:hAnsi="Arial"/>
          <w:sz w:val="16"/>
          <w:szCs w:val="16"/>
          <w:color w:val="auto"/>
        </w:rPr>
      </w:pPr>
    </w:p>
    <w:p>
      <w:pPr>
        <w:ind w:firstLine="656"/>
        <w:spacing w:after="0"/>
        <w:tabs>
          <w:tab w:leader="none" w:pos="943" w:val="left"/>
        </w:tabs>
        <w:numPr>
          <w:ilvl w:val="0"/>
          <w:numId w:val="40"/>
        </w:numPr>
        <w:rPr>
          <w:rFonts w:ascii="Arial" w:cs="Arial" w:eastAsia="Arial" w:hAnsi="Arial"/>
          <w:sz w:val="16"/>
          <w:szCs w:val="16"/>
          <w:color w:val="auto"/>
        </w:rPr>
      </w:pPr>
      <w:r>
        <w:rPr>
          <w:rFonts w:ascii="Arial" w:cs="Arial" w:eastAsia="Arial" w:hAnsi="Arial"/>
          <w:sz w:val="16"/>
          <w:szCs w:val="16"/>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199" w:lineRule="exact"/>
        <w:rPr>
          <w:sz w:val="20"/>
          <w:szCs w:val="20"/>
          <w:color w:val="auto"/>
        </w:rPr>
      </w:pPr>
    </w:p>
    <w:p>
      <w:pPr>
        <w:jc w:val="both"/>
        <w:ind w:right="20" w:firstLine="648"/>
        <w:spacing w:after="0"/>
        <w:rPr>
          <w:sz w:val="20"/>
          <w:szCs w:val="20"/>
          <w:color w:val="auto"/>
        </w:rPr>
      </w:pPr>
      <w:r>
        <w:rPr>
          <w:rFonts w:ascii="Arial" w:cs="Arial" w:eastAsia="Arial" w:hAnsi="Arial"/>
          <w:sz w:val="16"/>
          <w:szCs w:val="16"/>
          <w:u w:val="single" w:color="auto"/>
          <w:color w:val="auto"/>
        </w:rPr>
        <w:t>Exhaustion of Remedies.</w:t>
      </w:r>
      <w:r>
        <w:rPr>
          <w:rFonts w:ascii="Arial" w:cs="Arial" w:eastAsia="Arial" w:hAnsi="Arial"/>
          <w:sz w:val="16"/>
          <w:szCs w:val="16"/>
          <w:color w:val="auto"/>
        </w:rPr>
        <w:t xml:space="preserve"> A Claimant must follow the claims review procedures under this Plan and exhaust his or her administrative remedies before taking any further action with respect to a claim for benefits.</w:t>
      </w:r>
    </w:p>
    <w:p>
      <w:pPr>
        <w:spacing w:after="0" w:line="199"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15"/>
          <w:szCs w:val="15"/>
          <w:u w:val="single" w:color="auto"/>
          <w:color w:val="auto"/>
        </w:rPr>
        <w:t>Failure of the Plan to Follow Procedures.</w:t>
      </w:r>
      <w:r>
        <w:rPr>
          <w:rFonts w:ascii="Arial" w:cs="Arial" w:eastAsia="Arial" w:hAnsi="Arial"/>
          <w:sz w:val="15"/>
          <w:szCs w:val="15"/>
          <w:color w:val="auto"/>
        </w:rPr>
        <w:t xml:space="preserve"> In the case of a claim for disability benefits, if the Plan fails to strictly adhere to all the requirements of this claims procedure with respect to a disability claim, the Claimant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(a) de minimis; (b) non-prejudicial; (c) attributable to good cause or matters beyond the Plan’s control; (d) in the context of an ongoing good-faith exchange of information between the Plan and the Claimant; and (e) not reflective of a pattern or practice of noncompliance. The Claimant may request a written explanation of the violation from the Plan, and the Plan must provide such explanation within ten (10) days, including a specific description of its bases,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Claimant with notice of the resubmission.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WITNESS WHEREOF, the Bank has caused this Amendment to be executed by a duly authorized officer as of this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April 2018.</w:t>
      </w:r>
    </w:p>
    <w:p>
      <w:pPr>
        <w:spacing w:after="0" w:line="15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7"/>
          <w:szCs w:val="17"/>
          <w:color w:val="auto"/>
        </w:rPr>
        <w:t>/s/</w:t>
      </w:r>
      <w:r>
        <w:rPr>
          <w:rFonts w:ascii="Arial" w:cs="Arial" w:eastAsia="Arial" w:hAnsi="Arial"/>
          <w:sz w:val="16"/>
          <w:szCs w:val="16"/>
          <w:color w:val="auto"/>
        </w:rPr>
        <w:t xml:space="preserve"> Dana L. Stonestreet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Dana L. Stonestreet</w:t>
      </w:r>
    </w:p>
    <w:p>
      <w:pPr>
        <w:ind w:left="340"/>
        <w:spacing w:after="0"/>
        <w:rPr>
          <w:sz w:val="20"/>
          <w:szCs w:val="20"/>
          <w:color w:val="auto"/>
        </w:rPr>
      </w:pPr>
      <w:r>
        <w:rPr>
          <w:rFonts w:ascii="Arial" w:cs="Arial" w:eastAsia="Arial" w:hAnsi="Arial"/>
          <w:sz w:val="16"/>
          <w:szCs w:val="16"/>
          <w:color w:val="auto"/>
        </w:rPr>
        <w:t>Chairman, President and Chief Executive Officer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2"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AMENDMENT NO. 1</w:t>
      </w:r>
    </w:p>
    <w:p>
      <w:pPr>
        <w:jc w:val="center"/>
        <w:spacing w:after="0" w:line="211" w:lineRule="auto"/>
        <w:rPr>
          <w:sz w:val="20"/>
          <w:szCs w:val="20"/>
          <w:color w:val="auto"/>
        </w:rPr>
      </w:pPr>
      <w:r>
        <w:rPr>
          <w:rFonts w:ascii="Arial" w:cs="Arial" w:eastAsia="Arial" w:hAnsi="Arial"/>
          <w:sz w:val="16"/>
          <w:szCs w:val="16"/>
          <w:b w:val="1"/>
          <w:bCs w:val="1"/>
          <w:color w:val="auto"/>
        </w:rPr>
        <w:t>To</w:t>
      </w:r>
    </w:p>
    <w:p>
      <w:pPr>
        <w:jc w:val="center"/>
        <w:spacing w:after="0" w:line="211" w:lineRule="auto"/>
        <w:rPr>
          <w:sz w:val="20"/>
          <w:szCs w:val="20"/>
          <w:color w:val="auto"/>
        </w:rPr>
      </w:pPr>
      <w:r>
        <w:rPr>
          <w:rFonts w:ascii="Arial" w:cs="Arial" w:eastAsia="Arial" w:hAnsi="Arial"/>
          <w:sz w:val="16"/>
          <w:szCs w:val="16"/>
          <w:b w:val="1"/>
          <w:bCs w:val="1"/>
          <w:color w:val="auto"/>
        </w:rPr>
        <w:t>PRE-2005 HOMETRUST BANK</w:t>
      </w:r>
    </w:p>
    <w:p>
      <w:pPr>
        <w:jc w:val="center"/>
        <w:spacing w:after="0" w:line="211" w:lineRule="auto"/>
        <w:rPr>
          <w:sz w:val="20"/>
          <w:szCs w:val="20"/>
          <w:color w:val="auto"/>
        </w:rPr>
      </w:pPr>
      <w:r>
        <w:rPr>
          <w:rFonts w:ascii="Arial" w:cs="Arial" w:eastAsia="Arial" w:hAnsi="Arial"/>
          <w:sz w:val="16"/>
          <w:szCs w:val="16"/>
          <w:b w:val="1"/>
          <w:bCs w:val="1"/>
          <w:color w:val="auto"/>
        </w:rPr>
        <w:t>DEFERRED COMPENSATION PLAN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(ADDENDUM TO DISABILITY CLAIMS PROCEDURE)</w:t>
      </w:r>
    </w:p>
    <w:p>
      <w:pPr>
        <w:spacing w:after="0" w:line="207" w:lineRule="exact"/>
        <w:rPr>
          <w:sz w:val="20"/>
          <w:szCs w:val="20"/>
          <w:color w:val="auto"/>
        </w:rPr>
      </w:pPr>
    </w:p>
    <w:p>
      <w:pPr>
        <w:jc w:val="both"/>
        <w:ind w:right="20"/>
        <w:spacing w:after="0" w:line="272" w:lineRule="auto"/>
        <w:rPr>
          <w:sz w:val="20"/>
          <w:szCs w:val="20"/>
          <w:color w:val="auto"/>
        </w:rPr>
      </w:pPr>
      <w:r>
        <w:rPr>
          <w:rFonts w:ascii="Arial" w:cs="Arial" w:eastAsia="Arial" w:hAnsi="Arial"/>
          <w:sz w:val="15"/>
          <w:szCs w:val="15"/>
          <w:color w:val="auto"/>
        </w:rPr>
        <w:t>This Amendment No. 1 to the Pre-2005 HomeTrust Bank Deferred Compensation Plan (the “Plan”) is made effective as of April 1, 2018 and shall apply to all claims for Disability Benefits under the Plan received on or after April 1, 2018. All capitalized terms not defined herein shall have the meaning set forth in the Plan.</w:t>
      </w:r>
    </w:p>
    <w:p>
      <w:pPr>
        <w:spacing w:after="0" w:line="176" w:lineRule="exact"/>
        <w:rPr>
          <w:sz w:val="20"/>
          <w:szCs w:val="20"/>
          <w:color w:val="auto"/>
        </w:rPr>
      </w:pPr>
    </w:p>
    <w:p>
      <w:pPr>
        <w:jc w:val="both"/>
        <w:ind w:firstLine="648"/>
        <w:spacing w:after="0" w:line="225" w:lineRule="auto"/>
        <w:rPr>
          <w:sz w:val="20"/>
          <w:szCs w:val="20"/>
          <w:color w:val="auto"/>
        </w:rPr>
      </w:pPr>
      <w:r>
        <w:rPr>
          <w:rFonts w:ascii="Arial" w:cs="Arial" w:eastAsia="Arial" w:hAnsi="Arial"/>
          <w:sz w:val="16"/>
          <w:szCs w:val="16"/>
          <w:u w:val="single" w:color="auto"/>
          <w:color w:val="auto"/>
        </w:rPr>
        <w:t>Disability Claim.</w:t>
      </w:r>
      <w:r>
        <w:rPr>
          <w:rFonts w:ascii="Arial" w:cs="Arial" w:eastAsia="Arial" w:hAnsi="Arial"/>
          <w:sz w:val="16"/>
          <w:szCs w:val="16"/>
          <w:color w:val="auto"/>
        </w:rPr>
        <w:t xml:space="preserve"> The Administrative Committee shall ensure that all written claims for Disability Benefits under the Plan and all appeals related to Disability Benefits are adjudicated in a manner designed to ensure the independence and impartiality of the persons involved in making the decision. The claims procedures set forth in this Amendment supersede all claims procedures language set forth in Article 13 of the Plan with respect to claims for Disability Benefits, except that Section 13.1 of the Plan shall continue to apply.</w:t>
      </w:r>
    </w:p>
    <w:p>
      <w:pPr>
        <w:spacing w:after="0" w:line="201" w:lineRule="exact"/>
        <w:rPr>
          <w:sz w:val="20"/>
          <w:szCs w:val="20"/>
          <w:color w:val="auto"/>
        </w:rPr>
      </w:pPr>
    </w:p>
    <w:p>
      <w:pPr>
        <w:jc w:val="both"/>
        <w:ind w:firstLine="648"/>
        <w:spacing w:after="0" w:line="231" w:lineRule="auto"/>
        <w:rPr>
          <w:sz w:val="20"/>
          <w:szCs w:val="20"/>
          <w:color w:val="auto"/>
        </w:rPr>
      </w:pPr>
      <w:r>
        <w:rPr>
          <w:rFonts w:ascii="Arial" w:cs="Arial" w:eastAsia="Arial" w:hAnsi="Arial"/>
          <w:sz w:val="15"/>
          <w:szCs w:val="15"/>
          <w:u w:val="single" w:color="auto"/>
          <w:color w:val="auto"/>
        </w:rPr>
        <w:t>Timing of Administrative Committee Response.</w:t>
      </w:r>
      <w:r>
        <w:rPr>
          <w:rFonts w:ascii="Arial" w:cs="Arial" w:eastAsia="Arial" w:hAnsi="Arial"/>
          <w:sz w:val="15"/>
          <w:szCs w:val="15"/>
          <w:color w:val="auto"/>
        </w:rPr>
        <w:t xml:space="preserve"> If the claim relates to a determination of disability, and the claim requires an independent determination by the Administrative Committee of a Participant’s disability status, the Administrative Committee shall notify the Claimant of the Plan’s benefit determination within a reasonable period of time, but no later than forty-five (45) days after receipt of the claim. If, due to matters beyond the control of the Plan, the Administrative Committee needs additional time to process a claim, the Claimant will be notified, within forty-five (45) days after the Administrative Committee receives the claim, of the circumstances requiring the extension of time and the date by which the Administrative Committee expects to make its decision, but not beyond seventy-five (75) days from the date the claim was received. If, prior to the end of the extension period, due to matters beyond the control of the Plan, a decision cannot be rendered within that extension period, the period for making the determination may be extended for up to an additional thirty (30) days, provided that the Administrative Committee notifies the Claimant, prior to the expiration of the first extension period, of the circumstances requiring the extension and the date by which the Plan expects to render a decision. The extension notice shall specifically explain the standards on which entitlement to a disability benefit is based, the unresolved issues that prevent a decision on the claim and the additional information needed from the Claimant to resolve those issues, and the Claimant shall be afforded at least forty-five (45) days within which to provide the specified information.</w:t>
      </w:r>
    </w:p>
    <w:p>
      <w:pPr>
        <w:spacing w:after="0" w:line="199"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5"/>
          <w:szCs w:val="15"/>
          <w:u w:val="single" w:color="auto"/>
          <w:color w:val="auto"/>
        </w:rPr>
        <w:t>Calculating Time Periods</w:t>
      </w:r>
      <w:r>
        <w:rPr>
          <w:rFonts w:ascii="Arial" w:cs="Arial" w:eastAsia="Arial" w:hAnsi="Arial"/>
          <w:sz w:val="15"/>
          <w:szCs w:val="15"/>
          <w:color w:val="auto"/>
        </w:rPr>
        <w:t xml:space="preserve">. </w:t>
      </w:r>
      <w:r>
        <w:rPr>
          <w:rFonts w:ascii="Arial" w:cs="Arial" w:eastAsia="Arial" w:hAnsi="Arial"/>
          <w:sz w:val="15"/>
          <w:szCs w:val="15"/>
          <w:color w:val="333333"/>
        </w:rPr>
        <w:t>For purposes of</w:t>
      </w:r>
      <w:r>
        <w:rPr>
          <w:rFonts w:ascii="Arial" w:cs="Arial" w:eastAsia="Arial" w:hAnsi="Arial"/>
          <w:sz w:val="15"/>
          <w:szCs w:val="15"/>
          <w:color w:val="auto"/>
        </w:rPr>
        <w:t xml:space="preserve"> calculating the time periods in the preceding paragraph</w:t>
      </w:r>
      <w:r>
        <w:rPr>
          <w:rFonts w:ascii="Arial" w:cs="Arial" w:eastAsia="Arial" w:hAnsi="Arial"/>
          <w:sz w:val="15"/>
          <w:szCs w:val="15"/>
          <w:color w:val="333333"/>
        </w:rPr>
        <w:t>, the period of time within which a benefit determination is</w:t>
      </w:r>
      <w:r>
        <w:rPr>
          <w:rFonts w:ascii="Arial" w:cs="Arial" w:eastAsia="Arial" w:hAnsi="Arial"/>
          <w:sz w:val="15"/>
          <w:szCs w:val="15"/>
          <w:color w:val="auto"/>
        </w:rPr>
        <w:t xml:space="preserve"> </w:t>
      </w:r>
      <w:r>
        <w:rPr>
          <w:rFonts w:ascii="Arial" w:cs="Arial" w:eastAsia="Arial" w:hAnsi="Arial"/>
          <w:sz w:val="15"/>
          <w:szCs w:val="15"/>
          <w:color w:val="333333"/>
        </w:rPr>
        <w:t xml:space="preserve">required to be made shall begin at the time a claim is filed in accordance with the reasonable procedures of the Plan, without regard </w:t>
      </w:r>
      <w:r>
        <w:rPr>
          <w:rFonts w:ascii="Arial" w:cs="Arial" w:eastAsia="Arial" w:hAnsi="Arial"/>
          <w:sz w:val="15"/>
          <w:szCs w:val="15"/>
          <w:color w:val="000000"/>
        </w:rPr>
        <w:t>to whether all the information necessary</w:t>
      </w:r>
      <w:r>
        <w:rPr>
          <w:rFonts w:ascii="Arial" w:cs="Arial" w:eastAsia="Arial" w:hAnsi="Arial"/>
          <w:sz w:val="15"/>
          <w:szCs w:val="15"/>
          <w:color w:val="333333"/>
        </w:rPr>
        <w:t xml:space="preserve"> </w:t>
      </w:r>
      <w:r>
        <w:rPr>
          <w:rFonts w:ascii="Arial" w:cs="Arial" w:eastAsia="Arial" w:hAnsi="Arial"/>
          <w:sz w:val="15"/>
          <w:szCs w:val="15"/>
          <w:color w:val="000000"/>
        </w:rPr>
        <w:t>to make a benefit determination accompanies the filing. In the event that a period of time is extended as permitted pursuant to the preceding paragraph due to a Claimant's failure to submit information necessary to decide a claim, the period for making the benefit determination shall be tolled from the date on which the notification of the extension is sent to the Claimant until the date on which the Claimant responds to the request for additional information.</w:t>
      </w:r>
    </w:p>
    <w:p>
      <w:pPr>
        <w:spacing w:after="0" w:line="201"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u w:val="single" w:color="auto"/>
          <w:color w:val="auto"/>
        </w:rPr>
        <w:t>Notice of Decision.</w:t>
      </w:r>
      <w:r>
        <w:rPr>
          <w:rFonts w:ascii="Arial" w:cs="Arial" w:eastAsia="Arial" w:hAnsi="Arial"/>
          <w:sz w:val="16"/>
          <w:szCs w:val="16"/>
          <w:color w:val="auto"/>
        </w:rPr>
        <w:t xml:space="preserve"> In the case of an adverse benefit determination with respect to disability benefits, the Administrative Committee will provide a notification in a culturally and linguistically appropriate manner (as described in Department of Labor Regulation Section 2560.503-1(o)) that shall set forth the following in a manner calculated to be understood by the Claimant:</w:t>
      </w:r>
    </w:p>
    <w:p>
      <w:pPr>
        <w:spacing w:after="0" w:line="200" w:lineRule="exact"/>
        <w:rPr>
          <w:sz w:val="20"/>
          <w:szCs w:val="20"/>
          <w:color w:val="auto"/>
        </w:rPr>
      </w:pPr>
    </w:p>
    <w:p>
      <w:pPr>
        <w:ind w:left="840" w:hanging="184"/>
        <w:spacing w:after="0"/>
        <w:tabs>
          <w:tab w:leader="none" w:pos="8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specific reasons for the adverse determination;</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reference to the specific provisions of the Plan or insurance contract on which the determination is based;</w:t>
      </w:r>
    </w:p>
    <w:p>
      <w:pPr>
        <w:spacing w:after="0" w:line="221" w:lineRule="exact"/>
        <w:rPr>
          <w:rFonts w:ascii="Arial" w:cs="Arial" w:eastAsia="Arial" w:hAnsi="Arial"/>
          <w:sz w:val="16"/>
          <w:szCs w:val="16"/>
          <w:color w:val="auto"/>
        </w:rPr>
      </w:pPr>
    </w:p>
    <w:p>
      <w:pPr>
        <w:ind w:firstLine="656"/>
        <w:spacing w:after="0"/>
        <w:tabs>
          <w:tab w:leader="none" w:pos="933" w:val="left"/>
        </w:tabs>
        <w:numPr>
          <w:ilvl w:val="0"/>
          <w:numId w:val="41"/>
        </w:numPr>
        <w:rPr>
          <w:rFonts w:ascii="Arial" w:cs="Arial" w:eastAsia="Arial" w:hAnsi="Arial"/>
          <w:sz w:val="16"/>
          <w:szCs w:val="16"/>
          <w:color w:val="auto"/>
        </w:rPr>
      </w:pPr>
      <w:r>
        <w:rPr>
          <w:rFonts w:ascii="Arial" w:cs="Arial" w:eastAsia="Arial" w:hAnsi="Arial"/>
          <w:sz w:val="16"/>
          <w:szCs w:val="16"/>
          <w:color w:val="auto"/>
        </w:rPr>
        <w:t>notice that the Claimant has a right to request a review of the claim denial and an explanation of the Plan’s review procedures and the time limits applicable to such procedures;</w:t>
      </w:r>
    </w:p>
    <w:p>
      <w:pPr>
        <w:spacing w:after="0" w:line="199" w:lineRule="exact"/>
        <w:rPr>
          <w:rFonts w:ascii="Arial" w:cs="Arial" w:eastAsia="Arial" w:hAnsi="Arial"/>
          <w:sz w:val="16"/>
          <w:szCs w:val="16"/>
          <w:color w:val="auto"/>
        </w:rPr>
      </w:pPr>
    </w:p>
    <w:p>
      <w:pPr>
        <w:ind w:firstLine="656"/>
        <w:spacing w:after="0"/>
        <w:tabs>
          <w:tab w:leader="none" w:pos="924"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ERISA Section 502(a) following an adverse benefit determination on review, and a description of any time limit that applies under the Plan for bringing such an action;</w:t>
      </w:r>
    </w:p>
    <w:p>
      <w:pPr>
        <w:spacing w:after="0" w:line="199" w:lineRule="exact"/>
        <w:rPr>
          <w:rFonts w:ascii="Arial" w:cs="Arial" w:eastAsia="Arial" w:hAnsi="Arial"/>
          <w:sz w:val="16"/>
          <w:szCs w:val="16"/>
          <w:color w:val="auto"/>
        </w:rPr>
      </w:pPr>
    </w:p>
    <w:p>
      <w:pPr>
        <w:ind w:left="880" w:hanging="224"/>
        <w:spacing w:after="0"/>
        <w:tabs>
          <w:tab w:leader="none" w:pos="8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discussion of the decision, including an explanation of the basis for disagreeing with or not following:</w:t>
      </w:r>
    </w:p>
    <w:p>
      <w:pPr>
        <w:spacing w:after="0" w:line="221" w:lineRule="exact"/>
        <w:rPr>
          <w:rFonts w:ascii="Arial" w:cs="Arial" w:eastAsia="Arial" w:hAnsi="Arial"/>
          <w:sz w:val="16"/>
          <w:szCs w:val="16"/>
          <w:color w:val="auto"/>
        </w:rPr>
      </w:pPr>
    </w:p>
    <w:p>
      <w:pPr>
        <w:ind w:left="1540" w:hanging="236"/>
        <w:spacing w:after="0"/>
        <w:tabs>
          <w:tab w:leader="none" w:pos="1540" w:val="left"/>
        </w:tabs>
        <w:numPr>
          <w:ilvl w:val="1"/>
          <w:numId w:val="41"/>
        </w:numPr>
        <w:rPr>
          <w:rFonts w:ascii="Arial" w:cs="Arial" w:eastAsia="Arial" w:hAnsi="Arial"/>
          <w:sz w:val="15"/>
          <w:szCs w:val="15"/>
          <w:color w:val="auto"/>
        </w:rPr>
      </w:pPr>
      <w:r>
        <w:rPr>
          <w:rFonts w:ascii="Arial" w:cs="Arial" w:eastAsia="Arial" w:hAnsi="Arial"/>
          <w:sz w:val="15"/>
          <w:szCs w:val="15"/>
          <w:color w:val="auto"/>
        </w:rPr>
        <w:t>the views presented by the Claimant of health care professionals treating the Claimant and vocational professionals who evaluated the Claimant;</w:t>
      </w:r>
    </w:p>
    <w:p>
      <w:pPr>
        <w:spacing w:after="0" w:line="232" w:lineRule="exact"/>
        <w:rPr>
          <w:rFonts w:ascii="Arial" w:cs="Arial" w:eastAsia="Arial" w:hAnsi="Arial"/>
          <w:sz w:val="15"/>
          <w:szCs w:val="15"/>
          <w:color w:val="auto"/>
        </w:rPr>
      </w:pPr>
    </w:p>
    <w:p>
      <w:pPr>
        <w:ind w:firstLine="1304"/>
        <w:spacing w:after="0"/>
        <w:tabs>
          <w:tab w:leader="none" w:pos="1553" w:val="left"/>
        </w:tabs>
        <w:numPr>
          <w:ilvl w:val="1"/>
          <w:numId w:val="41"/>
        </w:numPr>
        <w:rPr>
          <w:rFonts w:ascii="Arial" w:cs="Arial" w:eastAsia="Arial" w:hAnsi="Arial"/>
          <w:sz w:val="16"/>
          <w:szCs w:val="16"/>
          <w:color w:val="auto"/>
        </w:rPr>
      </w:pPr>
      <w:r>
        <w:rPr>
          <w:rFonts w:ascii="Arial" w:cs="Arial" w:eastAsia="Arial" w:hAnsi="Arial"/>
          <w:sz w:val="16"/>
          <w:szCs w:val="16"/>
          <w:color w:val="auto"/>
        </w:rPr>
        <w:t>the views of medical or vocational experts whose advice was obtained on behalf of the Plan in connection with a Claimant’s adverse benefit determination, without regard to whether the advice was relied upon in making the benefit determination; and</w:t>
      </w:r>
    </w:p>
    <w:p>
      <w:pPr>
        <w:spacing w:after="0" w:line="199" w:lineRule="exact"/>
        <w:rPr>
          <w:rFonts w:ascii="Arial" w:cs="Arial" w:eastAsia="Arial" w:hAnsi="Arial"/>
          <w:sz w:val="16"/>
          <w:szCs w:val="16"/>
          <w:color w:val="auto"/>
        </w:rPr>
      </w:pPr>
    </w:p>
    <w:p>
      <w:pPr>
        <w:ind w:left="1540" w:hanging="236"/>
        <w:spacing w:after="0"/>
        <w:tabs>
          <w:tab w:leader="none" w:pos="1540" w:val="left"/>
        </w:tabs>
        <w:numPr>
          <w:ilvl w:val="1"/>
          <w:numId w:val="41"/>
        </w:numPr>
        <w:rPr>
          <w:rFonts w:ascii="Arial" w:cs="Arial" w:eastAsia="Arial" w:hAnsi="Arial"/>
          <w:sz w:val="16"/>
          <w:szCs w:val="16"/>
          <w:color w:val="auto"/>
        </w:rPr>
      </w:pPr>
      <w:r>
        <w:rPr>
          <w:rFonts w:ascii="Arial" w:cs="Arial" w:eastAsia="Arial" w:hAnsi="Arial"/>
          <w:sz w:val="16"/>
          <w:szCs w:val="16"/>
          <w:color w:val="auto"/>
        </w:rPr>
        <w:t>a disability determination regarding the Claimant presented by the Claimant made by the Social Security Administration.</w:t>
      </w:r>
    </w:p>
    <w:p>
      <w:pPr>
        <w:spacing w:after="0" w:line="221" w:lineRule="exact"/>
        <w:rPr>
          <w:rFonts w:ascii="Arial" w:cs="Arial" w:eastAsia="Arial" w:hAnsi="Arial"/>
          <w:sz w:val="16"/>
          <w:szCs w:val="16"/>
          <w:color w:val="auto"/>
        </w:rPr>
      </w:pPr>
    </w:p>
    <w:p>
      <w:pPr>
        <w:jc w:val="both"/>
        <w:ind w:firstLine="656"/>
        <w:spacing w:after="0" w:line="230" w:lineRule="auto"/>
        <w:tabs>
          <w:tab w:leader="none" w:pos="944"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04" w:right="339" w:bottom="1440" w:gutter="0" w:footer="0" w:header="0"/>
        </w:sectPr>
      </w:pPr>
    </w:p>
    <w:bookmarkStart w:id="62" w:name="page63"/>
    <w:bookmarkEnd w:id="62"/>
    <w:p>
      <w:pPr>
        <w:ind w:firstLine="656"/>
        <w:spacing w:after="0" w:line="220" w:lineRule="auto"/>
        <w:tabs>
          <w:tab w:leader="none" w:pos="986" w:val="left"/>
        </w:tabs>
        <w:numPr>
          <w:ilvl w:val="0"/>
          <w:numId w:val="42"/>
        </w:numPr>
        <w:rPr>
          <w:rFonts w:ascii="Arial" w:cs="Arial" w:eastAsia="Arial" w:hAnsi="Arial"/>
          <w:sz w:val="16"/>
          <w:szCs w:val="16"/>
          <w:color w:val="auto"/>
        </w:rPr>
      </w:pPr>
      <w:r>
        <w:rPr>
          <w:rFonts w:ascii="Arial" w:cs="Arial" w:eastAsia="Arial" w:hAnsi="Arial"/>
          <w:sz w:val="16"/>
          <w:szCs w:val="16"/>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 and</w:t>
      </w:r>
    </w:p>
    <w:p>
      <w:pPr>
        <w:jc w:val="both"/>
        <w:ind w:firstLine="656"/>
        <w:spacing w:after="0" w:line="224" w:lineRule="auto"/>
        <w:tabs>
          <w:tab w:leader="none" w:pos="102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to the Claimant’s claim for benefits. Whether a document, record or other information is relevant to a claim for benefits shall be determined in accordance with Department of Labor Regulation Section 2560.503-1(m)(8).</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5"/>
          <w:szCs w:val="15"/>
          <w:u w:val="single" w:color="auto"/>
          <w:color w:val="auto"/>
        </w:rPr>
        <w:t>Appeal of Adverse Benefit Determinations.</w:t>
      </w:r>
      <w:r>
        <w:rPr>
          <w:rFonts w:ascii="Arial" w:cs="Arial" w:eastAsia="Arial" w:hAnsi="Arial"/>
          <w:sz w:val="15"/>
          <w:szCs w:val="15"/>
          <w:color w:val="auto"/>
        </w:rPr>
        <w:t xml:space="preserve"> If the initial claim for Disability Benefits requires an independent determination by the Administrative Committee of a Participant’s disability status, and the Administrative Committee denies the claim, in whole or in part, the Claimant shall have a reasonable opportunity to appeal the adverse benefit determination to an appropriate named fiduciary of the Plan for a full and fair review of the claim and the adverse benefit determination, as follows:</w:t>
      </w:r>
    </w:p>
    <w:p>
      <w:pPr>
        <w:spacing w:after="0" w:line="194" w:lineRule="exact"/>
        <w:rPr>
          <w:sz w:val="20"/>
          <w:szCs w:val="20"/>
          <w:color w:val="auto"/>
        </w:rPr>
      </w:pPr>
    </w:p>
    <w:p>
      <w:pPr>
        <w:ind w:left="840" w:hanging="184"/>
        <w:spacing w:after="0"/>
        <w:tabs>
          <w:tab w:leader="none" w:pos="840" w:val="left"/>
        </w:tabs>
        <w:numPr>
          <w:ilvl w:val="1"/>
          <w:numId w:val="43"/>
        </w:numPr>
        <w:rPr>
          <w:rFonts w:ascii="Arial" w:cs="Arial" w:eastAsia="Arial" w:hAnsi="Arial"/>
          <w:sz w:val="15"/>
          <w:szCs w:val="15"/>
          <w:color w:val="auto"/>
        </w:rPr>
      </w:pPr>
      <w:r>
        <w:rPr>
          <w:rFonts w:ascii="Arial" w:cs="Arial" w:eastAsia="Arial" w:hAnsi="Arial"/>
          <w:sz w:val="15"/>
          <w:szCs w:val="15"/>
          <w:color w:val="auto"/>
        </w:rPr>
        <w:t>The C</w:t>
      </w:r>
      <w:r>
        <w:rPr>
          <w:rFonts w:ascii="Arial" w:cs="Arial" w:eastAsia="Arial" w:hAnsi="Arial"/>
          <w:sz w:val="15"/>
          <w:szCs w:val="15"/>
          <w:color w:val="333333"/>
        </w:rPr>
        <w:t>laimant shall have at least 180 days following receipt of a notification of an adverse benefit determination within which to appeal the determination;</w:t>
      </w:r>
    </w:p>
    <w:p>
      <w:pPr>
        <w:spacing w:after="0" w:line="232" w:lineRule="exact"/>
        <w:rPr>
          <w:rFonts w:ascii="Arial" w:cs="Arial" w:eastAsia="Arial" w:hAnsi="Arial"/>
          <w:sz w:val="15"/>
          <w:szCs w:val="15"/>
          <w:color w:val="auto"/>
        </w:rPr>
      </w:pPr>
    </w:p>
    <w:p>
      <w:pPr>
        <w:ind w:left="900" w:hanging="244"/>
        <w:spacing w:after="0"/>
        <w:tabs>
          <w:tab w:leader="none" w:pos="90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Claimant shall have the opportunity to submit written comments, documents, records and other information relating to the claim for benefits;</w:t>
      </w:r>
    </w:p>
    <w:p>
      <w:pPr>
        <w:spacing w:after="0" w:line="221" w:lineRule="exact"/>
        <w:rPr>
          <w:rFonts w:ascii="Arial" w:cs="Arial" w:eastAsia="Arial" w:hAnsi="Arial"/>
          <w:sz w:val="16"/>
          <w:szCs w:val="16"/>
          <w:color w:val="auto"/>
        </w:rPr>
      </w:pPr>
    </w:p>
    <w:p>
      <w:pPr>
        <w:jc w:val="both"/>
        <w:ind w:firstLine="656"/>
        <w:spacing w:after="0" w:line="225" w:lineRule="auto"/>
        <w:tabs>
          <w:tab w:leader="none" w:pos="931" w:val="left"/>
        </w:tabs>
        <w:numPr>
          <w:ilvl w:val="1"/>
          <w:numId w:val="43"/>
        </w:numPr>
        <w:rPr>
          <w:rFonts w:ascii="Arial" w:cs="Arial" w:eastAsia="Arial" w:hAnsi="Arial"/>
          <w:sz w:val="16"/>
          <w:szCs w:val="16"/>
          <w:color w:val="auto"/>
        </w:rPr>
      </w:pPr>
      <w:r>
        <w:rPr>
          <w:rFonts w:ascii="Arial" w:cs="Arial" w:eastAsia="Arial" w:hAnsi="Arial"/>
          <w:sz w:val="16"/>
          <w:szCs w:val="16"/>
          <w:color w:val="auto"/>
        </w:rPr>
        <w:t>Prior to such review of the denied claim, the Claimant shall be given, free of charge, any new or additional evidence considered, relied upon, or generated by the Plan, insurer or other person making the benefit determination in connection with the claim, or any new or additional rationale, as soon as possible and sufficiently in advance of the date on which the notice of adverse benefit determination on review is required to be provided, to give the Claimant a reasonable opportunity to respond prior to that date.</w:t>
      </w:r>
    </w:p>
    <w:p>
      <w:pPr>
        <w:spacing w:after="0" w:line="201" w:lineRule="exact"/>
        <w:rPr>
          <w:rFonts w:ascii="Arial" w:cs="Arial" w:eastAsia="Arial" w:hAnsi="Arial"/>
          <w:sz w:val="16"/>
          <w:szCs w:val="16"/>
          <w:color w:val="auto"/>
        </w:rPr>
      </w:pPr>
    </w:p>
    <w:p>
      <w:pPr>
        <w:jc w:val="both"/>
        <w:ind w:firstLine="656"/>
        <w:spacing w:after="0" w:line="217" w:lineRule="auto"/>
        <w:tabs>
          <w:tab w:leader="none" w:pos="965" w:val="left"/>
        </w:tabs>
        <w:numPr>
          <w:ilvl w:val="1"/>
          <w:numId w:val="43"/>
        </w:numPr>
        <w:rPr>
          <w:rFonts w:ascii="Arial" w:cs="Arial" w:eastAsia="Arial" w:hAnsi="Arial"/>
          <w:sz w:val="16"/>
          <w:szCs w:val="16"/>
          <w:color w:val="auto"/>
        </w:rPr>
      </w:pPr>
      <w:r>
        <w:rPr>
          <w:rFonts w:ascii="Arial" w:cs="Arial" w:eastAsia="Arial" w:hAnsi="Arial"/>
          <w:sz w:val="16"/>
          <w:szCs w:val="16"/>
          <w:color w:val="auto"/>
        </w:rPr>
        <w:t>The Administrative Committee shall respond in writing to such Claimant within forty-five (45) days after receiving the request for review. If the Administrative Committee determines that special circumstances require additional time for processing the claim, the Administrative Committee can extend the response period by an additional forty-five (45) days by notifying the Claimant in writing, prior to the end of the initial 45-day period, that an additional period is required. The notice of extension must set forth the special circumstances requiring an extension of time and the date by which the Administrative Committee expects to render its decision. For purposes of this paragraph, the period of time within which a benefit determination on review is required to be made shall begin at the time an appeal is filed in accordance with the reasonable procedures of the Plan, without regard to whether all the information necessary to make a benefit determination on review accompanies the filing. In the event that a period of time is extended as permitted pursuant to this paragraph due to the Claimant's failure to submit information necessary to decide a claim, the period for making the benefit determination on review shall be tolled from the date on which the notification of the extension is sent to the Claimant until the date on which the Claimant responds to the request for additional information.</w:t>
      </w:r>
    </w:p>
    <w:p>
      <w:pPr>
        <w:spacing w:after="0" w:line="203" w:lineRule="exact"/>
        <w:rPr>
          <w:rFonts w:ascii="Arial" w:cs="Arial" w:eastAsia="Arial" w:hAnsi="Arial"/>
          <w:sz w:val="16"/>
          <w:szCs w:val="16"/>
          <w:color w:val="auto"/>
        </w:rPr>
      </w:pPr>
    </w:p>
    <w:p>
      <w:pPr>
        <w:jc w:val="both"/>
        <w:ind w:firstLine="8"/>
        <w:spacing w:after="0" w:line="225" w:lineRule="auto"/>
        <w:tabs>
          <w:tab w:leader="none" w:pos="236"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Claimant shall be given the opportunity to submit issues and written comments to the Administrative Committee, as well as to review and receive, without charge, all relevant (as defined in applicable ERISA regulations) documents, records and other information relating to the claim. The reviewer shall take into account all comments, documents, records and other information submitted by the Claimant relating to the claim regardless of whether the information was submitted or considered in the initial benefit determination.</w:t>
      </w:r>
    </w:p>
    <w:p>
      <w:pPr>
        <w:spacing w:after="0" w:line="201" w:lineRule="exact"/>
        <w:rPr>
          <w:rFonts w:ascii="Arial" w:cs="Arial" w:eastAsia="Arial" w:hAnsi="Arial"/>
          <w:sz w:val="16"/>
          <w:szCs w:val="16"/>
          <w:color w:val="auto"/>
        </w:rPr>
      </w:pPr>
    </w:p>
    <w:p>
      <w:pPr>
        <w:jc w:val="both"/>
        <w:ind w:firstLine="8"/>
        <w:spacing w:after="0" w:line="217" w:lineRule="auto"/>
        <w:tabs>
          <w:tab w:leader="none" w:pos="289" w:val="left"/>
        </w:tabs>
        <w:numPr>
          <w:ilvl w:val="0"/>
          <w:numId w:val="44"/>
        </w:numPr>
        <w:rPr>
          <w:rFonts w:ascii="Arial" w:cs="Arial" w:eastAsia="Arial" w:hAnsi="Arial"/>
          <w:sz w:val="16"/>
          <w:szCs w:val="16"/>
          <w:color w:val="auto"/>
        </w:rPr>
      </w:pPr>
      <w:r>
        <w:rPr>
          <w:rFonts w:ascii="Arial" w:cs="Arial" w:eastAsia="Arial" w:hAnsi="Arial"/>
          <w:sz w:val="16"/>
          <w:szCs w:val="16"/>
          <w:color w:val="auto"/>
        </w:rPr>
        <w:t>In considering the review, the Administrative Committee shall take into account all comments, documents, records and other information submitted by the Claimant relating to the claim, without regard to whether such information was submitted or considered in the initial benefit determination. Additional considerations shall be required in the case of a claim for disability benefits. For example, the claim will be reviewed by an individual or committee who did not make the initial determination that is subject of the appeal, nor by a subordinate of the individual who made the determination, and the review shall be made without deference to the initial adverse benefit determination. If the initial adverse benefit determination was based in whole or in part on a medical judgment, the appropriate named fiduciary of the Plan shall consult with a health care professional who has appropriate training and experience in the field of medicine involving the medical judgment. The health care professional who is consulted on appeal will not be the same individual who was consulted during the initial determination or a subordinate of such individual. If the Administrative Committee obtained the advice of medical or vocational experts in making the initial adverse benefits determination (regardless of whether the advice was relied upon), the Administrative Committee will identify such experts.</w:t>
      </w:r>
    </w:p>
    <w:p>
      <w:pPr>
        <w:spacing w:after="0" w:line="204"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6"/>
          <w:szCs w:val="16"/>
          <w:u w:val="single" w:color="auto"/>
          <w:color w:val="auto"/>
        </w:rPr>
        <w:t>Notice of Decision after Review.</w:t>
      </w:r>
      <w:r>
        <w:rPr>
          <w:rFonts w:ascii="Arial" w:cs="Arial" w:eastAsia="Arial" w:hAnsi="Arial"/>
          <w:sz w:val="16"/>
          <w:szCs w:val="16"/>
          <w:color w:val="auto"/>
        </w:rPr>
        <w:t xml:space="preserve"> In the case of an adverse benefit determination with respect to Disability Benefits, the Administrative Committee will provide a notification in a culturally and linguistically appropriate manner (as described in Department of Labor Regulation Section 2560.503-1(o)) that shall set forth the following in a manner calculated to be understood by the Claimant:</w:t>
      </w:r>
    </w:p>
    <w:p>
      <w:pPr>
        <w:spacing w:after="0" w:line="200" w:lineRule="exact"/>
        <w:rPr>
          <w:sz w:val="20"/>
          <w:szCs w:val="20"/>
          <w:color w:val="auto"/>
        </w:rPr>
      </w:pPr>
    </w:p>
    <w:p>
      <w:pPr>
        <w:ind w:left="840" w:hanging="184"/>
        <w:spacing w:after="0"/>
        <w:tabs>
          <w:tab w:leader="none" w:pos="8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Administrative Committee’s decision;</w:t>
      </w:r>
    </w:p>
    <w:p>
      <w:pPr>
        <w:spacing w:after="0" w:line="221" w:lineRule="exact"/>
        <w:rPr>
          <w:rFonts w:ascii="Arial" w:cs="Arial" w:eastAsia="Arial" w:hAnsi="Arial"/>
          <w:sz w:val="16"/>
          <w:szCs w:val="16"/>
          <w:color w:val="auto"/>
        </w:rPr>
      </w:pPr>
    </w:p>
    <w:p>
      <w:pPr>
        <w:ind w:left="900" w:hanging="244"/>
        <w:spacing w:after="0"/>
        <w:tabs>
          <w:tab w:leader="none" w:pos="9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specific reasons for the adverse determination;</w:t>
      </w:r>
    </w:p>
    <w:p>
      <w:pPr>
        <w:spacing w:after="0" w:line="221" w:lineRule="exact"/>
        <w:rPr>
          <w:rFonts w:ascii="Arial" w:cs="Arial" w:eastAsia="Arial" w:hAnsi="Arial"/>
          <w:sz w:val="16"/>
          <w:szCs w:val="16"/>
          <w:color w:val="auto"/>
        </w:rPr>
      </w:pPr>
    </w:p>
    <w:p>
      <w:pPr>
        <w:ind w:left="940" w:hanging="284"/>
        <w:spacing w:after="0"/>
        <w:tabs>
          <w:tab w:leader="none" w:pos="9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reference to the specific provisions of the Plan or insurance contract on which the decision is based;</w:t>
      </w:r>
    </w:p>
    <w:p>
      <w:pPr>
        <w:spacing w:after="0" w:line="221" w:lineRule="exact"/>
        <w:rPr>
          <w:rFonts w:ascii="Arial" w:cs="Arial" w:eastAsia="Arial" w:hAnsi="Arial"/>
          <w:sz w:val="16"/>
          <w:szCs w:val="16"/>
          <w:color w:val="auto"/>
        </w:rPr>
      </w:pPr>
    </w:p>
    <w:p>
      <w:pPr>
        <w:ind w:right="20" w:firstLine="656"/>
        <w:spacing w:after="0"/>
        <w:tabs>
          <w:tab w:leader="none" w:pos="93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 statement that the Claimant is entitled to receive, upon request and free of charge, reasonable access to, and copies of, all documents, records and other information relevant (as defined in applicable ERISA regulations) to the Claimant's claim for benefits;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2" w:right="339" w:bottom="1440" w:gutter="0" w:footer="0" w:header="0"/>
        </w:sectPr>
      </w:pPr>
    </w:p>
    <w:bookmarkStart w:id="63" w:name="page64"/>
    <w:bookmarkEnd w:id="63"/>
    <w:p>
      <w:pPr>
        <w:ind w:left="880" w:hanging="224"/>
        <w:spacing w:after="0"/>
        <w:tabs>
          <w:tab w:leader="none" w:pos="8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statement describing any voluntary appeal procedures offered by the Plan and the Claimant’s right to obtain information about such procedures;</w:t>
      </w:r>
    </w:p>
    <w:p>
      <w:pPr>
        <w:ind w:firstLine="656"/>
        <w:spacing w:after="0" w:line="211" w:lineRule="auto"/>
        <w:tabs>
          <w:tab w:leader="none" w:pos="93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statement of the Claimant's right to bring a civil action under ERISA Section 502(a) which shall describe any applicable contractual limitations period that applies to the Claimant’s right to bring such an action, including the calendar date on which the contractual limitations period expires for the claim;</w:t>
      </w:r>
    </w:p>
    <w:p>
      <w:pPr>
        <w:ind w:left="980" w:hanging="324"/>
        <w:spacing w:after="0"/>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 discussion of the decision, including an explanation of the basis for disagreeing with or not following:</w:t>
      </w:r>
    </w:p>
    <w:p>
      <w:pPr>
        <w:spacing w:after="0" w:line="207" w:lineRule="exact"/>
        <w:rPr>
          <w:rFonts w:ascii="Arial" w:cs="Arial" w:eastAsia="Arial" w:hAnsi="Arial"/>
          <w:sz w:val="16"/>
          <w:szCs w:val="16"/>
          <w:color w:val="auto"/>
        </w:rPr>
      </w:pPr>
    </w:p>
    <w:p>
      <w:pPr>
        <w:ind w:left="1540" w:hanging="236"/>
        <w:spacing w:after="0"/>
        <w:tabs>
          <w:tab w:leader="none" w:pos="1540" w:val="left"/>
        </w:tabs>
        <w:numPr>
          <w:ilvl w:val="1"/>
          <w:numId w:val="46"/>
        </w:numPr>
        <w:rPr>
          <w:rFonts w:ascii="Arial" w:cs="Arial" w:eastAsia="Arial" w:hAnsi="Arial"/>
          <w:sz w:val="15"/>
          <w:szCs w:val="15"/>
          <w:color w:val="auto"/>
        </w:rPr>
      </w:pPr>
      <w:r>
        <w:rPr>
          <w:rFonts w:ascii="Arial" w:cs="Arial" w:eastAsia="Arial" w:hAnsi="Arial"/>
          <w:sz w:val="15"/>
          <w:szCs w:val="15"/>
          <w:color w:val="auto"/>
        </w:rPr>
        <w:t>the views presented by the Claimant of health care professionals treating the Claimant and vocational professionals who evaluated the Claimant;</w:t>
      </w:r>
    </w:p>
    <w:p>
      <w:pPr>
        <w:spacing w:after="0" w:line="232" w:lineRule="exact"/>
        <w:rPr>
          <w:rFonts w:ascii="Arial" w:cs="Arial" w:eastAsia="Arial" w:hAnsi="Arial"/>
          <w:sz w:val="15"/>
          <w:szCs w:val="15"/>
          <w:color w:val="auto"/>
        </w:rPr>
      </w:pPr>
    </w:p>
    <w:p>
      <w:pPr>
        <w:ind w:right="20" w:firstLine="1304"/>
        <w:spacing w:after="0"/>
        <w:tabs>
          <w:tab w:leader="none" w:pos="1547" w:val="left"/>
        </w:tabs>
        <w:numPr>
          <w:ilvl w:val="1"/>
          <w:numId w:val="46"/>
        </w:numPr>
        <w:rPr>
          <w:rFonts w:ascii="Arial" w:cs="Arial" w:eastAsia="Arial" w:hAnsi="Arial"/>
          <w:sz w:val="16"/>
          <w:szCs w:val="16"/>
          <w:color w:val="auto"/>
        </w:rPr>
      </w:pPr>
      <w:r>
        <w:rPr>
          <w:rFonts w:ascii="Arial" w:cs="Arial" w:eastAsia="Arial" w:hAnsi="Arial"/>
          <w:sz w:val="16"/>
          <w:szCs w:val="16"/>
          <w:color w:val="auto"/>
        </w:rPr>
        <w:t>the views of medical or vocational experts whose advice was obtained on behalf of the Plan in connection with the Claimant’s adverse benefit determination, without regard to whether the advice was relied upon in making the benefit determination; and</w:t>
      </w:r>
    </w:p>
    <w:p>
      <w:pPr>
        <w:spacing w:after="0" w:line="199" w:lineRule="exact"/>
        <w:rPr>
          <w:rFonts w:ascii="Arial" w:cs="Arial" w:eastAsia="Arial" w:hAnsi="Arial"/>
          <w:sz w:val="16"/>
          <w:szCs w:val="16"/>
          <w:color w:val="auto"/>
        </w:rPr>
      </w:pPr>
    </w:p>
    <w:p>
      <w:pPr>
        <w:ind w:left="1540" w:hanging="236"/>
        <w:spacing w:after="0"/>
        <w:tabs>
          <w:tab w:leader="none" w:pos="154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 disability determination regarding the Claimant presented by the Claimant made by the Social Security Administration.</w:t>
      </w:r>
    </w:p>
    <w:p>
      <w:pPr>
        <w:spacing w:after="0" w:line="221" w:lineRule="exact"/>
        <w:rPr>
          <w:rFonts w:ascii="Arial" w:cs="Arial" w:eastAsia="Arial" w:hAnsi="Arial"/>
          <w:sz w:val="16"/>
          <w:szCs w:val="16"/>
          <w:color w:val="auto"/>
        </w:rPr>
      </w:pPr>
    </w:p>
    <w:p>
      <w:pPr>
        <w:jc w:val="both"/>
        <w:ind w:firstLine="656"/>
        <w:spacing w:after="0" w:line="230" w:lineRule="auto"/>
        <w:tabs>
          <w:tab w:leader="none" w:pos="103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adverse benefit determination is based on a medical necessity or experimental treatment or similar exclusion or limit, either an explanation of the scientific or clinical judgment for the determination, applying the terms of the Plan to the Claimant’s medical circumstances, or a statement that such explanation will be provided free of charge upon request; and</w:t>
      </w:r>
    </w:p>
    <w:p>
      <w:pPr>
        <w:spacing w:after="0" w:line="200" w:lineRule="exact"/>
        <w:rPr>
          <w:rFonts w:ascii="Arial" w:cs="Arial" w:eastAsia="Arial" w:hAnsi="Arial"/>
          <w:sz w:val="16"/>
          <w:szCs w:val="16"/>
          <w:color w:val="auto"/>
        </w:rPr>
      </w:pPr>
    </w:p>
    <w:p>
      <w:pPr>
        <w:ind w:firstLine="656"/>
        <w:spacing w:after="0"/>
        <w:tabs>
          <w:tab w:leader="none" w:pos="943" w:val="left"/>
        </w:tabs>
        <w:numPr>
          <w:ilvl w:val="0"/>
          <w:numId w:val="46"/>
        </w:numPr>
        <w:rPr>
          <w:rFonts w:ascii="Arial" w:cs="Arial" w:eastAsia="Arial" w:hAnsi="Arial"/>
          <w:sz w:val="16"/>
          <w:szCs w:val="16"/>
          <w:color w:val="auto"/>
        </w:rPr>
      </w:pPr>
      <w:r>
        <w:rPr>
          <w:rFonts w:ascii="Arial" w:cs="Arial" w:eastAsia="Arial" w:hAnsi="Arial"/>
          <w:sz w:val="16"/>
          <w:szCs w:val="16"/>
          <w:color w:val="auto"/>
        </w:rPr>
        <w:t>either the specific internal rules, guidelines, protocols, standards or other similar criteria of the Plan relied upon in making the adverse determination or, alternatively, a statement that such rules, guidelines, protocols, standards or other similar criteria of the Plan do not exist.</w:t>
      </w:r>
    </w:p>
    <w:p>
      <w:pPr>
        <w:spacing w:after="0" w:line="199" w:lineRule="exact"/>
        <w:rPr>
          <w:sz w:val="20"/>
          <w:szCs w:val="20"/>
          <w:color w:val="auto"/>
        </w:rPr>
      </w:pPr>
    </w:p>
    <w:p>
      <w:pPr>
        <w:jc w:val="both"/>
        <w:ind w:right="20" w:firstLine="648"/>
        <w:spacing w:after="0"/>
        <w:rPr>
          <w:sz w:val="20"/>
          <w:szCs w:val="20"/>
          <w:color w:val="auto"/>
        </w:rPr>
      </w:pPr>
      <w:r>
        <w:rPr>
          <w:rFonts w:ascii="Arial" w:cs="Arial" w:eastAsia="Arial" w:hAnsi="Arial"/>
          <w:sz w:val="16"/>
          <w:szCs w:val="16"/>
          <w:u w:val="single" w:color="auto"/>
          <w:color w:val="auto"/>
        </w:rPr>
        <w:t>Exhaustion of Remedies.</w:t>
      </w:r>
      <w:r>
        <w:rPr>
          <w:rFonts w:ascii="Arial" w:cs="Arial" w:eastAsia="Arial" w:hAnsi="Arial"/>
          <w:sz w:val="16"/>
          <w:szCs w:val="16"/>
          <w:color w:val="auto"/>
        </w:rPr>
        <w:t xml:space="preserve"> A Claimant must follow the claims review procedures under this Plan and exhaust his or her administrative remedies before taking any further action with respect to a claim for benefits.</w:t>
      </w:r>
    </w:p>
    <w:p>
      <w:pPr>
        <w:spacing w:after="0" w:line="199" w:lineRule="exact"/>
        <w:rPr>
          <w:sz w:val="20"/>
          <w:szCs w:val="20"/>
          <w:color w:val="auto"/>
        </w:rPr>
      </w:pPr>
    </w:p>
    <w:p>
      <w:pPr>
        <w:jc w:val="both"/>
        <w:ind w:firstLine="648"/>
        <w:spacing w:after="0" w:line="227" w:lineRule="auto"/>
        <w:rPr>
          <w:sz w:val="20"/>
          <w:szCs w:val="20"/>
          <w:color w:val="auto"/>
        </w:rPr>
      </w:pPr>
      <w:r>
        <w:rPr>
          <w:rFonts w:ascii="Arial" w:cs="Arial" w:eastAsia="Arial" w:hAnsi="Arial"/>
          <w:sz w:val="15"/>
          <w:szCs w:val="15"/>
          <w:u w:val="single" w:color="auto"/>
          <w:color w:val="auto"/>
        </w:rPr>
        <w:t>Failure of the Plan to Follow Procedures.</w:t>
      </w:r>
      <w:r>
        <w:rPr>
          <w:rFonts w:ascii="Arial" w:cs="Arial" w:eastAsia="Arial" w:hAnsi="Arial"/>
          <w:sz w:val="15"/>
          <w:szCs w:val="15"/>
          <w:color w:val="auto"/>
        </w:rPr>
        <w:t xml:space="preserve"> In the case of a claim for disability benefits, if the Plan fails to strictly adhere to all the requirements of this claims procedure with respect to a disability claim, the Claimant is deemed to have exhausted the administrative remedies available under the Plan, and shall be entitled to pursue any available remedies under ERISA Section 502(a) on the basis that the Plan has failed to provide a reasonable claims procedure that would yield a decision on the merits of the claim, except where the violation was: (a) de minimis; (b) non-prejudicial; (c) attributable to good cause or matters beyond the Plan’s control; (d) in the context of an ongoing good-faith exchange of information between the Plan and the Claimant; and (e) not reflective of a pattern or practice of noncompliance. The Claimant may request a written explanation of the violation from the Plan, and the Plan must provide such explanation within ten (10) days, including a specific description of its bases, if any, for asserting that the violation should not cause the administrative remedies to be deemed exhausted. If a court rejects the Claimant’s request for immediate review on the basis that the Plan met the standards for the exception, the claim shall be considered as re-filed on appeal upon the Plan’s receipt of the decision of the court. Within a reasonable time after the receipt of the decision, the Plan shall provide the Claimant with notice of the resubmission.</w:t>
      </w:r>
    </w:p>
    <w:p>
      <w:pPr>
        <w:ind w:left="660"/>
        <w:spacing w:after="0"/>
        <w:rPr>
          <w:sz w:val="20"/>
          <w:szCs w:val="20"/>
          <w:color w:val="auto"/>
        </w:rPr>
      </w:pPr>
      <w:r>
        <w:rPr>
          <w:rFonts w:ascii="Arial" w:cs="Arial" w:eastAsia="Arial" w:hAnsi="Arial"/>
          <w:sz w:val="16"/>
          <w:szCs w:val="16"/>
          <w:color w:val="auto"/>
        </w:rPr>
        <w:t>IN WITNESS WHEREOF, the Bank has caused this Amendment to be executed by a duly authorized officer as of this 30</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day of April 2018.</w:t>
      </w:r>
    </w:p>
    <w:p>
      <w:pPr>
        <w:spacing w:after="0" w:line="149" w:lineRule="exact"/>
        <w:rPr>
          <w:sz w:val="20"/>
          <w:szCs w:val="20"/>
          <w:color w:val="auto"/>
        </w:rPr>
      </w:pPr>
    </w:p>
    <w:p>
      <w:pPr>
        <w:ind w:left="390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7"/>
          <w:szCs w:val="17"/>
          <w:color w:val="auto"/>
        </w:rPr>
        <w:t>/s/</w:t>
      </w:r>
      <w:r>
        <w:rPr>
          <w:rFonts w:ascii="Arial" w:cs="Arial" w:eastAsia="Arial" w:hAnsi="Arial"/>
          <w:sz w:val="16"/>
          <w:szCs w:val="16"/>
          <w:color w:val="auto"/>
        </w:rPr>
        <w:t xml:space="preserve"> Dana L. Stonestreet</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Dana L. Stonestreet</w:t>
      </w:r>
    </w:p>
    <w:p>
      <w:pPr>
        <w:ind w:left="340"/>
        <w:spacing w:after="0"/>
        <w:rPr>
          <w:sz w:val="20"/>
          <w:szCs w:val="20"/>
          <w:color w:val="auto"/>
        </w:rPr>
      </w:pPr>
      <w:r>
        <w:rPr>
          <w:rFonts w:ascii="Arial" w:cs="Arial" w:eastAsia="Arial" w:hAnsi="Arial"/>
          <w:sz w:val="16"/>
          <w:szCs w:val="16"/>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04"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6"/>
          <w:szCs w:val="16"/>
          <w:b w:val="1"/>
          <w:bCs w:val="1"/>
          <w:color w:val="auto"/>
        </w:rPr>
        <w:t>Exhibit 31.1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 13a-14(a)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 Dana L. Stonestreet, certify that:</w:t>
      </w:r>
    </w:p>
    <w:p>
      <w:pPr>
        <w:spacing w:after="0" w:line="167" w:lineRule="exact"/>
        <w:rPr>
          <w:sz w:val="20"/>
          <w:szCs w:val="20"/>
          <w:color w:val="auto"/>
        </w:rPr>
      </w:pPr>
    </w:p>
    <w:p>
      <w:pPr>
        <w:ind w:left="660" w:hanging="652"/>
        <w:spacing w:after="0"/>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HomeTrust Bancshares, Inc. (the "Company");</w:t>
      </w:r>
    </w:p>
    <w:p>
      <w:pPr>
        <w:spacing w:after="0" w:line="167" w:lineRule="exact"/>
        <w:rPr>
          <w:rFonts w:ascii="Arial" w:cs="Arial" w:eastAsia="Arial" w:hAnsi="Arial"/>
          <w:sz w:val="16"/>
          <w:szCs w:val="16"/>
          <w:color w:val="auto"/>
        </w:rPr>
      </w:pPr>
    </w:p>
    <w:p>
      <w:pPr>
        <w:ind w:left="660" w:hanging="652"/>
        <w:spacing w:after="0" w:line="310" w:lineRule="auto"/>
        <w:tabs>
          <w:tab w:leader="none" w:pos="6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660" w:hanging="652"/>
        <w:spacing w:after="0" w:line="275"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8"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118" w:lineRule="exact"/>
        <w:rPr>
          <w:rFonts w:ascii="Arial" w:cs="Arial" w:eastAsia="Arial" w:hAnsi="Arial"/>
          <w:sz w:val="16"/>
          <w:szCs w:val="16"/>
          <w:color w:val="auto"/>
        </w:rPr>
      </w:pPr>
    </w:p>
    <w:p>
      <w:pPr>
        <w:jc w:val="both"/>
        <w:ind w:left="1140" w:hanging="322"/>
        <w:spacing w:after="0" w:line="261" w:lineRule="auto"/>
        <w:tabs>
          <w:tab w:leader="none" w:pos="1131"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28" w:lineRule="exact"/>
        <w:rPr>
          <w:rFonts w:ascii="Arial" w:cs="Arial" w:eastAsia="Arial" w:hAnsi="Arial"/>
          <w:sz w:val="16"/>
          <w:szCs w:val="16"/>
          <w:color w:val="auto"/>
        </w:rPr>
      </w:pPr>
    </w:p>
    <w:p>
      <w:pPr>
        <w:jc w:val="both"/>
        <w:ind w:left="1140" w:hanging="322"/>
        <w:spacing w:after="0" w:line="261" w:lineRule="auto"/>
        <w:tabs>
          <w:tab w:leader="none" w:pos="11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6"/>
          <w:szCs w:val="16"/>
          <w:color w:val="auto"/>
        </w:rPr>
      </w:pPr>
    </w:p>
    <w:p>
      <w:pPr>
        <w:ind w:left="1140" w:hanging="322"/>
        <w:spacing w:after="0" w:line="275" w:lineRule="auto"/>
        <w:tabs>
          <w:tab w:leader="none" w:pos="1131"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118" w:lineRule="exact"/>
        <w:rPr>
          <w:rFonts w:ascii="Arial" w:cs="Arial" w:eastAsia="Arial" w:hAnsi="Arial"/>
          <w:sz w:val="16"/>
          <w:szCs w:val="16"/>
          <w:color w:val="auto"/>
        </w:rPr>
      </w:pPr>
    </w:p>
    <w:p>
      <w:pPr>
        <w:ind w:left="1140" w:hanging="322"/>
        <w:spacing w:after="0" w:line="275" w:lineRule="auto"/>
        <w:tabs>
          <w:tab w:leader="none" w:pos="11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18"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8" w:lineRule="exact"/>
        <w:rPr>
          <w:rFonts w:ascii="Arial" w:cs="Arial" w:eastAsia="Arial" w:hAnsi="Arial"/>
          <w:sz w:val="16"/>
          <w:szCs w:val="16"/>
          <w:color w:val="auto"/>
        </w:rPr>
      </w:pPr>
    </w:p>
    <w:p>
      <w:pPr>
        <w:ind w:left="1140" w:right="20" w:hanging="322"/>
        <w:spacing w:after="0" w:line="275" w:lineRule="auto"/>
        <w:tabs>
          <w:tab w:leader="none" w:pos="1131"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8" w:lineRule="exact"/>
        <w:rPr>
          <w:rFonts w:ascii="Arial" w:cs="Arial" w:eastAsia="Arial" w:hAnsi="Arial"/>
          <w:sz w:val="16"/>
          <w:szCs w:val="16"/>
          <w:color w:val="auto"/>
        </w:rPr>
      </w:pPr>
    </w:p>
    <w:p>
      <w:pPr>
        <w:ind w:left="1140" w:hanging="322"/>
        <w:spacing w:after="0" w:line="275" w:lineRule="auto"/>
        <w:tabs>
          <w:tab w:leader="none" w:pos="114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ind w:left="20"/>
        <w:spacing w:after="0"/>
        <w:tabs>
          <w:tab w:leader="none" w:pos="4980" w:val="left"/>
          <w:tab w:leader="none" w:pos="5960" w:val="left"/>
        </w:tabs>
        <w:rPr>
          <w:sz w:val="20"/>
          <w:szCs w:val="20"/>
          <w:color w:val="auto"/>
        </w:rPr>
      </w:pPr>
      <w:r>
        <w:rPr>
          <w:rFonts w:ascii="Arial" w:cs="Arial" w:eastAsia="Arial" w:hAnsi="Arial"/>
          <w:sz w:val="16"/>
          <w:szCs w:val="16"/>
          <w:color w:val="auto"/>
        </w:rPr>
        <w:t>May 9,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Dana L. Stonestreet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350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2">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Dana L. Stonestreet</w:t>
      </w:r>
    </w:p>
    <w:p>
      <w:pPr>
        <w:spacing w:after="0" w:line="7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Chairman and CEO</w:t>
      </w:r>
    </w:p>
    <w:p>
      <w:pPr>
        <w:sectPr>
          <w:pgSz w:w="11900" w:h="16838" w:orient="portrait"/>
          <w:cols w:equalWidth="0" w:num="1">
            <w:col w:w="11240"/>
          </w:cols>
          <w:pgMar w:left="320" w:top="895"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6"/>
          <w:szCs w:val="16"/>
          <w:b w:val="1"/>
          <w:bCs w:val="1"/>
          <w:color w:val="auto"/>
        </w:rPr>
        <w:t>Exhibit 31.2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RULE 13a-14(a)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 Tony J. VunCannon, certify that:</w:t>
      </w:r>
    </w:p>
    <w:p>
      <w:pPr>
        <w:spacing w:after="0" w:line="167" w:lineRule="exact"/>
        <w:rPr>
          <w:sz w:val="20"/>
          <w:szCs w:val="20"/>
          <w:color w:val="auto"/>
        </w:rPr>
      </w:pPr>
    </w:p>
    <w:p>
      <w:pPr>
        <w:ind w:left="660" w:hanging="652"/>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HomeTrust Bancshares, Inc. (the "Company");</w:t>
      </w:r>
    </w:p>
    <w:p>
      <w:pPr>
        <w:spacing w:after="0" w:line="167" w:lineRule="exact"/>
        <w:rPr>
          <w:rFonts w:ascii="Arial" w:cs="Arial" w:eastAsia="Arial" w:hAnsi="Arial"/>
          <w:sz w:val="16"/>
          <w:szCs w:val="16"/>
          <w:color w:val="auto"/>
        </w:rPr>
      </w:pPr>
    </w:p>
    <w:p>
      <w:pPr>
        <w:ind w:left="660" w:hanging="652"/>
        <w:spacing w:after="0" w:line="310" w:lineRule="auto"/>
        <w:tabs>
          <w:tab w:leader="none" w:pos="6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5"/>
          <w:szCs w:val="15"/>
          <w:color w:val="auto"/>
        </w:rPr>
      </w:pPr>
    </w:p>
    <w:p>
      <w:pPr>
        <w:ind w:left="660" w:hanging="652"/>
        <w:spacing w:after="0" w:line="27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8"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Company's other certifying officer and I are responsible for establishing and maintaining disclosure controls and procedures (as defined in Exchange Act Rules 13a-15(e) and 15d-15(e)) for the Company and have:</w:t>
      </w:r>
    </w:p>
    <w:p>
      <w:pPr>
        <w:spacing w:after="0" w:line="118" w:lineRule="exact"/>
        <w:rPr>
          <w:rFonts w:ascii="Arial" w:cs="Arial" w:eastAsia="Arial" w:hAnsi="Arial"/>
          <w:sz w:val="16"/>
          <w:szCs w:val="16"/>
          <w:color w:val="auto"/>
        </w:rPr>
      </w:pPr>
    </w:p>
    <w:p>
      <w:pPr>
        <w:jc w:val="both"/>
        <w:ind w:left="1140" w:hanging="322"/>
        <w:spacing w:after="0" w:line="261" w:lineRule="auto"/>
        <w:tabs>
          <w:tab w:leader="none" w:pos="1131"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subsidiary, is made known to us by others within those entities, particularly during the period in which this report is being prepared;</w:t>
      </w:r>
    </w:p>
    <w:p>
      <w:pPr>
        <w:spacing w:after="0" w:line="128" w:lineRule="exact"/>
        <w:rPr>
          <w:rFonts w:ascii="Arial" w:cs="Arial" w:eastAsia="Arial" w:hAnsi="Arial"/>
          <w:sz w:val="16"/>
          <w:szCs w:val="16"/>
          <w:color w:val="auto"/>
        </w:rPr>
      </w:pPr>
    </w:p>
    <w:p>
      <w:pPr>
        <w:jc w:val="both"/>
        <w:ind w:left="1140" w:hanging="322"/>
        <w:spacing w:after="0" w:line="261" w:lineRule="auto"/>
        <w:tabs>
          <w:tab w:leader="none" w:pos="11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6"/>
          <w:szCs w:val="16"/>
          <w:color w:val="auto"/>
        </w:rPr>
      </w:pPr>
    </w:p>
    <w:p>
      <w:pPr>
        <w:ind w:left="1140" w:hanging="322"/>
        <w:spacing w:after="0" w:line="275" w:lineRule="auto"/>
        <w:tabs>
          <w:tab w:leader="none" w:pos="1131"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evaluations; and</w:t>
      </w:r>
    </w:p>
    <w:p>
      <w:pPr>
        <w:spacing w:after="0" w:line="118" w:lineRule="exact"/>
        <w:rPr>
          <w:rFonts w:ascii="Arial" w:cs="Arial" w:eastAsia="Arial" w:hAnsi="Arial"/>
          <w:sz w:val="16"/>
          <w:szCs w:val="16"/>
          <w:color w:val="auto"/>
        </w:rPr>
      </w:pPr>
    </w:p>
    <w:p>
      <w:pPr>
        <w:ind w:left="1140" w:hanging="322"/>
        <w:spacing w:after="0" w:line="275" w:lineRule="auto"/>
        <w:tabs>
          <w:tab w:leader="none" w:pos="11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Company's most recent fiscal quarter that has materially affected, or is reasonably likely to materially affect, the Company's internal control over financial reporting; and</w:t>
      </w:r>
    </w:p>
    <w:p>
      <w:pPr>
        <w:spacing w:after="0" w:line="118" w:lineRule="exact"/>
        <w:rPr>
          <w:rFonts w:ascii="Arial" w:cs="Arial" w:eastAsia="Arial" w:hAnsi="Arial"/>
          <w:sz w:val="16"/>
          <w:szCs w:val="16"/>
          <w:color w:val="auto"/>
        </w:rPr>
      </w:pPr>
    </w:p>
    <w:p>
      <w:pPr>
        <w:ind w:left="660" w:right="20" w:hanging="652"/>
        <w:spacing w:after="0" w:line="275" w:lineRule="auto"/>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18" w:lineRule="exact"/>
        <w:rPr>
          <w:rFonts w:ascii="Arial" w:cs="Arial" w:eastAsia="Arial" w:hAnsi="Arial"/>
          <w:sz w:val="16"/>
          <w:szCs w:val="16"/>
          <w:color w:val="auto"/>
        </w:rPr>
      </w:pPr>
    </w:p>
    <w:p>
      <w:pPr>
        <w:ind w:left="1140" w:right="20" w:hanging="322"/>
        <w:spacing w:after="0" w:line="275" w:lineRule="auto"/>
        <w:tabs>
          <w:tab w:leader="none" w:pos="1131"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8" w:lineRule="exact"/>
        <w:rPr>
          <w:rFonts w:ascii="Arial" w:cs="Arial" w:eastAsia="Arial" w:hAnsi="Arial"/>
          <w:sz w:val="16"/>
          <w:szCs w:val="16"/>
          <w:color w:val="auto"/>
        </w:rPr>
      </w:pPr>
    </w:p>
    <w:p>
      <w:pPr>
        <w:ind w:left="1140" w:hanging="322"/>
        <w:spacing w:after="0" w:line="275" w:lineRule="auto"/>
        <w:tabs>
          <w:tab w:leader="none" w:pos="114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p>
      <w:pPr>
        <w:ind w:left="20"/>
        <w:spacing w:after="0"/>
        <w:tabs>
          <w:tab w:leader="none" w:pos="4980" w:val="left"/>
          <w:tab w:leader="none" w:pos="5960" w:val="left"/>
        </w:tabs>
        <w:rPr>
          <w:sz w:val="20"/>
          <w:szCs w:val="20"/>
          <w:color w:val="auto"/>
        </w:rPr>
      </w:pPr>
      <w:r>
        <w:rPr>
          <w:rFonts w:ascii="Arial" w:cs="Arial" w:eastAsia="Arial" w:hAnsi="Arial"/>
          <w:sz w:val="16"/>
          <w:szCs w:val="16"/>
          <w:color w:val="auto"/>
        </w:rPr>
        <w:t>May 9, 2022</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Tony J. VunCannon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17780</wp:posOffset>
            </wp:positionV>
            <wp:extent cx="33350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3">
                      <a:extLst>
                        <a:ext uri="{28A0092B-C50C-407E-A947-70E740481C1C}"/>
                      </a:extLst>
                    </a:blip>
                    <a:srcRect/>
                    <a:stretch>
                      <a:fillRect/>
                    </a:stretch>
                  </pic:blipFill>
                  <pic:spPr bwMode="auto">
                    <a:xfrm>
                      <a:off x="0" y="0"/>
                      <a:ext cx="3335020" cy="8890"/>
                    </a:xfrm>
                    <a:prstGeom prst="rect">
                      <a:avLst/>
                    </a:prstGeom>
                    <a:noFill/>
                  </pic:spPr>
                </pic:pic>
              </a:graphicData>
            </a:graphic>
          </wp:anchor>
        </w:drawing>
      </w:r>
    </w:p>
    <w:p>
      <w:pPr>
        <w:spacing w:after="0" w:line="26"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Tony J. VunCannon</w:t>
      </w:r>
    </w:p>
    <w:p>
      <w:pPr>
        <w:spacing w:after="0" w:line="7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CFO, and Treasurer</w:t>
      </w:r>
    </w:p>
    <w:p>
      <w:pPr>
        <w:sectPr>
          <w:pgSz w:w="11900" w:h="16838" w:orient="portrait"/>
          <w:cols w:equalWidth="0" w:num="1">
            <w:col w:w="11240"/>
          </w:cols>
          <w:pgMar w:left="320" w:top="895"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6"/>
          <w:szCs w:val="16"/>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SECTION 1350 CERTIFICATION</w:t>
      </w:r>
    </w:p>
    <w:p>
      <w:pPr>
        <w:spacing w:after="0" w:line="167"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Each of the undersigned hereby certifies in his capacity as an officer of HomeTrust Bancshares, Inc. (the "Company") that the Quarterly Report of the Company on Form 10-Q for the period ended March 31, 2022, fully complies with the requirements of Section 13(a) of the Securities and Exchange Act of 1934, as amended, and that the information contained in such report fairly presents, in all material respects, the financial condition and results of operations of the Company as of the dates and periods presented in the financial statements included in such report.</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2580" w:type="dxa"/>
            <w:vAlign w:val="bottom"/>
          </w:tcPr>
          <w:p>
            <w:pPr>
              <w:spacing w:after="0"/>
              <w:rPr>
                <w:sz w:val="20"/>
                <w:szCs w:val="20"/>
                <w:color w:val="auto"/>
              </w:rPr>
            </w:pPr>
            <w:r>
              <w:rPr>
                <w:rFonts w:ascii="Arial" w:cs="Arial" w:eastAsia="Arial" w:hAnsi="Arial"/>
                <w:sz w:val="16"/>
                <w:szCs w:val="16"/>
                <w:color w:val="auto"/>
              </w:rPr>
              <w:t>May 9, 2022</w:t>
            </w:r>
          </w:p>
        </w:tc>
        <w:tc>
          <w:tcPr>
            <w:tcW w:w="2840" w:type="dxa"/>
            <w:vAlign w:val="bottom"/>
          </w:tcPr>
          <w:p>
            <w:pPr>
              <w:ind w:left="1740"/>
              <w:spacing w:after="0"/>
              <w:rPr>
                <w:sz w:val="20"/>
                <w:szCs w:val="20"/>
                <w:color w:val="auto"/>
              </w:rPr>
            </w:pPr>
            <w:r>
              <w:rPr>
                <w:rFonts w:ascii="Arial" w:cs="Arial" w:eastAsia="Arial" w:hAnsi="Arial"/>
                <w:sz w:val="16"/>
                <w:szCs w:val="16"/>
                <w:color w:val="auto"/>
              </w:rPr>
              <w:t>By:</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Dana L. Stonestreet</w:t>
            </w:r>
          </w:p>
        </w:tc>
      </w:tr>
      <w:tr>
        <w:trPr>
          <w:trHeight w:val="206"/>
        </w:trPr>
        <w:tc>
          <w:tcPr>
            <w:tcW w:w="25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Dana L. Stonestreet</w:t>
            </w:r>
          </w:p>
        </w:tc>
      </w:tr>
      <w:tr>
        <w:trPr>
          <w:trHeight w:val="257"/>
        </w:trPr>
        <w:tc>
          <w:tcPr>
            <w:tcW w:w="25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Chairman and CEO</w:t>
            </w:r>
          </w:p>
        </w:tc>
      </w:tr>
      <w:tr>
        <w:trPr>
          <w:trHeight w:val="813"/>
        </w:trPr>
        <w:tc>
          <w:tcPr>
            <w:tcW w:w="2580" w:type="dxa"/>
            <w:vAlign w:val="bottom"/>
          </w:tcPr>
          <w:p>
            <w:pPr>
              <w:spacing w:after="0"/>
              <w:rPr>
                <w:sz w:val="20"/>
                <w:szCs w:val="20"/>
                <w:color w:val="auto"/>
              </w:rPr>
            </w:pPr>
            <w:r>
              <w:rPr>
                <w:rFonts w:ascii="Arial" w:cs="Arial" w:eastAsia="Arial" w:hAnsi="Arial"/>
                <w:sz w:val="16"/>
                <w:szCs w:val="16"/>
                <w:color w:val="auto"/>
              </w:rPr>
              <w:t>May 9, 2022</w:t>
            </w:r>
          </w:p>
        </w:tc>
        <w:tc>
          <w:tcPr>
            <w:tcW w:w="2840" w:type="dxa"/>
            <w:vAlign w:val="bottom"/>
          </w:tcPr>
          <w:p>
            <w:pPr>
              <w:ind w:left="1740"/>
              <w:spacing w:after="0"/>
              <w:rPr>
                <w:sz w:val="20"/>
                <w:szCs w:val="20"/>
                <w:color w:val="auto"/>
              </w:rPr>
            </w:pPr>
            <w:r>
              <w:rPr>
                <w:rFonts w:ascii="Arial" w:cs="Arial" w:eastAsia="Arial" w:hAnsi="Arial"/>
                <w:sz w:val="16"/>
                <w:szCs w:val="16"/>
                <w:color w:val="auto"/>
              </w:rPr>
              <w:t>By:</w:t>
            </w:r>
          </w:p>
        </w:tc>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Tony J. VunCannon</w:t>
            </w:r>
          </w:p>
        </w:tc>
      </w:tr>
      <w:tr>
        <w:trPr>
          <w:trHeight w:val="207"/>
        </w:trPr>
        <w:tc>
          <w:tcPr>
            <w:tcW w:w="25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Tony J. VunCannon</w:t>
            </w:r>
          </w:p>
        </w:tc>
      </w:tr>
      <w:tr>
        <w:trPr>
          <w:trHeight w:val="257"/>
        </w:trPr>
        <w:tc>
          <w:tcPr>
            <w:tcW w:w="25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5780" w:type="dxa"/>
            <w:vAlign w:val="bottom"/>
          </w:tcPr>
          <w:p>
            <w:pPr>
              <w:ind w:left="20"/>
              <w:spacing w:after="0"/>
              <w:rPr>
                <w:sz w:val="20"/>
                <w:szCs w:val="20"/>
                <w:color w:val="auto"/>
              </w:rPr>
            </w:pPr>
            <w:r>
              <w:rPr>
                <w:rFonts w:ascii="Arial" w:cs="Arial" w:eastAsia="Arial" w:hAnsi="Arial"/>
                <w:sz w:val="16"/>
                <w:szCs w:val="16"/>
                <w:color w:val="auto"/>
              </w:rPr>
              <w:t>Executive Vice President, CFO, and Treasurer</w:t>
            </w:r>
          </w:p>
        </w:tc>
      </w:tr>
    </w:tbl>
    <w:p>
      <w:pPr>
        <w:spacing w:after="0" w:line="1" w:lineRule="exact"/>
        <w:rPr>
          <w:sz w:val="20"/>
          <w:szCs w:val="20"/>
          <w:color w:val="auto"/>
        </w:rPr>
      </w:pP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7"/>
    </w:lvl>
  </w:abstractNum>
  <w:abstractNum w:abstractNumId="5">
    <w:nsid w:val="54E49EB4"/>
    <w:multiLevelType w:val="hybridMultilevel"/>
    <w:lvl w:ilvl="0">
      <w:lvlJc w:val="left"/>
      <w:lvlText w:val="%1."/>
      <w:numFmt w:val="decimal"/>
      <w:start w:val="8"/>
    </w:lvl>
  </w:abstractNum>
  <w:abstractNum w:abstractNumId="6">
    <w:nsid w:val="71F32454"/>
    <w:multiLevelType w:val="hybridMultilevel"/>
    <w:lvl w:ilvl="0">
      <w:lvlJc w:val="left"/>
      <w:lvlText w:val="%1."/>
      <w:numFmt w:val="decimal"/>
      <w:start w:val="9"/>
    </w:lvl>
  </w:abstractNum>
  <w:abstractNum w:abstractNumId="7">
    <w:nsid w:val="2CA88611"/>
    <w:multiLevelType w:val="hybridMultilevel"/>
    <w:lvl w:ilvl="0">
      <w:lvlJc w:val="left"/>
      <w:lvlText w:val="%1."/>
      <w:numFmt w:val="decimal"/>
      <w:start w:val="10"/>
    </w:lvl>
  </w:abstractNum>
  <w:abstractNum w:abstractNumId="8">
    <w:nsid w:val="836C40E"/>
    <w:multiLevelType w:val="hybridMultilevel"/>
    <w:lvl w:ilvl="0">
      <w:lvlJc w:val="left"/>
      <w:lvlText w:val="%1."/>
      <w:numFmt w:val="decimal"/>
      <w:start w:val="11"/>
    </w:lvl>
  </w:abstractNum>
  <w:abstractNum w:abstractNumId="9">
    <w:nsid w:val="2901D82"/>
    <w:multiLevelType w:val="hybridMultilevel"/>
    <w:lvl w:ilvl="0">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1"/>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1)"/>
      <w:numFmt w:val="lowerLetter"/>
      <w:start w:val="10"/>
    </w:lvl>
  </w:abstractNum>
  <w:abstractNum w:abstractNumId="16">
    <w:nsid w:val="22221A70"/>
    <w:multiLevelType w:val="hybridMultilevel"/>
    <w:lvl w:ilvl="0">
      <w:lvlJc w:val="left"/>
      <w:lvlText w:val="%1."/>
      <w:numFmt w:val="decimal"/>
      <w:start w:val="1"/>
    </w:lvl>
  </w:abstractNum>
  <w:abstractNum w:abstractNumId="17">
    <w:nsid w:val="4516DDE9"/>
    <w:multiLevelType w:val="hybridMultilevel"/>
    <w:lvl w:ilvl="0">
      <w:lvlJc w:val="left"/>
      <w:lvlText w:val="%1."/>
      <w:numFmt w:val="decimal"/>
      <w:start w:val="4"/>
    </w:lvl>
  </w:abstractNum>
  <w:abstractNum w:abstractNumId="18">
    <w:nsid w:val="3006C83E"/>
    <w:multiLevelType w:val="hybridMultilevel"/>
    <w:lvl w:ilvl="0">
      <w:lvlJc w:val="left"/>
      <w:lvlText w:val="%1."/>
      <w:numFmt w:val="decimal"/>
      <w:start w:val="4"/>
    </w:lvl>
    <w:lvl w:ilvl="1">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1."/>
      <w:numFmt w:val="decimal"/>
      <w:start w:val="5"/>
    </w:lvl>
    <w:lvl w:ilvl="1">
      <w:lvlJc w:val="left"/>
      <w:lvlText w:val="("/>
      <w:numFmt w:val="bullet"/>
      <w:start w:val="1"/>
    </w:lvl>
  </w:abstractNum>
  <w:abstractNum w:abstractNumId="21">
    <w:nsid w:val="5577F8E1"/>
    <w:multiLevelType w:val="hybridMultilevel"/>
    <w:lvl w:ilvl="0">
      <w:lvlJc w:val="left"/>
      <w:lvlText w:val="(%1)"/>
      <w:numFmt w:val="decimal"/>
      <w:start w:val="30"/>
    </w:lvl>
  </w:abstractNum>
  <w:abstractNum w:abstractNumId="22">
    <w:nsid w:val="440BADFC"/>
    <w:multiLevelType w:val="hybridMultilevel"/>
    <w:lvl w:ilvl="0">
      <w:lvlJc w:val="left"/>
      <w:lvlText w:val="(%1)"/>
      <w:numFmt w:val="lowerRoman"/>
      <w:start w:val="1"/>
    </w:lvl>
    <w:lvl w:ilvl="1">
      <w:lvlJc w:val="left"/>
      <w:lvlText w:val="(%2)"/>
      <w:numFmt w:val="decimal"/>
      <w:start w:val="1"/>
    </w:lvl>
  </w:abstractNum>
  <w:abstractNum w:abstractNumId="23">
    <w:nsid w:val="5072367"/>
    <w:multiLevelType w:val="hybridMultilevel"/>
    <w:lvl w:ilvl="0">
      <w:lvlJc w:val="left"/>
      <w:lvlText w:val="(%1)"/>
      <w:numFmt w:val="lowerRoman"/>
      <w:start w:val="8"/>
    </w:lvl>
  </w:abstractNum>
  <w:abstractNum w:abstractNumId="24">
    <w:nsid w:val="3804823E"/>
    <w:multiLevelType w:val="hybridMultilevel"/>
    <w:lvl w:ilvl="0">
      <w:lvlJc w:val="left"/>
      <w:lvlText w:val="%1"/>
      <w:numFmt w:val="lowerRoman"/>
      <w:start w:val="1"/>
    </w:lvl>
    <w:lvl w:ilvl="1">
      <w:lvlJc w:val="left"/>
      <w:lvlText w:val="(%2)"/>
      <w:numFmt w:val="lowerRoman"/>
      <w:start w:val="1"/>
    </w:lvl>
  </w:abstractNum>
  <w:abstractNum w:abstractNumId="25">
    <w:nsid w:val="77465F01"/>
    <w:multiLevelType w:val="hybridMultilevel"/>
    <w:lvl w:ilvl="0">
      <w:lvlJc w:val="left"/>
      <w:lvlText w:val="(%1)"/>
      <w:numFmt w:val="lowerRoman"/>
      <w:start w:val="5"/>
    </w:lvl>
    <w:lvl w:ilvl="1">
      <w:lvlJc w:val="left"/>
      <w:lvlText w:val="%2"/>
      <w:numFmt w:val="lowerRoman"/>
      <w:start w:val="1"/>
    </w:lvl>
  </w:abstractNum>
  <w:abstractNum w:abstractNumId="26">
    <w:nsid w:val="7724C67E"/>
    <w:multiLevelType w:val="hybridMultilevel"/>
    <w:lvl w:ilvl="0">
      <w:lvlJc w:val="left"/>
      <w:lvlText w:val="(%1)"/>
      <w:numFmt w:val="lowerRoman"/>
      <w:start w:val="1"/>
    </w:lvl>
  </w:abstractNum>
  <w:abstractNum w:abstractNumId="27">
    <w:nsid w:val="5C482A97"/>
    <w:multiLevelType w:val="hybridMultilevel"/>
    <w:lvl w:ilvl="0">
      <w:lvlJc w:val="left"/>
      <w:lvlText w:val="(%1)"/>
      <w:numFmt w:val="lowerRoman"/>
      <w:start w:val="6"/>
    </w:lvl>
    <w:lvl w:ilvl="1">
      <w:lvlJc w:val="left"/>
      <w:lvlText w:val="(%2)"/>
      <w:numFmt w:val="decimal"/>
      <w:start w:val="1"/>
    </w:lvl>
  </w:abstractNum>
  <w:abstractNum w:abstractNumId="28">
    <w:nsid w:val="2463B9EA"/>
    <w:multiLevelType w:val="hybridMultilevel"/>
    <w:lvl w:ilvl="0">
      <w:lvlJc w:val="left"/>
      <w:lvlText w:val="(%1)"/>
      <w:numFmt w:val="decimal"/>
      <w:start w:val="45"/>
    </w:lvl>
  </w:abstractNum>
  <w:abstractNum w:abstractNumId="29">
    <w:nsid w:val="5E884ADC"/>
    <w:multiLevelType w:val="hybridMultilevel"/>
    <w:lvl w:ilvl="0">
      <w:lvlJc w:val="left"/>
      <w:lvlText w:val="(%1)"/>
      <w:numFmt w:val="lowerRoman"/>
      <w:start w:val="1"/>
    </w:lvl>
  </w:abstractNum>
  <w:abstractNum w:abstractNumId="30">
    <w:nsid w:val="51EAD36B"/>
    <w:multiLevelType w:val="hybridMultilevel"/>
    <w:lvl w:ilvl="0">
      <w:lvlJc w:val="left"/>
      <w:lvlText w:val="(%1)"/>
      <w:numFmt w:val="lowerRoman"/>
      <w:start w:val="1"/>
    </w:lvl>
  </w:abstractNum>
  <w:abstractNum w:abstractNumId="31">
    <w:nsid w:val="2D517796"/>
    <w:multiLevelType w:val="hybridMultilevel"/>
    <w:lvl w:ilvl="0">
      <w:lvlJc w:val="left"/>
      <w:lvlText w:val="%1"/>
      <w:numFmt w:val="lowerRoman"/>
      <w:start w:val="1"/>
    </w:lvl>
    <w:lvl w:ilvl="1">
      <w:lvlJc w:val="left"/>
      <w:lvlText w:val="(%2)"/>
      <w:numFmt w:val="lowerRoman"/>
      <w:start w:val="2"/>
    </w:lvl>
  </w:abstractNum>
  <w:abstractNum w:abstractNumId="32">
    <w:nsid w:val="580BD78F"/>
    <w:multiLevelType w:val="hybridMultilevel"/>
    <w:lvl w:ilvl="0">
      <w:lvlJc w:val="left"/>
      <w:lvlText w:val="(%1)"/>
      <w:numFmt w:val="lowerRoman"/>
      <w:start w:val="4"/>
    </w:lvl>
    <w:lvl w:ilvl="1">
      <w:lvlJc w:val="left"/>
      <w:lvlText w:val="%2"/>
      <w:numFmt w:val="lowerRoman"/>
      <w:start w:val="1"/>
    </w:lvl>
  </w:abstractNum>
  <w:abstractNum w:abstractNumId="33">
    <w:nsid w:val="153EA438"/>
    <w:multiLevelType w:val="hybridMultilevel"/>
    <w:lvl w:ilvl="0">
      <w:lvlJc w:val="left"/>
      <w:lvlText w:val="(%1)"/>
      <w:numFmt w:val="lowerRoman"/>
      <w:start w:val="1"/>
    </w:lvl>
  </w:abstractNum>
  <w:abstractNum w:abstractNumId="34">
    <w:nsid w:val="3855585C"/>
    <w:multiLevelType w:val="hybridMultilevel"/>
    <w:lvl w:ilvl="0">
      <w:lvlJc w:val="left"/>
      <w:lvlText w:val="(%1)"/>
      <w:numFmt w:val="lowerRoman"/>
      <w:start w:val="1"/>
    </w:lvl>
    <w:lvl w:ilvl="1">
      <w:lvlJc w:val="left"/>
      <w:lvlText w:val="(%2)"/>
      <w:numFmt w:val="decimal"/>
      <w:start w:val="1"/>
    </w:lvl>
  </w:abstractNum>
  <w:abstractNum w:abstractNumId="35">
    <w:nsid w:val="70A64E2A"/>
    <w:multiLevelType w:val="hybridMultilevel"/>
    <w:lvl w:ilvl="0">
      <w:lvlJc w:val="left"/>
      <w:lvlText w:val="(%1)"/>
      <w:numFmt w:val="lowerRoman"/>
      <w:start w:val="7"/>
    </w:lvl>
  </w:abstractNum>
  <w:abstractNum w:abstractNumId="36">
    <w:nsid w:val="6A2342EC"/>
    <w:multiLevelType w:val="hybridMultilevel"/>
    <w:lvl w:ilvl="0">
      <w:lvlJc w:val="left"/>
      <w:lvlText w:val="%1"/>
      <w:numFmt w:val="lowerRoman"/>
      <w:start w:val="1"/>
    </w:lvl>
    <w:lvl w:ilvl="1">
      <w:lvlJc w:val="left"/>
      <w:lvlText w:val="(%2)"/>
      <w:numFmt w:val="lowerRoman"/>
      <w:start w:val="1"/>
    </w:lvl>
  </w:abstractNum>
  <w:abstractNum w:abstractNumId="37">
    <w:nsid w:val="2A487CB0"/>
    <w:multiLevelType w:val="hybridMultilevel"/>
    <w:lvl w:ilvl="0">
      <w:lvlJc w:val="left"/>
      <w:lvlText w:val="(%1)"/>
      <w:numFmt w:val="lowerRoman"/>
      <w:start w:val="5"/>
    </w:lvl>
    <w:lvl w:ilvl="1">
      <w:lvlJc w:val="left"/>
      <w:lvlText w:val="%2"/>
      <w:numFmt w:val="lowerRoman"/>
      <w:start w:val="1"/>
    </w:lvl>
  </w:abstractNum>
  <w:abstractNum w:abstractNumId="38">
    <w:nsid w:val="1D4ED43B"/>
    <w:multiLevelType w:val="hybridMultilevel"/>
    <w:lvl w:ilvl="0">
      <w:lvlJc w:val="left"/>
      <w:lvlText w:val="(%1)"/>
      <w:numFmt w:val="lowerRoman"/>
      <w:start w:val="1"/>
    </w:lvl>
  </w:abstractNum>
  <w:abstractNum w:abstractNumId="39">
    <w:nsid w:val="725A06FB"/>
    <w:multiLevelType w:val="hybridMultilevel"/>
    <w:lvl w:ilvl="0">
      <w:lvlJc w:val="left"/>
      <w:lvlText w:val="(%1)"/>
      <w:numFmt w:val="lowerRoman"/>
      <w:start w:val="5"/>
    </w:lvl>
    <w:lvl w:ilvl="1">
      <w:lvlJc w:val="left"/>
      <w:lvlText w:val="(%2)"/>
      <w:numFmt w:val="decimal"/>
      <w:start w:val="1"/>
    </w:lvl>
  </w:abstractNum>
  <w:abstractNum w:abstractNumId="40">
    <w:nsid w:val="2CD89A32"/>
    <w:multiLevelType w:val="hybridMultilevel"/>
    <w:lvl w:ilvl="0">
      <w:lvlJc w:val="left"/>
      <w:lvlText w:val="(%1)"/>
      <w:numFmt w:val="lowerRoman"/>
      <w:start w:val="1"/>
    </w:lvl>
    <w:lvl w:ilvl="1">
      <w:lvlJc w:val="left"/>
      <w:lvlText w:val="(%2)"/>
      <w:numFmt w:val="decimal"/>
      <w:start w:val="1"/>
    </w:lvl>
  </w:abstractNum>
  <w:abstractNum w:abstractNumId="41">
    <w:nsid w:val="57E4CCAF"/>
    <w:multiLevelType w:val="hybridMultilevel"/>
    <w:lvl w:ilvl="0">
      <w:lvlJc w:val="left"/>
      <w:lvlText w:val="(%1)"/>
      <w:numFmt w:val="lowerRoman"/>
      <w:start w:val="7"/>
    </w:lvl>
  </w:abstractNum>
  <w:abstractNum w:abstractNumId="42">
    <w:nsid w:val="7A6D8D3C"/>
    <w:multiLevelType w:val="hybridMultilevel"/>
    <w:lvl w:ilvl="0">
      <w:lvlJc w:val="left"/>
      <w:lvlText w:val="%1"/>
      <w:numFmt w:val="lowerRoman"/>
      <w:start w:val="1"/>
    </w:lvl>
    <w:lvl w:ilvl="1">
      <w:lvlJc w:val="left"/>
      <w:lvlText w:val="(%2)"/>
      <w:numFmt w:val="lowerRoman"/>
      <w:start w:val="1"/>
    </w:lvl>
  </w:abstractNum>
  <w:abstractNum w:abstractNumId="43">
    <w:nsid w:val="4B588F54"/>
    <w:multiLevelType w:val="hybridMultilevel"/>
    <w:lvl w:ilvl="0">
      <w:lvlJc w:val="left"/>
      <w:lvlText w:val="(%1)"/>
      <w:numFmt w:val="lowerRoman"/>
      <w:start w:val="5"/>
    </w:lvl>
    <w:lvl w:ilvl="1">
      <w:lvlJc w:val="left"/>
      <w:lvlText w:val="%2"/>
      <w:numFmt w:val="lowerRoman"/>
      <w:start w:val="1"/>
    </w:lvl>
  </w:abstractNum>
  <w:abstractNum w:abstractNumId="44">
    <w:nsid w:val="542289EC"/>
    <w:multiLevelType w:val="hybridMultilevel"/>
    <w:lvl w:ilvl="0">
      <w:lvlJc w:val="left"/>
      <w:lvlText w:val="(%1)"/>
      <w:numFmt w:val="lowerRoman"/>
      <w:start w:val="1"/>
    </w:lvl>
  </w:abstractNum>
  <w:abstractNum w:abstractNumId="45">
    <w:nsid w:val="6DE91B18"/>
    <w:multiLevelType w:val="hybridMultilevel"/>
    <w:lvl w:ilvl="0">
      <w:lvlJc w:val="left"/>
      <w:lvlText w:val="(%1)"/>
      <w:numFmt w:val="lowerRoman"/>
      <w:start w:val="5"/>
    </w:lvl>
    <w:lvl w:ilvl="1">
      <w:lvlJc w:val="left"/>
      <w:lvlText w:val="(%2)"/>
      <w:numFmt w:val="decimal"/>
      <w:start w:val="1"/>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84" Type="http://schemas.openxmlformats.org/officeDocument/2006/relationships/image" Target="media/image57.png"/><Relationship Id="rId108" Type="http://schemas.openxmlformats.org/officeDocument/2006/relationships/image" Target="media/image58.png"/><Relationship Id="rId109" Type="http://schemas.openxmlformats.org/officeDocument/2006/relationships/image" Target="media/image59.png"/><Relationship Id="rId110" Type="http://schemas.openxmlformats.org/officeDocument/2006/relationships/image" Target="media/image60.png"/><Relationship Id="rId111" Type="http://schemas.openxmlformats.org/officeDocument/2006/relationships/image" Target="media/image61.png"/><Relationship Id="rId112" Type="http://schemas.openxmlformats.org/officeDocument/2006/relationships/image" Target="media/image62.png"/><Relationship Id="rId113" Type="http://schemas.openxmlformats.org/officeDocument/2006/relationships/image" Target="media/image63.png"/><Relationship Id="rId64" Type="http://schemas.openxmlformats.org/officeDocument/2006/relationships/hyperlink" Target="http://www.sec.gov/Archives/edgar/data/1538263/000119312511355607/d273840dex31.htm" TargetMode="External"/><Relationship Id="rId65" Type="http://schemas.openxmlformats.org/officeDocument/2006/relationships/hyperlink" Target="http://www.sec.gov/Archives/edgar/data/1538263/000092708912000275/ex3-1.htm" TargetMode="External"/><Relationship Id="rId66" Type="http://schemas.openxmlformats.org/officeDocument/2006/relationships/hyperlink" Target="http://www.sec.gov/Archives/edgar/data/1538263/000153826321000038/a2021-03x31xhtbiex33.htm" TargetMode="External"/><Relationship Id="rId67" Type="http://schemas.openxmlformats.org/officeDocument/2006/relationships/hyperlink" Target="http://www.sec.gov/Archives/edgar/data/1538263/000092708912000275/ex4-1.htm" TargetMode="External"/><Relationship Id="rId68" Type="http://schemas.openxmlformats.org/officeDocument/2006/relationships/hyperlink" Target="http://www.sec.gov/Archives/edgar/data/1538263/000153826315000047/exhibit41htbi20150831.htm" TargetMode="External"/><Relationship Id="rId69" Type="http://schemas.openxmlformats.org/officeDocument/2006/relationships/hyperlink" Target="http://www.sec.gov/Archives/edgar/data/1538263/000153826318000038/exhibit41htbi20180822.htm" TargetMode="External"/><Relationship Id="rId70" Type="http://schemas.openxmlformats.org/officeDocument/2006/relationships/hyperlink" Target="https://www.sec.gov/Archives/edgar/data/1538263/000153826321000084/a2021-09x30xhtbix10qxex101.htm" TargetMode="External"/><Relationship Id="rId71" Type="http://schemas.openxmlformats.org/officeDocument/2006/relationships/hyperlink" Target="http://www.sec.gov/Archives/edgar/data/1538263/000153826318000044/ex10x1xhtbix091118.htm" TargetMode="External"/><Relationship Id="rId72" Type="http://schemas.openxmlformats.org/officeDocument/2006/relationships/hyperlink" Target="https://www.sec.gov/Archives/edgar/data/1538263/000153826318000044/ex10x2xhtbix091118.htm" TargetMode="External"/><Relationship Id="rId73" Type="http://schemas.openxmlformats.org/officeDocument/2006/relationships/hyperlink" Target="http://www.sec.gov/Archives/edgar/data/1538263/000153826318000049/ex10x1xhtbi092518.htm" TargetMode="External"/><Relationship Id="rId74" Type="http://schemas.openxmlformats.org/officeDocument/2006/relationships/hyperlink" Target="https://www.sec.gov/Archives/edgar/data/1538263/000153826320000039/ex10x1xhtbix102820.htm" TargetMode="External"/><Relationship Id="rId75" Type="http://schemas.openxmlformats.org/officeDocument/2006/relationships/hyperlink" Target="http://www.sec.gov/Archives/edgar/data/1538263/000153826321000053/a2021-07x27xhtbixex101.htm" TargetMode="External"/><Relationship Id="rId76" Type="http://schemas.openxmlformats.org/officeDocument/2006/relationships/hyperlink" Target="http://www.sec.gov/Archives/edgar/data/1538263/000153826318000044/ex10x3xhtbix091118.htm" TargetMode="External"/><Relationship Id="rId77" Type="http://schemas.openxmlformats.org/officeDocument/2006/relationships/hyperlink" Target="http://www.sec.gov/Archives/edgar/data/1538263/000119312511355607/d273840dex106.htm" TargetMode="External"/><Relationship Id="rId78" Type="http://schemas.openxmlformats.org/officeDocument/2006/relationships/hyperlink" Target="http://www.sec.gov/ix?doc=/Archives/edgar/data/0001538263/000153826322000009/htbi-20220211.htm" TargetMode="External"/><Relationship Id="rId79" Type="http://schemas.openxmlformats.org/officeDocument/2006/relationships/hyperlink" Target="http://www.sec.gov/Archives/edgar/data/1538263/000119312511355607/d273840dex106a.htm" TargetMode="External"/><Relationship Id="rId80" Type="http://schemas.openxmlformats.org/officeDocument/2006/relationships/hyperlink" Target="http://www.sec.gov/Archives/edgar/data/1538263/000119312511355607/d273840dex106b.htm" TargetMode="External"/><Relationship Id="rId81" Type="http://schemas.openxmlformats.org/officeDocument/2006/relationships/hyperlink" Target="http://www.sec.gov/Archives/edgar/data/1538263/000119312511355607/d273840dex106c.htm" TargetMode="External"/><Relationship Id="rId82" Type="http://schemas.openxmlformats.org/officeDocument/2006/relationships/hyperlink" Target="http://www.sec.gov/Archives/edgar/data/1538263/000119312511355607/d273840dex106d.htm" TargetMode="External"/><Relationship Id="rId83" Type="http://schemas.openxmlformats.org/officeDocument/2006/relationships/hyperlink" Target="http://www.sec.gov/Archives/edgar/data/1538263/000119312511355607/d273840dex106f.htm" TargetMode="External"/><Relationship Id="rId85" Type="http://schemas.openxmlformats.org/officeDocument/2006/relationships/hyperlink" Target="http://www.sec.gov/Archives/edgar/data/1538263/000119312511355607/d273840dex106g.htm" TargetMode="External"/><Relationship Id="rId86" Type="http://schemas.openxmlformats.org/officeDocument/2006/relationships/hyperlink" Target="http://www.sec.gov/Archives/edgar/data/1538263/000119312512107294/d273840dex106i.htm" TargetMode="External"/><Relationship Id="rId87" Type="http://schemas.openxmlformats.org/officeDocument/2006/relationships/hyperlink" Target="http://www.sec.gov/Archives/edgar/data/1538263/000119312511355607/d273840dex107.htm" TargetMode="External"/><Relationship Id="rId88" Type="http://schemas.openxmlformats.org/officeDocument/2006/relationships/hyperlink" Target="http://www.sec.gov/Archives/edgar/data/1538263/000119312511355607/d273840dex107b.htm" TargetMode="External"/><Relationship Id="rId89" Type="http://schemas.openxmlformats.org/officeDocument/2006/relationships/hyperlink" Target="http://www.sec.gov/Archives/edgar/data/1538263/000119312511355607/d273840dex107c.htm" TargetMode="External"/><Relationship Id="rId90" Type="http://schemas.openxmlformats.org/officeDocument/2006/relationships/hyperlink" Target="http://www.sec.gov/Archives/edgar/data/1538263/000119312511355607/d273840dex107d.htm" TargetMode="External"/><Relationship Id="rId91" Type="http://schemas.openxmlformats.org/officeDocument/2006/relationships/hyperlink" Target="http://www.sec.gov/Archives/edgar/data/1538263/000119312511355607/d273840dex107f.htm" TargetMode="External"/><Relationship Id="rId92" Type="http://schemas.openxmlformats.org/officeDocument/2006/relationships/hyperlink" Target="http://www.sec.gov/Archives/edgar/data/1538263/000119312511355607/d273840dex107g.htm" TargetMode="External"/><Relationship Id="rId93" Type="http://schemas.openxmlformats.org/officeDocument/2006/relationships/hyperlink" Target="http://www.sec.gov/Archives/edgar/data/1538263/000119312511355607/d273840dex107h.htm" TargetMode="External"/><Relationship Id="rId94" Type="http://schemas.openxmlformats.org/officeDocument/2006/relationships/hyperlink" Target="http://www.sec.gov/Archives/edgar/data/1538263/000119312511355607/d273840dex108.htm" TargetMode="External"/><Relationship Id="rId95" Type="http://schemas.openxmlformats.org/officeDocument/2006/relationships/hyperlink" Target="http://www.sec.gov/Archives/edgar/data/1538263/000119312511355607/d273840dex109.htm" TargetMode="External"/><Relationship Id="rId96" Type="http://schemas.openxmlformats.org/officeDocument/2006/relationships/hyperlink" Target="http://www.sec.gov/Archives/edgar/data/1538263/000119312511355607/d273840dex1010.htm" TargetMode="External"/><Relationship Id="rId97" Type="http://schemas.openxmlformats.org/officeDocument/2006/relationships/hyperlink" Target="http://www.sec.gov/Archives/edgar/data/1538263/000092708912000332/htbi-def14a2012.htm" TargetMode="External"/><Relationship Id="rId98" Type="http://schemas.openxmlformats.org/officeDocument/2006/relationships/hyperlink" Target="http://www.sec.gov/Archives/edgar/data/1538263/000092708913000038/ex10-2.htm" TargetMode="External"/><Relationship Id="rId99" Type="http://schemas.openxmlformats.org/officeDocument/2006/relationships/hyperlink" Target="http://www.sec.gov/Archives/edgar/data/1538263/000092708913000038/ex10-3.htm" TargetMode="External"/><Relationship Id="rId100" Type="http://schemas.openxmlformats.org/officeDocument/2006/relationships/hyperlink" Target="http://www.sec.gov/Archives/edgar/data/1538263/000092708913000038/ex10-4.htm" TargetMode="External"/><Relationship Id="rId101" Type="http://schemas.openxmlformats.org/officeDocument/2006/relationships/hyperlink" Target="http://www.sec.gov/Archives/edgar/data/1538263/000092708913000038/ex10-5.htm" TargetMode="External"/><Relationship Id="rId102" Type="http://schemas.openxmlformats.org/officeDocument/2006/relationships/hyperlink" Target="http://www.sec.gov/Archives/edgar/data/1538263/000092708913000038/ex10-6.htm" TargetMode="External"/><Relationship Id="rId103" Type="http://schemas.openxmlformats.org/officeDocument/2006/relationships/hyperlink" Target="http://www.sec.gov/Archives/edgar/data/0001538263/000153826321000038/a2021-03x3110qex1018.htm" TargetMode="External"/><Relationship Id="rId104" Type="http://schemas.openxmlformats.org/officeDocument/2006/relationships/hyperlink" Target="http://www.sec.gov/Archives/edgar/data/1538263/000092708914000374/ex10-23.htm" TargetMode="External"/><Relationship Id="rId105" Type="http://schemas.openxmlformats.org/officeDocument/2006/relationships/hyperlink" Target="http://www.sec.gov/Archives/edgar/data/1538263/000153826319000024/a2019-03x31xhtbix10qxex1027.htm" TargetMode="External"/><Relationship Id="rId106" Type="http://schemas.openxmlformats.org/officeDocument/2006/relationships/hyperlink" Target="http://www.sec.gov/Archives/edgar/data/1538263/000153826318000044/ex10x5xhtbix091118.htm" TargetMode="External"/><Relationship Id="rId107" Type="http://schemas.openxmlformats.org/officeDocument/2006/relationships/hyperlink" Target="http://www.sec.gov/Archives/edgar/data/1538263/000153826318000047/htbi-2018x06x30x10kxex103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2022-05-09T17:03:39Z</dcterms:created>
  <dcterms:modified xsi:type="dcterms:W3CDTF">2022-05-09T17:03:39Z</dcterms:modified>
</cp:coreProperties>
</file>