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 SECURITIES AND EXCHANGE COMMISSION</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8" w:lineRule="exact"/>
        <w:rPr>
          <w:sz w:val="24"/>
          <w:szCs w:val="24"/>
          <w:color w:val="auto"/>
        </w:rPr>
      </w:pPr>
    </w:p>
    <w:p>
      <w:pPr>
        <w:ind w:left="500" w:hanging="495"/>
        <w:spacing w:after="0"/>
        <w:tabs>
          <w:tab w:leader="none" w:pos="5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QUARTERLY REPORT UNDER SECTION 13 OR 15(d) OF THE SECURITIES EXCHANGE ACT OF 1934</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 xml:space="preserve">For the quarterly period ended </w:t>
      </w:r>
      <w:r>
        <w:rPr>
          <w:rFonts w:ascii="Times New Roman" w:cs="Times New Roman" w:eastAsia="Times New Roman" w:hAnsi="Times New Roman"/>
          <w:sz w:val="13"/>
          <w:szCs w:val="13"/>
          <w:b w:val="1"/>
          <w:bCs w:val="1"/>
          <w:u w:val="single" w:color="auto"/>
          <w:color w:val="auto"/>
        </w:rPr>
        <w:t>September 30, 2024</w:t>
      </w:r>
    </w:p>
    <w:p>
      <w:pPr>
        <w:spacing w:after="0" w:line="203" w:lineRule="exact"/>
        <w:rPr>
          <w:sz w:val="24"/>
          <w:szCs w:val="24"/>
          <w:color w:val="auto"/>
        </w:rPr>
      </w:pPr>
    </w:p>
    <w:p>
      <w:pPr>
        <w:ind w:left="500" w:hanging="495"/>
        <w:spacing w:after="0"/>
        <w:tabs>
          <w:tab w:leader="none" w:pos="50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TRANSITION REPORT UNDER SECTION 13 OR 15(d) OF THE SECURITIES EXCHANGE ACT OF 1934</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4280" w:type="dxa"/>
            <w:vAlign w:val="bottom"/>
          </w:tcPr>
          <w:p>
            <w:pPr>
              <w:spacing w:after="0"/>
              <w:rPr>
                <w:sz w:val="14"/>
                <w:szCs w:val="14"/>
                <w:color w:val="auto"/>
              </w:rPr>
            </w:pPr>
          </w:p>
        </w:tc>
        <w:tc>
          <w:tcPr>
            <w:tcW w:w="7000" w:type="dxa"/>
            <w:vAlign w:val="bottom"/>
            <w:gridSpan w:val="5"/>
          </w:tcPr>
          <w:p>
            <w:pPr>
              <w:jc w:val="center"/>
              <w:ind w:right="4196"/>
              <w:spacing w:after="0"/>
              <w:rPr>
                <w:sz w:val="20"/>
                <w:szCs w:val="20"/>
                <w:color w:val="auto"/>
              </w:rPr>
            </w:pPr>
            <w:r>
              <w:rPr>
                <w:rFonts w:ascii="Times New Roman" w:cs="Times New Roman" w:eastAsia="Times New Roman" w:hAnsi="Times New Roman"/>
                <w:sz w:val="13"/>
                <w:szCs w:val="13"/>
                <w:color w:val="auto"/>
                <w:w w:val="97"/>
              </w:rPr>
              <w:t>For the transition period from _______ to ________</w:t>
            </w:r>
          </w:p>
        </w:tc>
      </w:tr>
      <w:tr>
        <w:trPr>
          <w:trHeight w:val="340"/>
        </w:trPr>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gridSpan w:val="4"/>
          </w:tcPr>
          <w:p>
            <w:pPr>
              <w:jc w:val="center"/>
              <w:ind w:right="4536"/>
              <w:spacing w:after="0"/>
              <w:rPr>
                <w:sz w:val="20"/>
                <w:szCs w:val="20"/>
                <w:color w:val="auto"/>
              </w:rPr>
            </w:pPr>
            <w:r>
              <w:rPr>
                <w:rFonts w:ascii="Times New Roman" w:cs="Times New Roman" w:eastAsia="Times New Roman" w:hAnsi="Times New Roman"/>
                <w:sz w:val="13"/>
                <w:szCs w:val="13"/>
                <w:color w:val="auto"/>
              </w:rPr>
              <w:t xml:space="preserve">Commission file number:   </w:t>
            </w:r>
            <w:r>
              <w:rPr>
                <w:rFonts w:ascii="Times New Roman" w:cs="Times New Roman" w:eastAsia="Times New Roman" w:hAnsi="Times New Roman"/>
                <w:sz w:val="13"/>
                <w:szCs w:val="13"/>
                <w:b w:val="1"/>
                <w:bCs w:val="1"/>
                <w:color w:val="auto"/>
              </w:rPr>
              <w:t>001-35593</w:t>
            </w:r>
          </w:p>
        </w:tc>
      </w:tr>
      <w:tr>
        <w:trPr>
          <w:trHeight w:val="323"/>
        </w:trPr>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HOMETRUST BANCSHARES, INC.</w:t>
            </w:r>
          </w:p>
        </w:tc>
        <w:tc>
          <w:tcPr>
            <w:tcW w:w="4600" w:type="dxa"/>
            <w:vAlign w:val="bottom"/>
          </w:tcPr>
          <w:p>
            <w:pPr>
              <w:spacing w:after="0"/>
              <w:rPr>
                <w:sz w:val="24"/>
                <w:szCs w:val="24"/>
                <w:color w:val="auto"/>
              </w:rPr>
            </w:pPr>
          </w:p>
        </w:tc>
      </w:tr>
      <w:tr>
        <w:trPr>
          <w:trHeight w:val="156"/>
        </w:trPr>
        <w:tc>
          <w:tcPr>
            <w:tcW w:w="428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2"/>
              </w:rPr>
              <w:t>(Exact</w:t>
            </w:r>
          </w:p>
        </w:tc>
        <w:tc>
          <w:tcPr>
            <w:tcW w:w="6660" w:type="dxa"/>
            <w:vAlign w:val="bottom"/>
            <w:gridSpan w:val="4"/>
          </w:tcPr>
          <w:p>
            <w:pPr>
              <w:jc w:val="right"/>
              <w:ind w:right="4256"/>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tc>
      </w:tr>
      <w:tr>
        <w:trPr>
          <w:trHeight w:val="257"/>
        </w:trPr>
        <w:tc>
          <w:tcPr>
            <w:tcW w:w="4280" w:type="dxa"/>
            <w:vAlign w:val="bottom"/>
          </w:tcPr>
          <w:p>
            <w:pPr>
              <w:jc w:val="center"/>
              <w:ind w:left="1076"/>
              <w:spacing w:after="0"/>
              <w:rPr>
                <w:sz w:val="20"/>
                <w:szCs w:val="20"/>
                <w:color w:val="auto"/>
              </w:rPr>
            </w:pPr>
            <w:r>
              <w:rPr>
                <w:rFonts w:ascii="Times New Roman" w:cs="Times New Roman" w:eastAsia="Times New Roman" w:hAnsi="Times New Roman"/>
                <w:sz w:val="13"/>
                <w:szCs w:val="13"/>
                <w:b w:val="1"/>
                <w:bCs w:val="1"/>
                <w:color w:val="auto"/>
                <w:w w:val="97"/>
              </w:rPr>
              <w:t>Maryland</w:t>
            </w:r>
          </w:p>
        </w:tc>
        <w:tc>
          <w:tcPr>
            <w:tcW w:w="7000" w:type="dxa"/>
            <w:vAlign w:val="bottom"/>
            <w:gridSpan w:val="5"/>
          </w:tcPr>
          <w:p>
            <w:pPr>
              <w:jc w:val="right"/>
              <w:ind w:right="2176"/>
              <w:spacing w:after="0"/>
              <w:rPr>
                <w:sz w:val="20"/>
                <w:szCs w:val="20"/>
                <w:color w:val="auto"/>
              </w:rPr>
            </w:pPr>
            <w:r>
              <w:rPr>
                <w:rFonts w:ascii="Times New Roman" w:cs="Times New Roman" w:eastAsia="Times New Roman" w:hAnsi="Times New Roman"/>
                <w:sz w:val="13"/>
                <w:szCs w:val="13"/>
                <w:b w:val="1"/>
                <w:bCs w:val="1"/>
                <w:color w:val="auto"/>
              </w:rPr>
              <w:t>45-5055422</w:t>
            </w:r>
          </w:p>
        </w:tc>
      </w:tr>
      <w:tr>
        <w:trPr>
          <w:trHeight w:val="158"/>
        </w:trPr>
        <w:tc>
          <w:tcPr>
            <w:tcW w:w="4280" w:type="dxa"/>
            <w:vAlign w:val="bottom"/>
            <w:tcBorders>
              <w:top w:val="single" w:sz="8" w:color="auto"/>
            </w:tcBorders>
          </w:tcPr>
          <w:p>
            <w:pPr>
              <w:jc w:val="center"/>
              <w:ind w:left="1076"/>
              <w:spacing w:after="0"/>
              <w:rPr>
                <w:sz w:val="20"/>
                <w:szCs w:val="20"/>
                <w:color w:val="auto"/>
              </w:rPr>
            </w:pPr>
            <w:r>
              <w:rPr>
                <w:rFonts w:ascii="Times New Roman" w:cs="Times New Roman" w:eastAsia="Times New Roman" w:hAnsi="Times New Roman"/>
                <w:sz w:val="13"/>
                <w:szCs w:val="13"/>
                <w:color w:val="auto"/>
                <w:w w:val="98"/>
              </w:rPr>
              <w:t>(State or other jurisdiction of incorporation of organization)</w:t>
            </w: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600" w:type="dxa"/>
            <w:vAlign w:val="bottom"/>
            <w:tcBorders>
              <w:top w:val="single" w:sz="8" w:color="auto"/>
            </w:tcBorders>
          </w:tcPr>
          <w:p>
            <w:pPr>
              <w:jc w:val="right"/>
              <w:ind w:right="1716"/>
              <w:spacing w:after="0"/>
              <w:rPr>
                <w:sz w:val="20"/>
                <w:szCs w:val="20"/>
                <w:color w:val="auto"/>
              </w:rPr>
            </w:pPr>
            <w:r>
              <w:rPr>
                <w:rFonts w:ascii="Times New Roman" w:cs="Times New Roman" w:eastAsia="Times New Roman" w:hAnsi="Times New Roman"/>
                <w:sz w:val="13"/>
                <w:szCs w:val="13"/>
                <w:color w:val="auto"/>
              </w:rPr>
              <w:t>(I.R.S. Employer Identification No.)</w:t>
            </w:r>
          </w:p>
        </w:tc>
      </w:tr>
    </w:tbl>
    <w:p>
      <w:pPr>
        <w:spacing w:after="0" w:line="2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u w:val="single" w:color="auto"/>
          <w:color w:val="auto"/>
        </w:rPr>
        <w:t>10 Woodfin Street, Asheville, North Carolina 28801</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u w:val="single" w:color="auto"/>
          <w:color w:val="auto"/>
        </w:rPr>
        <w:t>(828) 259-3939</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37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Title of each class</w:t>
            </w:r>
          </w:p>
        </w:tc>
        <w:tc>
          <w:tcPr>
            <w:tcW w:w="21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Trading Symbol(s)</w:t>
            </w:r>
          </w:p>
        </w:tc>
        <w:tc>
          <w:tcPr>
            <w:tcW w:w="54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61"/>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 par value $.01 per share</w:t>
            </w:r>
          </w:p>
        </w:tc>
        <w:tc>
          <w:tcPr>
            <w:tcW w:w="2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HTBI</w:t>
            </w:r>
          </w:p>
        </w:tc>
        <w:tc>
          <w:tcPr>
            <w:tcW w:w="5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r>
    </w:tbl>
    <w:p>
      <w:pPr>
        <w:spacing w:after="0" w:line="244" w:lineRule="exact"/>
        <w:rPr>
          <w:sz w:val="24"/>
          <w:szCs w:val="24"/>
          <w:color w:val="auto"/>
        </w:rPr>
      </w:pPr>
    </w:p>
    <w:p>
      <w:pPr>
        <w:jc w:val="both"/>
        <w:ind w:right="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and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5" w:lineRule="exact"/>
        <w:rPr>
          <w:sz w:val="24"/>
          <w:szCs w:val="24"/>
          <w:color w:val="auto"/>
        </w:rPr>
      </w:pPr>
    </w:p>
    <w:p>
      <w:pPr>
        <w:jc w:val="both"/>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65"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5" w:lineRule="exact"/>
        <w:rPr>
          <w:sz w:val="24"/>
          <w:szCs w:val="24"/>
          <w:color w:val="auto"/>
        </w:rPr>
      </w:pPr>
    </w:p>
    <w:tbl>
      <w:tblPr>
        <w:tblLayout w:type="fixed"/>
        <w:tblInd w:w="20" w:type="dxa"/>
        <w:tblCellMar>
          <w:top w:w="0" w:type="dxa"/>
          <w:left w:w="0" w:type="dxa"/>
          <w:bottom w:w="0" w:type="dxa"/>
          <w:right w:w="0" w:type="dxa"/>
        </w:tblCellMar>
      </w:tblPr>
      <w:tr>
        <w:trPr>
          <w:trHeight w:val="214"/>
        </w:trPr>
        <w:tc>
          <w:tcPr>
            <w:tcW w:w="178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tc>
        <w:tc>
          <w:tcPr>
            <w:tcW w:w="7180" w:type="dxa"/>
            <w:vAlign w:val="bottom"/>
          </w:tcPr>
          <w:p>
            <w:pPr>
              <w:ind w:left="582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78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tc>
        <w:tc>
          <w:tcPr>
            <w:tcW w:w="7440" w:type="dxa"/>
            <w:vAlign w:val="bottom"/>
            <w:gridSpan w:val="2"/>
          </w:tcPr>
          <w:p>
            <w:pPr>
              <w:ind w:left="5820"/>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424"/>
        </w:trPr>
        <w:tc>
          <w:tcPr>
            <w:tcW w:w="178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tc>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7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w:t>
            </w:r>
          </w:p>
        </w:tc>
        <w:tc>
          <w:tcPr>
            <w:tcW w:w="260" w:type="dxa"/>
            <w:vAlign w:val="bottom"/>
            <w:vMerge w:val="restart"/>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85"/>
        </w:trPr>
        <w:tc>
          <w:tcPr>
            <w:tcW w:w="1780" w:type="dxa"/>
            <w:vAlign w:val="bottom"/>
          </w:tcPr>
          <w:p>
            <w:pPr>
              <w:spacing w:after="0"/>
              <w:rPr>
                <w:sz w:val="16"/>
                <w:szCs w:val="16"/>
                <w:color w:val="auto"/>
              </w:rPr>
            </w:pPr>
          </w:p>
        </w:tc>
        <w:tc>
          <w:tcPr>
            <w:tcW w:w="7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complying with any new or revised financial accounting standards provided pursuant to Section 13(a) of the Exchange Act.</w:t>
            </w: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There were 17,529,922 shares of common stock, par value of $0.01 per share, issued and outstanding as of November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458470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08" w:right="29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HOMETRUST BANCSHARES, INC. AND SUBSIDIARIES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 10-Q</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75"/>
        </w:trPr>
        <w:tc>
          <w:tcPr>
            <w:tcW w:w="2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3"/>
                <w:szCs w:val="13"/>
                <w:b w:val="1"/>
                <w:bCs w:val="1"/>
                <w:color w:val="0000FF"/>
                <w:w w:val="96"/>
              </w:rPr>
              <w:t>PART I FINANCIAL INFORMATION</w:t>
            </w:r>
          </w:p>
        </w:tc>
        <w:tc>
          <w:tcPr>
            <w:tcW w:w="8320" w:type="dxa"/>
            <w:vAlign w:val="bottom"/>
            <w:gridSpan w:val="11"/>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5"/>
        </w:trPr>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w:t>
            </w:r>
          </w:p>
        </w:tc>
        <w:tc>
          <w:tcPr>
            <w:tcW w:w="10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7"/>
              </w:rPr>
              <w:t>Financial Statements</w:t>
            </w:r>
          </w:p>
        </w:tc>
        <w:tc>
          <w:tcPr>
            <w:tcW w:w="8360" w:type="dxa"/>
            <w:vAlign w:val="bottom"/>
            <w:gridSpan w:val="12"/>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40" w:type="dxa"/>
            <w:vAlign w:val="bottom"/>
            <w:gridSpan w:val="17"/>
          </w:tcPr>
          <w:p>
            <w:pPr>
              <w:spacing w:after="0"/>
              <w:rPr>
                <w:sz w:val="20"/>
                <w:szCs w:val="20"/>
                <w:color w:val="auto"/>
              </w:rPr>
            </w:pPr>
            <w:r>
              <w:rPr>
                <w:rFonts w:ascii="Times New Roman" w:cs="Times New Roman" w:eastAsia="Times New Roman" w:hAnsi="Times New Roman"/>
                <w:sz w:val="13"/>
                <w:szCs w:val="13"/>
                <w:color w:val="0000FF"/>
              </w:rPr>
              <w:t>Consolidated Balance Sheets at September 30, 2024 (Unaudited) and December 31, 2023</w:t>
            </w:r>
          </w:p>
        </w:tc>
        <w:tc>
          <w:tcPr>
            <w:tcW w:w="440" w:type="dxa"/>
            <w:vAlign w:val="bottom"/>
            <w:gridSpan w:val="2"/>
          </w:tcPr>
          <w:p>
            <w:pPr>
              <w:jc w:val="center"/>
              <w:ind w:left="296"/>
              <w:spacing w:after="0"/>
              <w:rPr>
                <w:sz w:val="20"/>
                <w:szCs w:val="20"/>
                <w:color w:val="auto"/>
              </w:rPr>
            </w:pPr>
            <w:r>
              <w:rPr>
                <w:rFonts w:ascii="Times New Roman" w:cs="Times New Roman" w:eastAsia="Times New Roman" w:hAnsi="Times New Roman"/>
                <w:sz w:val="13"/>
                <w:szCs w:val="13"/>
                <w:color w:val="0000FF"/>
              </w:rPr>
              <w:t>3</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3"/>
                <w:szCs w:val="13"/>
                <w:color w:val="0000FF"/>
                <w:w w:val="97"/>
              </w:rPr>
              <w:t>Consolidated Statements of Income (Unaudited) for the Three and Nine Months Ended September 30, 2024 and 2023</w:t>
            </w:r>
          </w:p>
        </w:tc>
        <w:tc>
          <w:tcPr>
            <w:tcW w:w="336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rPr>
              <w:t>4</w:t>
            </w:r>
          </w:p>
        </w:tc>
        <w:tc>
          <w:tcPr>
            <w:tcW w:w="360" w:type="dxa"/>
            <w:vAlign w:val="bottom"/>
          </w:tcPr>
          <w:p>
            <w:pPr>
              <w:spacing w:after="0"/>
              <w:rPr>
                <w:sz w:val="24"/>
                <w:szCs w:val="24"/>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3"/>
                <w:szCs w:val="13"/>
                <w:color w:val="0000FF"/>
                <w:w w:val="97"/>
              </w:rPr>
              <w:t>Consolidated Statements of Comprehensive Income (Unaudited) for the Three and Nine Months Ended September 30, 2024 and 2023</w:t>
            </w:r>
          </w:p>
        </w:tc>
        <w:tc>
          <w:tcPr>
            <w:tcW w:w="25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rPr>
              <w:t>5</w:t>
            </w:r>
          </w:p>
        </w:tc>
        <w:tc>
          <w:tcPr>
            <w:tcW w:w="360" w:type="dxa"/>
            <w:vAlign w:val="bottom"/>
          </w:tcPr>
          <w:p>
            <w:pPr>
              <w:spacing w:after="0"/>
              <w:rPr>
                <w:sz w:val="24"/>
                <w:szCs w:val="24"/>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3"/>
                <w:szCs w:val="13"/>
                <w:color w:val="0000FF"/>
                <w:w w:val="97"/>
              </w:rPr>
              <w:t>Consolidated Statements of Changes in Stockholders' Equity (Unaudited) for the Three and Nine Months Ended September 30, 2024 and 2023</w:t>
            </w: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rPr>
              <w:t>6</w:t>
            </w:r>
          </w:p>
        </w:tc>
        <w:tc>
          <w:tcPr>
            <w:tcW w:w="360" w:type="dxa"/>
            <w:vAlign w:val="bottom"/>
          </w:tcPr>
          <w:p>
            <w:pPr>
              <w:spacing w:after="0"/>
              <w:rPr>
                <w:sz w:val="24"/>
                <w:szCs w:val="24"/>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3"/>
                <w:szCs w:val="13"/>
                <w:color w:val="0000FF"/>
                <w:w w:val="97"/>
              </w:rPr>
              <w:t>Consolidated Statements of Cash Flows (Unaudited) for the Nine Months Ended September 30, 2024 and 2023</w:t>
            </w:r>
          </w:p>
        </w:tc>
        <w:tc>
          <w:tcPr>
            <w:tcW w:w="368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rPr>
              <w:t>8</w:t>
            </w:r>
          </w:p>
        </w:tc>
        <w:tc>
          <w:tcPr>
            <w:tcW w:w="360" w:type="dxa"/>
            <w:vAlign w:val="bottom"/>
          </w:tcPr>
          <w:p>
            <w:pPr>
              <w:spacing w:after="0"/>
              <w:rPr>
                <w:sz w:val="24"/>
                <w:szCs w:val="24"/>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40" w:type="dxa"/>
            <w:vAlign w:val="bottom"/>
            <w:gridSpan w:val="17"/>
          </w:tcPr>
          <w:p>
            <w:pPr>
              <w:spacing w:after="0"/>
              <w:rPr>
                <w:sz w:val="20"/>
                <w:szCs w:val="20"/>
                <w:color w:val="auto"/>
              </w:rPr>
            </w:pPr>
            <w:r>
              <w:rPr>
                <w:rFonts w:ascii="Times New Roman" w:cs="Times New Roman" w:eastAsia="Times New Roman" w:hAnsi="Times New Roman"/>
                <w:sz w:val="13"/>
                <w:szCs w:val="13"/>
                <w:color w:val="0000FF"/>
              </w:rPr>
              <w:t>Notes to Consolidated Financial Statements</w:t>
            </w:r>
          </w:p>
        </w:tc>
        <w:tc>
          <w:tcPr>
            <w:tcW w:w="44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0000FF"/>
                <w:w w:val="91"/>
              </w:rPr>
              <w:t>10</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2</w:t>
            </w:r>
          </w:p>
        </w:tc>
        <w:tc>
          <w:tcPr>
            <w:tcW w:w="944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Management's Discussion and Analysis of Financial Condition and Results of Operations</w:t>
            </w:r>
          </w:p>
        </w:tc>
        <w:tc>
          <w:tcPr>
            <w:tcW w:w="44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0000FF"/>
                <w:w w:val="91"/>
              </w:rPr>
              <w:t>34</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3</w:t>
            </w:r>
          </w:p>
        </w:tc>
        <w:tc>
          <w:tcPr>
            <w:tcW w:w="3060" w:type="dxa"/>
            <w:vAlign w:val="bottom"/>
            <w:gridSpan w:val="11"/>
          </w:tcPr>
          <w:p>
            <w:pPr>
              <w:spacing w:after="0"/>
              <w:rPr>
                <w:sz w:val="20"/>
                <w:szCs w:val="20"/>
                <w:color w:val="auto"/>
              </w:rPr>
            </w:pPr>
            <w:r>
              <w:rPr>
                <w:rFonts w:ascii="Times New Roman" w:cs="Times New Roman" w:eastAsia="Times New Roman" w:hAnsi="Times New Roman"/>
                <w:sz w:val="13"/>
                <w:szCs w:val="13"/>
                <w:color w:val="0000FF"/>
                <w:w w:val="97"/>
              </w:rPr>
              <w:t>Quantitative and Qualitative Disclosures about Market Risk</w:t>
            </w:r>
          </w:p>
        </w:tc>
        <w:tc>
          <w:tcPr>
            <w:tcW w:w="1500" w:type="dxa"/>
            <w:vAlign w:val="bottom"/>
          </w:tcPr>
          <w:p>
            <w:pPr>
              <w:spacing w:after="0"/>
              <w:rPr>
                <w:sz w:val="24"/>
                <w:szCs w:val="24"/>
                <w:color w:val="auto"/>
              </w:rPr>
            </w:pPr>
          </w:p>
        </w:tc>
        <w:tc>
          <w:tcPr>
            <w:tcW w:w="4880" w:type="dxa"/>
            <w:vAlign w:val="bottom"/>
            <w:gridSpan w:val="6"/>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0000FF"/>
                <w:w w:val="91"/>
              </w:rPr>
              <w:t>45</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4</w:t>
            </w:r>
          </w:p>
        </w:tc>
        <w:tc>
          <w:tcPr>
            <w:tcW w:w="1260" w:type="dxa"/>
            <w:vAlign w:val="bottom"/>
            <w:gridSpan w:val="8"/>
          </w:tcPr>
          <w:p>
            <w:pPr>
              <w:spacing w:after="0"/>
              <w:rPr>
                <w:sz w:val="20"/>
                <w:szCs w:val="20"/>
                <w:color w:val="auto"/>
              </w:rPr>
            </w:pPr>
            <w:r>
              <w:rPr>
                <w:rFonts w:ascii="Times New Roman" w:cs="Times New Roman" w:eastAsia="Times New Roman" w:hAnsi="Times New Roman"/>
                <w:sz w:val="13"/>
                <w:szCs w:val="13"/>
                <w:color w:val="0000FF"/>
                <w:w w:val="96"/>
              </w:rPr>
              <w:t>Controls and Procedures</w:t>
            </w:r>
          </w:p>
        </w:tc>
        <w:tc>
          <w:tcPr>
            <w:tcW w:w="1800" w:type="dxa"/>
            <w:vAlign w:val="bottom"/>
            <w:gridSpan w:val="3"/>
          </w:tcPr>
          <w:p>
            <w:pPr>
              <w:spacing w:after="0"/>
              <w:rPr>
                <w:sz w:val="24"/>
                <w:szCs w:val="24"/>
                <w:color w:val="auto"/>
              </w:rPr>
            </w:pPr>
          </w:p>
        </w:tc>
        <w:tc>
          <w:tcPr>
            <w:tcW w:w="6380" w:type="dxa"/>
            <w:vAlign w:val="bottom"/>
            <w:gridSpan w:val="7"/>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0000FF"/>
                <w:w w:val="91"/>
              </w:rPr>
              <w:t>45</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04"/>
        </w:trPr>
        <w:tc>
          <w:tcPr>
            <w:tcW w:w="10460" w:type="dxa"/>
            <w:vAlign w:val="bottom"/>
            <w:gridSpan w:val="20"/>
          </w:tcPr>
          <w:p>
            <w:pPr>
              <w:spacing w:after="0"/>
              <w:rPr>
                <w:sz w:val="20"/>
                <w:szCs w:val="20"/>
                <w:color w:val="auto"/>
              </w:rPr>
            </w:pPr>
            <w:r>
              <w:rPr>
                <w:rFonts w:ascii="Times New Roman" w:cs="Times New Roman" w:eastAsia="Times New Roman" w:hAnsi="Times New Roman"/>
                <w:sz w:val="13"/>
                <w:szCs w:val="13"/>
                <w:b w:val="1"/>
                <w:bCs w:val="1"/>
                <w:color w:val="0000FF"/>
              </w:rPr>
              <w:t>PART II OTHER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w:t>
            </w:r>
          </w:p>
        </w:tc>
        <w:tc>
          <w:tcPr>
            <w:tcW w:w="940" w:type="dxa"/>
            <w:vAlign w:val="bottom"/>
            <w:gridSpan w:val="5"/>
          </w:tcPr>
          <w:p>
            <w:pPr>
              <w:spacing w:after="0"/>
              <w:rPr>
                <w:sz w:val="20"/>
                <w:szCs w:val="20"/>
                <w:color w:val="auto"/>
              </w:rPr>
            </w:pPr>
            <w:r>
              <w:rPr>
                <w:rFonts w:ascii="Times New Roman" w:cs="Times New Roman" w:eastAsia="Times New Roman" w:hAnsi="Times New Roman"/>
                <w:sz w:val="13"/>
                <w:szCs w:val="13"/>
                <w:color w:val="0000FF"/>
                <w:w w:val="93"/>
              </w:rPr>
              <w:t>Legal Proceedings</w:t>
            </w:r>
          </w:p>
        </w:tc>
        <w:tc>
          <w:tcPr>
            <w:tcW w:w="8500" w:type="dxa"/>
            <w:vAlign w:val="bottom"/>
            <w:gridSpan w:val="13"/>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0000FF"/>
                <w:w w:val="91"/>
              </w:rPr>
              <w:t>46</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1A</w:t>
            </w:r>
          </w:p>
        </w:tc>
        <w:tc>
          <w:tcPr>
            <w:tcW w:w="940" w:type="dxa"/>
            <w:vAlign w:val="bottom"/>
            <w:gridSpan w:val="5"/>
          </w:tcPr>
          <w:p>
            <w:pPr>
              <w:spacing w:after="0"/>
              <w:rPr>
                <w:sz w:val="20"/>
                <w:szCs w:val="20"/>
                <w:color w:val="auto"/>
              </w:rPr>
            </w:pPr>
            <w:r>
              <w:rPr>
                <w:rFonts w:ascii="Times New Roman" w:cs="Times New Roman" w:eastAsia="Times New Roman" w:hAnsi="Times New Roman"/>
                <w:sz w:val="13"/>
                <w:szCs w:val="13"/>
                <w:color w:val="0000FF"/>
              </w:rPr>
              <w:t>Risk Factors</w:t>
            </w:r>
          </w:p>
        </w:tc>
        <w:tc>
          <w:tcPr>
            <w:tcW w:w="8500" w:type="dxa"/>
            <w:vAlign w:val="bottom"/>
            <w:gridSpan w:val="13"/>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0000FF"/>
                <w:w w:val="91"/>
              </w:rPr>
              <w:t>46</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2</w:t>
            </w:r>
          </w:p>
        </w:tc>
        <w:tc>
          <w:tcPr>
            <w:tcW w:w="944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Unregistered Sales of Equity Securities and Use of Proceeds</w:t>
            </w:r>
          </w:p>
        </w:tc>
        <w:tc>
          <w:tcPr>
            <w:tcW w:w="44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0000FF"/>
                <w:w w:val="91"/>
              </w:rPr>
              <w:t>46</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3</w:t>
            </w:r>
          </w:p>
        </w:tc>
        <w:tc>
          <w:tcPr>
            <w:tcW w:w="1660" w:type="dxa"/>
            <w:vAlign w:val="bottom"/>
            <w:gridSpan w:val="9"/>
          </w:tcPr>
          <w:p>
            <w:pPr>
              <w:spacing w:after="0"/>
              <w:rPr>
                <w:sz w:val="20"/>
                <w:szCs w:val="20"/>
                <w:color w:val="auto"/>
              </w:rPr>
            </w:pPr>
            <w:r>
              <w:rPr>
                <w:rFonts w:ascii="Times New Roman" w:cs="Times New Roman" w:eastAsia="Times New Roman" w:hAnsi="Times New Roman"/>
                <w:sz w:val="13"/>
                <w:szCs w:val="13"/>
                <w:color w:val="0000FF"/>
                <w:w w:val="97"/>
              </w:rPr>
              <w:t>Defaults Upon Senior Securities</w:t>
            </w:r>
          </w:p>
        </w:tc>
        <w:tc>
          <w:tcPr>
            <w:tcW w:w="1400" w:type="dxa"/>
            <w:vAlign w:val="bottom"/>
            <w:gridSpan w:val="2"/>
          </w:tcPr>
          <w:p>
            <w:pPr>
              <w:spacing w:after="0"/>
              <w:rPr>
                <w:sz w:val="24"/>
                <w:szCs w:val="24"/>
                <w:color w:val="auto"/>
              </w:rPr>
            </w:pPr>
          </w:p>
        </w:tc>
        <w:tc>
          <w:tcPr>
            <w:tcW w:w="6380" w:type="dxa"/>
            <w:vAlign w:val="bottom"/>
            <w:gridSpan w:val="7"/>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0000FF"/>
                <w:w w:val="91"/>
              </w:rPr>
              <w:t>46</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4</w:t>
            </w:r>
          </w:p>
        </w:tc>
        <w:tc>
          <w:tcPr>
            <w:tcW w:w="1260" w:type="dxa"/>
            <w:vAlign w:val="bottom"/>
            <w:gridSpan w:val="8"/>
          </w:tcPr>
          <w:p>
            <w:pPr>
              <w:spacing w:after="0"/>
              <w:rPr>
                <w:sz w:val="20"/>
                <w:szCs w:val="20"/>
                <w:color w:val="auto"/>
              </w:rPr>
            </w:pPr>
            <w:r>
              <w:rPr>
                <w:rFonts w:ascii="Times New Roman" w:cs="Times New Roman" w:eastAsia="Times New Roman" w:hAnsi="Times New Roman"/>
                <w:sz w:val="13"/>
                <w:szCs w:val="13"/>
                <w:color w:val="0000FF"/>
                <w:w w:val="96"/>
              </w:rPr>
              <w:t>Mine Safety Disclosures</w:t>
            </w:r>
          </w:p>
        </w:tc>
        <w:tc>
          <w:tcPr>
            <w:tcW w:w="400" w:type="dxa"/>
            <w:vAlign w:val="bottom"/>
          </w:tcPr>
          <w:p>
            <w:pPr>
              <w:spacing w:after="0"/>
              <w:rPr>
                <w:sz w:val="24"/>
                <w:szCs w:val="24"/>
                <w:color w:val="auto"/>
              </w:rPr>
            </w:pPr>
          </w:p>
        </w:tc>
        <w:tc>
          <w:tcPr>
            <w:tcW w:w="7780" w:type="dxa"/>
            <w:vAlign w:val="bottom"/>
            <w:gridSpan w:val="9"/>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0000FF"/>
                <w:w w:val="91"/>
              </w:rPr>
              <w:t>46</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5</w:t>
            </w:r>
          </w:p>
        </w:tc>
        <w:tc>
          <w:tcPr>
            <w:tcW w:w="940" w:type="dxa"/>
            <w:vAlign w:val="bottom"/>
            <w:gridSpan w:val="5"/>
          </w:tcPr>
          <w:p>
            <w:pPr>
              <w:spacing w:after="0"/>
              <w:rPr>
                <w:sz w:val="20"/>
                <w:szCs w:val="20"/>
                <w:color w:val="auto"/>
              </w:rPr>
            </w:pPr>
            <w:r>
              <w:rPr>
                <w:rFonts w:ascii="Times New Roman" w:cs="Times New Roman" w:eastAsia="Times New Roman" w:hAnsi="Times New Roman"/>
                <w:sz w:val="13"/>
                <w:szCs w:val="13"/>
                <w:color w:val="0000FF"/>
                <w:w w:val="94"/>
              </w:rPr>
              <w:t>Other Information</w:t>
            </w:r>
          </w:p>
        </w:tc>
        <w:tc>
          <w:tcPr>
            <w:tcW w:w="320" w:type="dxa"/>
            <w:vAlign w:val="bottom"/>
            <w:gridSpan w:val="3"/>
          </w:tcPr>
          <w:p>
            <w:pPr>
              <w:spacing w:after="0"/>
              <w:rPr>
                <w:sz w:val="24"/>
                <w:szCs w:val="24"/>
                <w:color w:val="auto"/>
              </w:rPr>
            </w:pPr>
          </w:p>
        </w:tc>
        <w:tc>
          <w:tcPr>
            <w:tcW w:w="8180" w:type="dxa"/>
            <w:vAlign w:val="bottom"/>
            <w:gridSpan w:val="10"/>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0000FF"/>
                <w:w w:val="91"/>
              </w:rPr>
              <w:t>46</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500" w:type="dxa"/>
            <w:vAlign w:val="bottom"/>
            <w:gridSpan w:val="13"/>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6</w:t>
            </w:r>
          </w:p>
        </w:tc>
        <w:tc>
          <w:tcPr>
            <w:tcW w:w="4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6"/>
              </w:rPr>
              <w:t>Exhibits</w:t>
            </w:r>
          </w:p>
        </w:tc>
        <w:tc>
          <w:tcPr>
            <w:tcW w:w="500" w:type="dxa"/>
            <w:vAlign w:val="bottom"/>
            <w:gridSpan w:val="3"/>
          </w:tcPr>
          <w:p>
            <w:pPr>
              <w:spacing w:after="0"/>
              <w:rPr>
                <w:sz w:val="24"/>
                <w:szCs w:val="24"/>
                <w:color w:val="auto"/>
              </w:rPr>
            </w:pPr>
          </w:p>
        </w:tc>
        <w:tc>
          <w:tcPr>
            <w:tcW w:w="8500" w:type="dxa"/>
            <w:vAlign w:val="bottom"/>
            <w:gridSpan w:val="13"/>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0000FF"/>
                <w:w w:val="91"/>
              </w:rPr>
              <w:t>46</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0000FF"/>
                <w:w w:val="93"/>
              </w:rPr>
              <w:t>SIGNATURES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0000FF"/>
                <w:w w:val="91"/>
              </w:rPr>
              <w:t>49</w:t>
            </w:r>
          </w:p>
        </w:tc>
        <w:tc>
          <w:tcPr>
            <w:tcW w:w="36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2"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color w:val="auto"/>
        </w:rPr>
        <w:t>Glossary of Defined Terms</w:t>
      </w:r>
    </w:p>
    <w:p>
      <w:pPr>
        <w:spacing w:after="0" w:line="33"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3"/>
          <w:szCs w:val="13"/>
          <w:color w:val="auto"/>
        </w:rPr>
        <w:t>The following terms may be used throughout this Form 10-Q, including the Notes to Consolidated Financial Statements in Item 1 and Management's Discussion and Analysis of Financial Condition and Results of Operations in Item 2 of this Form 10-Q.</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Term</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Definition</w:t>
            </w:r>
          </w:p>
        </w:tc>
        <w:tc>
          <w:tcPr>
            <w:tcW w:w="0" w:type="dxa"/>
            <w:vAlign w:val="bottom"/>
          </w:tcPr>
          <w:p>
            <w:pPr>
              <w:spacing w:after="0"/>
              <w:rPr>
                <w:sz w:val="1"/>
                <w:szCs w:val="1"/>
                <w:color w:val="auto"/>
              </w:rPr>
            </w:pPr>
          </w:p>
        </w:tc>
      </w:tr>
      <w:tr>
        <w:trPr>
          <w:trHeight w:val="163"/>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ACL</w:t>
            </w:r>
          </w:p>
        </w:tc>
        <w:tc>
          <w:tcPr>
            <w:tcW w:w="80" w:type="dxa"/>
            <w:vAlign w:val="bottom"/>
            <w:tcBorders>
              <w:top w:val="single" w:sz="8" w:color="CCEEFF"/>
            </w:tcBorders>
            <w:shd w:val="clear" w:color="auto" w:fill="CCEEFF"/>
          </w:tcPr>
          <w:p>
            <w:pPr>
              <w:spacing w:after="0"/>
              <w:rPr>
                <w:sz w:val="14"/>
                <w:szCs w:val="14"/>
                <w:color w:val="auto"/>
              </w:rPr>
            </w:pPr>
          </w:p>
        </w:tc>
        <w:tc>
          <w:tcPr>
            <w:tcW w:w="8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AFS</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Available-For-Sale</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ASC</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Accounting Standards Codification</w:t>
            </w: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ASU</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Accounting Standards Update</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BOLI</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Bank Owned Life Insurance</w:t>
            </w:r>
          </w:p>
        </w:tc>
        <w:tc>
          <w:tcPr>
            <w:tcW w:w="0" w:type="dxa"/>
            <w:vAlign w:val="bottom"/>
          </w:tcPr>
          <w:p>
            <w:pPr>
              <w:spacing w:after="0"/>
              <w:rPr>
                <w:sz w:val="1"/>
                <w:szCs w:val="1"/>
                <w:color w:val="auto"/>
              </w:rPr>
            </w:pPr>
          </w:p>
        </w:tc>
      </w:tr>
      <w:tr>
        <w:trPr>
          <w:trHeight w:val="165"/>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CD</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Certificate of Deposit</w:t>
            </w:r>
          </w:p>
        </w:tc>
        <w:tc>
          <w:tcPr>
            <w:tcW w:w="0" w:type="dxa"/>
            <w:vAlign w:val="bottom"/>
          </w:tcPr>
          <w:p>
            <w:pPr>
              <w:spacing w:after="0"/>
              <w:rPr>
                <w:sz w:val="1"/>
                <w:szCs w:val="1"/>
                <w:color w:val="auto"/>
              </w:rPr>
            </w:pPr>
          </w:p>
        </w:tc>
      </w:tr>
      <w:tr>
        <w:trPr>
          <w:trHeight w:val="129"/>
        </w:trPr>
        <w:tc>
          <w:tcPr>
            <w:tcW w:w="2440" w:type="dxa"/>
            <w:vAlign w:val="bottom"/>
            <w:gridSpan w:val="2"/>
            <w:vMerge w:val="continue"/>
          </w:tcPr>
          <w:p>
            <w:pPr>
              <w:spacing w:after="0"/>
              <w:rPr>
                <w:sz w:val="11"/>
                <w:szCs w:val="11"/>
                <w:color w:val="auto"/>
              </w:rPr>
            </w:pPr>
          </w:p>
        </w:tc>
        <w:tc>
          <w:tcPr>
            <w:tcW w:w="8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CDA</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Collateral Dependent Asset</w:t>
            </w: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CECL</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Expected Credit Losses</w:t>
            </w:r>
          </w:p>
        </w:tc>
        <w:tc>
          <w:tcPr>
            <w:tcW w:w="0" w:type="dxa"/>
            <w:vAlign w:val="bottom"/>
          </w:tcPr>
          <w:p>
            <w:pPr>
              <w:spacing w:after="0"/>
              <w:rPr>
                <w:sz w:val="1"/>
                <w:szCs w:val="1"/>
                <w:color w:val="auto"/>
              </w:rPr>
            </w:pPr>
          </w:p>
        </w:tc>
      </w:tr>
      <w:tr>
        <w:trPr>
          <w:trHeight w:val="168"/>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CET1</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Equity Tier 1</w:t>
            </w:r>
          </w:p>
        </w:tc>
        <w:tc>
          <w:tcPr>
            <w:tcW w:w="0" w:type="dxa"/>
            <w:vAlign w:val="bottom"/>
          </w:tcPr>
          <w:p>
            <w:pPr>
              <w:spacing w:after="0"/>
              <w:rPr>
                <w:sz w:val="1"/>
                <w:szCs w:val="1"/>
                <w:color w:val="auto"/>
              </w:rPr>
            </w:pPr>
          </w:p>
        </w:tc>
      </w:tr>
      <w:tr>
        <w:trPr>
          <w:trHeight w:val="132"/>
        </w:trPr>
        <w:tc>
          <w:tcPr>
            <w:tcW w:w="2440" w:type="dxa"/>
            <w:vAlign w:val="bottom"/>
            <w:gridSpan w:val="2"/>
            <w:vMerge w:val="continue"/>
            <w:shd w:val="clear" w:color="auto" w:fill="CCEEFF"/>
          </w:tcPr>
          <w:p>
            <w:pPr>
              <w:spacing w:after="0"/>
              <w:rPr>
                <w:sz w:val="11"/>
                <w:szCs w:val="11"/>
                <w:color w:val="auto"/>
              </w:rPr>
            </w:pPr>
          </w:p>
        </w:tc>
        <w:tc>
          <w:tcPr>
            <w:tcW w:w="8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COVID-19</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Coronavirus Disease 2019</w:t>
            </w:r>
          </w:p>
        </w:tc>
        <w:tc>
          <w:tcPr>
            <w:tcW w:w="0" w:type="dxa"/>
            <w:vAlign w:val="bottom"/>
          </w:tcPr>
          <w:p>
            <w:pPr>
              <w:spacing w:after="0"/>
              <w:rPr>
                <w:sz w:val="1"/>
                <w:szCs w:val="1"/>
                <w:color w:val="auto"/>
              </w:rPr>
            </w:pPr>
          </w:p>
        </w:tc>
      </w:tr>
      <w:tr>
        <w:trPr>
          <w:trHeight w:val="129"/>
        </w:trPr>
        <w:tc>
          <w:tcPr>
            <w:tcW w:w="2440" w:type="dxa"/>
            <w:vAlign w:val="bottom"/>
            <w:gridSpan w:val="2"/>
            <w:vMerge w:val="continue"/>
          </w:tcPr>
          <w:p>
            <w:pPr>
              <w:spacing w:after="0"/>
              <w:rPr>
                <w:sz w:val="11"/>
                <w:szCs w:val="11"/>
                <w:color w:val="auto"/>
              </w:rPr>
            </w:pPr>
          </w:p>
        </w:tc>
        <w:tc>
          <w:tcPr>
            <w:tcW w:w="8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DCF</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Discounted Cash Flows</w:t>
            </w: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Dodd-Frank Act</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Dodd-Frank Wall Street Reform and Consumer Protection Act</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ECL</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Credit Losses</w:t>
            </w: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EPS</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Earnings Per Share</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ESOP</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Stock Ownership Plan</w:t>
            </w: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FASB</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Financial Accounting Standards Board</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FDIC</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Deposit Insurance Corporation</w:t>
            </w: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Federal Reserve</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Board of Governors of the Federal Reserve System</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FHLB or FHLB of Atlanta</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Home Loan Bank</w:t>
            </w: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FRB</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Federal Reserve Bank of Richmond</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GSE</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Government-Sponsored Enterprises</w:t>
            </w: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HELOC</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Home Equity Line of Credit</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IRLC</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Lock Commitments</w:t>
            </w:r>
          </w:p>
        </w:tc>
        <w:tc>
          <w:tcPr>
            <w:tcW w:w="0" w:type="dxa"/>
            <w:vAlign w:val="bottom"/>
          </w:tcPr>
          <w:p>
            <w:pPr>
              <w:spacing w:after="0"/>
              <w:rPr>
                <w:sz w:val="1"/>
                <w:szCs w:val="1"/>
                <w:color w:val="auto"/>
              </w:rPr>
            </w:pPr>
          </w:p>
        </w:tc>
      </w:tr>
      <w:tr>
        <w:trPr>
          <w:trHeight w:val="165"/>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MBS</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Mortgage-Backed Security</w:t>
            </w:r>
          </w:p>
        </w:tc>
        <w:tc>
          <w:tcPr>
            <w:tcW w:w="0" w:type="dxa"/>
            <w:vAlign w:val="bottom"/>
          </w:tcPr>
          <w:p>
            <w:pPr>
              <w:spacing w:after="0"/>
              <w:rPr>
                <w:sz w:val="1"/>
                <w:szCs w:val="1"/>
                <w:color w:val="auto"/>
              </w:rPr>
            </w:pPr>
          </w:p>
        </w:tc>
      </w:tr>
      <w:tr>
        <w:trPr>
          <w:trHeight w:val="129"/>
        </w:trPr>
        <w:tc>
          <w:tcPr>
            <w:tcW w:w="2440" w:type="dxa"/>
            <w:vAlign w:val="bottom"/>
            <w:gridSpan w:val="2"/>
            <w:vMerge w:val="continue"/>
          </w:tcPr>
          <w:p>
            <w:pPr>
              <w:spacing w:after="0"/>
              <w:rPr>
                <w:sz w:val="11"/>
                <w:szCs w:val="11"/>
                <w:color w:val="auto"/>
              </w:rPr>
            </w:pPr>
          </w:p>
        </w:tc>
        <w:tc>
          <w:tcPr>
            <w:tcW w:w="8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NCCOB</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North Carolina Office of the Commissioner of Banks</w:t>
            </w:r>
          </w:p>
        </w:tc>
        <w:tc>
          <w:tcPr>
            <w:tcW w:w="0" w:type="dxa"/>
            <w:vAlign w:val="bottom"/>
          </w:tcPr>
          <w:p>
            <w:pPr>
              <w:spacing w:after="0"/>
              <w:rPr>
                <w:sz w:val="1"/>
                <w:szCs w:val="1"/>
                <w:color w:val="auto"/>
              </w:rPr>
            </w:pPr>
          </w:p>
        </w:tc>
      </w:tr>
      <w:tr>
        <w:trPr>
          <w:trHeight w:val="132"/>
        </w:trPr>
        <w:tc>
          <w:tcPr>
            <w:tcW w:w="2440" w:type="dxa"/>
            <w:vAlign w:val="bottom"/>
            <w:gridSpan w:val="2"/>
            <w:vMerge w:val="continue"/>
            <w:shd w:val="clear" w:color="auto" w:fill="CCEEFF"/>
          </w:tcPr>
          <w:p>
            <w:pPr>
              <w:spacing w:after="0"/>
              <w:rPr>
                <w:sz w:val="11"/>
                <w:szCs w:val="11"/>
                <w:color w:val="auto"/>
              </w:rPr>
            </w:pPr>
          </w:p>
        </w:tc>
        <w:tc>
          <w:tcPr>
            <w:tcW w:w="8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OREO</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Real Estate Owned</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PCD</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Purchased Financial Assets with Credit Deterioration</w:t>
            </w: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Quantum</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Quantum Capital Corp. and its wholly owned subsidiary, Quantum National Bank</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ROA</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Return on Assets</w:t>
            </w: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ROE</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Return on Equity</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ROU</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 of Use</w:t>
            </w: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RSU</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Small Business Administration</w:t>
            </w: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SBIC</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Small Business Investment Companies</w:t>
            </w:r>
          </w:p>
        </w:tc>
        <w:tc>
          <w:tcPr>
            <w:tcW w:w="0" w:type="dxa"/>
            <w:vAlign w:val="bottom"/>
          </w:tcPr>
          <w:p>
            <w:pPr>
              <w:spacing w:after="0"/>
              <w:rPr>
                <w:sz w:val="1"/>
                <w:szCs w:val="1"/>
                <w:color w:val="auto"/>
              </w:rPr>
            </w:pPr>
          </w:p>
        </w:tc>
      </w:tr>
      <w:tr>
        <w:trPr>
          <w:trHeight w:val="168"/>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Securities and Exchange Commission</w:t>
            </w:r>
          </w:p>
        </w:tc>
        <w:tc>
          <w:tcPr>
            <w:tcW w:w="0" w:type="dxa"/>
            <w:vAlign w:val="bottom"/>
          </w:tcPr>
          <w:p>
            <w:pPr>
              <w:spacing w:after="0"/>
              <w:rPr>
                <w:sz w:val="1"/>
                <w:szCs w:val="1"/>
                <w:color w:val="auto"/>
              </w:rPr>
            </w:pPr>
          </w:p>
        </w:tc>
      </w:tr>
      <w:tr>
        <w:trPr>
          <w:trHeight w:val="132"/>
        </w:trPr>
        <w:tc>
          <w:tcPr>
            <w:tcW w:w="2440" w:type="dxa"/>
            <w:vAlign w:val="bottom"/>
            <w:gridSpan w:val="2"/>
            <w:vMerge w:val="continue"/>
            <w:shd w:val="clear" w:color="auto" w:fill="CCEEFF"/>
          </w:tcPr>
          <w:p>
            <w:pPr>
              <w:spacing w:after="0"/>
              <w:rPr>
                <w:sz w:val="11"/>
                <w:szCs w:val="11"/>
                <w:color w:val="auto"/>
              </w:rPr>
            </w:pPr>
          </w:p>
        </w:tc>
        <w:tc>
          <w:tcPr>
            <w:tcW w:w="8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Secured Overnight Financing Rate</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TBA</w:t>
            </w: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To-be-announced</w:t>
            </w:r>
          </w:p>
        </w:tc>
        <w:tc>
          <w:tcPr>
            <w:tcW w:w="0" w:type="dxa"/>
            <w:vAlign w:val="bottom"/>
          </w:tcPr>
          <w:p>
            <w:pPr>
              <w:spacing w:after="0"/>
              <w:rPr>
                <w:sz w:val="1"/>
                <w:szCs w:val="1"/>
                <w:color w:val="auto"/>
              </w:rPr>
            </w:pPr>
          </w:p>
        </w:tc>
      </w:tr>
      <w:tr>
        <w:trPr>
          <w:trHeight w:val="165"/>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US GAAP</w:t>
            </w:r>
          </w:p>
        </w:tc>
        <w:tc>
          <w:tcPr>
            <w:tcW w:w="8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Generally Accepted Accounting Principles in the United States</w:t>
            </w:r>
          </w:p>
        </w:tc>
        <w:tc>
          <w:tcPr>
            <w:tcW w:w="0" w:type="dxa"/>
            <w:vAlign w:val="bottom"/>
          </w:tcPr>
          <w:p>
            <w:pPr>
              <w:spacing w:after="0"/>
              <w:rPr>
                <w:sz w:val="1"/>
                <w:szCs w:val="1"/>
                <w:color w:val="auto"/>
              </w:rPr>
            </w:pPr>
          </w:p>
        </w:tc>
      </w:tr>
      <w:tr>
        <w:trPr>
          <w:trHeight w:val="127"/>
        </w:trPr>
        <w:tc>
          <w:tcPr>
            <w:tcW w:w="2440" w:type="dxa"/>
            <w:vAlign w:val="bottom"/>
            <w:gridSpan w:val="2"/>
            <w:vMerge w:val="continue"/>
          </w:tcPr>
          <w:p>
            <w:pPr>
              <w:spacing w:after="0"/>
              <w:rPr>
                <w:sz w:val="11"/>
                <w:szCs w:val="11"/>
                <w:color w:val="auto"/>
              </w:rPr>
            </w:pPr>
          </w:p>
        </w:tc>
        <w:tc>
          <w:tcPr>
            <w:tcW w:w="8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7"/>
        </w:trPr>
        <w:tc>
          <w:tcPr>
            <w:tcW w:w="7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PART I. FINANCIAL INFORMATION</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 Financial Statements</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4120"/>
              <w:spacing w:after="0"/>
              <w:rPr>
                <w:sz w:val="20"/>
                <w:szCs w:val="20"/>
                <w:color w:val="auto"/>
              </w:rPr>
            </w:pPr>
            <w:r>
              <w:rPr>
                <w:rFonts w:ascii="Times New Roman" w:cs="Times New Roman" w:eastAsia="Times New Roman" w:hAnsi="Times New Roman"/>
                <w:sz w:val="13"/>
                <w:szCs w:val="13"/>
                <w:color w:val="auto"/>
              </w:rPr>
              <w:t>HOMETRUST BANCSHARES, INC. AND SUBSIDIARY</w:t>
            </w: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7640" w:type="dxa"/>
            <w:vAlign w:val="bottom"/>
          </w:tcPr>
          <w:p>
            <w:pPr>
              <w:ind w:left="4900"/>
              <w:spacing w:after="0"/>
              <w:rPr>
                <w:sz w:val="20"/>
                <w:szCs w:val="20"/>
                <w:color w:val="auto"/>
              </w:rPr>
            </w:pPr>
            <w:r>
              <w:rPr>
                <w:rFonts w:ascii="Times New Roman" w:cs="Times New Roman" w:eastAsia="Times New Roman" w:hAnsi="Times New Roman"/>
                <w:sz w:val="13"/>
                <w:szCs w:val="13"/>
                <w:color w:val="auto"/>
              </w:rPr>
              <w:t>Consolidated Balance Sheets</w:t>
            </w: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640" w:type="dxa"/>
            <w:vAlign w:val="bottom"/>
          </w:tcPr>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September 30, 2024</w:t>
            </w:r>
          </w:p>
        </w:tc>
        <w:tc>
          <w:tcPr>
            <w:tcW w:w="22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52"/>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18,980</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Interest-bearing deposits</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274,497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328,833</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293,477</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347,140</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Certificates of deposit in other banks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34,722</w:t>
            </w:r>
          </w:p>
        </w:tc>
        <w:tc>
          <w:tcPr>
            <w:tcW w:w="0" w:type="dxa"/>
            <w:vAlign w:val="bottom"/>
          </w:tcPr>
          <w:p>
            <w:pPr>
              <w:spacing w:after="0"/>
              <w:rPr>
                <w:sz w:val="1"/>
                <w:szCs w:val="1"/>
                <w:color w:val="auto"/>
              </w:rPr>
            </w:pPr>
          </w:p>
        </w:tc>
      </w:tr>
      <w:tr>
        <w:trPr>
          <w:trHeight w:val="127"/>
        </w:trPr>
        <w:tc>
          <w:tcPr>
            <w:tcW w:w="76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auto"/>
              </w:rPr>
              <w:t>Debt securities available for sale, at fair value (amortized cost of $140,486 and $128,964 at September 30, 2024 and December 31, 2023,</w:t>
            </w:r>
          </w:p>
        </w:tc>
        <w:tc>
          <w:tcPr>
            <w:tcW w:w="2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140,552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126,950</w:t>
            </w:r>
          </w:p>
        </w:tc>
        <w:tc>
          <w:tcPr>
            <w:tcW w:w="0" w:type="dxa"/>
            <w:vAlign w:val="bottom"/>
          </w:tcPr>
          <w:p>
            <w:pPr>
              <w:spacing w:after="0"/>
              <w:rPr>
                <w:sz w:val="1"/>
                <w:szCs w:val="1"/>
                <w:color w:val="auto"/>
              </w:rPr>
            </w:pPr>
          </w:p>
        </w:tc>
      </w:tr>
      <w:tr>
        <w:trPr>
          <w:trHeight w:val="168"/>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respectively)</w:t>
            </w:r>
          </w:p>
        </w:tc>
        <w:tc>
          <w:tcPr>
            <w:tcW w:w="2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FHLB and FRB stock</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18,393</w:t>
            </w: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SBIC investments, at cost</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13,789</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Loans held for sale, at fair value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 held for sale, at the lower of cost or fair value</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189,722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198,433</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Loans, net of deferred loan fees and costs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3,698,892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3,640,022</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Allowance for credit losses – loans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(48,131)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(48,641)</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Loans, net</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3,650,761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3,591,381</w:t>
            </w:r>
          </w:p>
        </w:tc>
        <w:tc>
          <w:tcPr>
            <w:tcW w:w="0" w:type="dxa"/>
            <w:vAlign w:val="bottom"/>
          </w:tcPr>
          <w:p>
            <w:pPr>
              <w:spacing w:after="0"/>
              <w:rPr>
                <w:sz w:val="1"/>
                <w:szCs w:val="1"/>
                <w:color w:val="auto"/>
              </w:rPr>
            </w:pPr>
          </w:p>
        </w:tc>
      </w:tr>
      <w:tr>
        <w:trPr>
          <w:trHeight w:val="158"/>
        </w:trPr>
        <w:tc>
          <w:tcPr>
            <w:tcW w:w="7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Premises and equipment, net</w:t>
            </w: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69,603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70,937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17,523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16,902</w:t>
            </w: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11,796</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BOLI</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88,257</w:t>
            </w: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34,111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Core deposit intangibles, net</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9,059</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68,130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107,404</w:t>
            </w:r>
          </w:p>
        </w:tc>
        <w:tc>
          <w:tcPr>
            <w:tcW w:w="0" w:type="dxa"/>
            <w:vAlign w:val="bottom"/>
          </w:tcPr>
          <w:p>
            <w:pPr>
              <w:spacing w:after="0"/>
              <w:rPr>
                <w:sz w:val="1"/>
                <w:szCs w:val="1"/>
                <w:color w:val="auto"/>
              </w:rPr>
            </w:pPr>
          </w:p>
        </w:tc>
      </w:tr>
      <w:tr>
        <w:trPr>
          <w:trHeight w:val="188"/>
        </w:trPr>
        <w:tc>
          <w:tcPr>
            <w:tcW w:w="7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4,637,293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4,672,633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Deposits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3,761,588</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3,661,373</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10,021</w:t>
            </w: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260,013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433,763</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65,592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67,583</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4,097,289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4,172,740</w:t>
            </w:r>
          </w:p>
        </w:tc>
        <w:tc>
          <w:tcPr>
            <w:tcW w:w="0" w:type="dxa"/>
            <w:vAlign w:val="bottom"/>
          </w:tcPr>
          <w:p>
            <w:pPr>
              <w:spacing w:after="0"/>
              <w:rPr>
                <w:sz w:val="1"/>
                <w:szCs w:val="1"/>
                <w:color w:val="auto"/>
              </w:rPr>
            </w:pPr>
          </w:p>
        </w:tc>
      </w:tr>
      <w:tr>
        <w:trPr>
          <w:trHeight w:val="15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 See Note 12</w:t>
            </w:r>
          </w:p>
        </w:tc>
        <w:tc>
          <w:tcPr>
            <w:tcW w:w="2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Preferred stock, $0.01 par value, 10,000,000 shares authorized, none issued or outstanding</w:t>
            </w:r>
          </w:p>
        </w:tc>
        <w:tc>
          <w:tcPr>
            <w:tcW w:w="22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76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auto"/>
              </w:rPr>
              <w:t>Common stock, $0.01 par value, 60,000,000 shares authorized, 17,514,922 shares issued and outstanding at September 30, 2024; 17,387,069 at</w:t>
            </w:r>
          </w:p>
        </w:tc>
        <w:tc>
          <w:tcPr>
            <w:tcW w:w="2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68"/>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December 31, 2023</w:t>
            </w:r>
          </w:p>
        </w:tc>
        <w:tc>
          <w:tcPr>
            <w:tcW w:w="2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Additional paid in capital</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175,495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172,366</w:t>
            </w: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Retained earnings</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368,383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333,401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Unearned ESOP shares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(4,497)</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2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540,004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499,893</w:t>
            </w:r>
          </w:p>
        </w:tc>
        <w:tc>
          <w:tcPr>
            <w:tcW w:w="0" w:type="dxa"/>
            <w:vAlign w:val="bottom"/>
          </w:tcPr>
          <w:p>
            <w:pPr>
              <w:spacing w:after="0"/>
              <w:rPr>
                <w:sz w:val="1"/>
                <w:szCs w:val="1"/>
                <w:color w:val="auto"/>
              </w:rPr>
            </w:pPr>
          </w:p>
        </w:tc>
      </w:tr>
      <w:tr>
        <w:trPr>
          <w:trHeight w:val="163"/>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4,637,293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4,672,633</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3"/>
          <w:szCs w:val="13"/>
          <w:color w:val="auto"/>
        </w:rPr>
        <w:t>Consolidated Statements of Income</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jc w:val="center"/>
              <w:ind w:left="616"/>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900" w:type="dxa"/>
            <w:vAlign w:val="bottom"/>
          </w:tcPr>
          <w:p>
            <w:pPr>
              <w:spacing w:after="0"/>
              <w:rPr>
                <w:sz w:val="14"/>
                <w:szCs w:val="14"/>
                <w:color w:val="auto"/>
              </w:rPr>
            </w:pPr>
          </w:p>
        </w:tc>
      </w:tr>
      <w:tr>
        <w:trPr>
          <w:trHeight w:val="172"/>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w:t>
            </w:r>
          </w:p>
        </w:tc>
        <w:tc>
          <w:tcPr>
            <w:tcW w:w="240" w:type="dxa"/>
            <w:vAlign w:val="bottom"/>
          </w:tcPr>
          <w:p>
            <w:pPr>
              <w:spacing w:after="0"/>
              <w:rPr>
                <w:sz w:val="14"/>
                <w:szCs w:val="14"/>
                <w:color w:val="auto"/>
              </w:rPr>
            </w:pPr>
          </w:p>
        </w:tc>
        <w:tc>
          <w:tcPr>
            <w:tcW w:w="2440" w:type="dxa"/>
            <w:vAlign w:val="bottom"/>
            <w:gridSpan w:val="4"/>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57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and dividend income</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8"/>
        </w:trPr>
        <w:tc>
          <w:tcPr>
            <w:tcW w:w="5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63,305</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58,496</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185,418</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162,526</w:t>
            </w:r>
          </w:p>
        </w:tc>
      </w:tr>
      <w:tr>
        <w:trPr>
          <w:trHeight w:val="17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3,780</w:t>
            </w:r>
          </w:p>
        </w:tc>
      </w:tr>
      <w:tr>
        <w:trPr>
          <w:trHeight w:val="168"/>
        </w:trPr>
        <w:tc>
          <w:tcPr>
            <w:tcW w:w="5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 investments and interest-bearing deposits</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5,356</w:t>
            </w:r>
          </w:p>
        </w:tc>
      </w:tr>
      <w:tr>
        <w:trPr>
          <w:trHeight w:val="163"/>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interest and dividend income</w:t>
            </w: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66,649</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61,865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195,418</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171,662</w:t>
            </w:r>
          </w:p>
        </w:tc>
      </w:tr>
      <w:tr>
        <w:trPr>
          <w:trHeight w:val="201"/>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7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Deposits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23,692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65,693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36,955</w:t>
            </w:r>
          </w:p>
        </w:tc>
      </w:tr>
      <w:tr>
        <w:trPr>
          <w:trHeight w:val="168"/>
        </w:trPr>
        <w:tc>
          <w:tcPr>
            <w:tcW w:w="5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r>
      <w:tr>
        <w:trPr>
          <w:trHeight w:val="17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6,634</w:t>
            </w:r>
          </w:p>
        </w:tc>
      </w:tr>
      <w:tr>
        <w:trPr>
          <w:trHeight w:val="158"/>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interest expense</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24,575</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19,705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69,948</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44,152</w:t>
            </w:r>
          </w:p>
        </w:tc>
      </w:tr>
      <w:tr>
        <w:trPr>
          <w:trHeight w:val="16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interest income</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42,074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42,160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125,470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127,510</w:t>
            </w:r>
          </w:p>
        </w:tc>
      </w:tr>
      <w:tr>
        <w:trPr>
          <w:trHeight w:val="168"/>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8,400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11,735</w:t>
            </w:r>
          </w:p>
        </w:tc>
      </w:tr>
      <w:tr>
        <w:trPr>
          <w:trHeight w:val="16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interest income after provision for credit losses</w:t>
            </w: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39,099</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39,590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117,070</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115,775</w:t>
            </w:r>
          </w:p>
        </w:tc>
      </w:tr>
      <w:tr>
        <w:trPr>
          <w:trHeight w:val="201"/>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7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Service charges and fees on deposit accounts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6,967</w:t>
            </w:r>
          </w:p>
        </w:tc>
      </w:tr>
      <w:tr>
        <w:trPr>
          <w:trHeight w:val="168"/>
        </w:trPr>
        <w:tc>
          <w:tcPr>
            <w:tcW w:w="5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 income and fees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1,913</w:t>
            </w:r>
          </w:p>
        </w:tc>
      </w:tr>
      <w:tr>
        <w:trPr>
          <w:trHeight w:val="17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Gain on sale of loans held for sale</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4,213</w:t>
            </w:r>
          </w:p>
        </w:tc>
      </w:tr>
      <w:tr>
        <w:trPr>
          <w:trHeight w:val="168"/>
        </w:trPr>
        <w:tc>
          <w:tcPr>
            <w:tcW w:w="5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BOLI income</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2,844</w:t>
            </w:r>
          </w:p>
        </w:tc>
      </w:tr>
      <w:tr>
        <w:trPr>
          <w:trHeight w:val="17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Operating lease income</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4,515</w:t>
            </w:r>
          </w:p>
        </w:tc>
      </w:tr>
      <w:tr>
        <w:trPr>
          <w:trHeight w:val="168"/>
        </w:trPr>
        <w:tc>
          <w:tcPr>
            <w:tcW w:w="5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Gain (loss) on sale of premises and equipment</w:t>
            </w:r>
          </w:p>
        </w:tc>
        <w:tc>
          <w:tcPr>
            <w:tcW w:w="2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w:t>
            </w:r>
          </w:p>
        </w:tc>
      </w:tr>
      <w:tr>
        <w:trPr>
          <w:trHeight w:val="17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2,625</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w:t>
            </w:r>
          </w:p>
        </w:tc>
      </w:tr>
      <w:tr>
        <w:trPr>
          <w:trHeight w:val="158"/>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noninterest income</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8,282</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8,627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25,206</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23,825</w:t>
            </w:r>
          </w:p>
        </w:tc>
      </w:tr>
      <w:tr>
        <w:trPr>
          <w:trHeight w:val="20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68"/>
        </w:trPr>
        <w:tc>
          <w:tcPr>
            <w:tcW w:w="5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50,666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49,436</w:t>
            </w:r>
          </w:p>
        </w:tc>
      </w:tr>
      <w:tr>
        <w:trPr>
          <w:trHeight w:val="17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Occupancy expense, net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7,556</w:t>
            </w:r>
          </w:p>
        </w:tc>
      </w:tr>
      <w:tr>
        <w:trPr>
          <w:trHeight w:val="168"/>
        </w:trPr>
        <w:tc>
          <w:tcPr>
            <w:tcW w:w="5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Computer services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9,386</w:t>
            </w:r>
          </w:p>
        </w:tc>
      </w:tr>
      <w:tr>
        <w:trPr>
          <w:trHeight w:val="17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Telephone, postage and supplies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w:t>
            </w:r>
          </w:p>
        </w:tc>
      </w:tr>
      <w:tr>
        <w:trPr>
          <w:trHeight w:val="168"/>
        </w:trPr>
        <w:tc>
          <w:tcPr>
            <w:tcW w:w="5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Marketing and advertising</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1,555</w:t>
            </w:r>
          </w:p>
        </w:tc>
      </w:tr>
      <w:tr>
        <w:trPr>
          <w:trHeight w:val="17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Deposit insurance premiums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w:t>
            </w:r>
          </w:p>
        </w:tc>
      </w:tr>
      <w:tr>
        <w:trPr>
          <w:trHeight w:val="168"/>
        </w:trPr>
        <w:tc>
          <w:tcPr>
            <w:tcW w:w="5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Core deposit intangible amortization</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w:t>
            </w:r>
          </w:p>
        </w:tc>
      </w:tr>
      <w:tr>
        <w:trPr>
          <w:trHeight w:val="172"/>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Merger-related expenses</w:t>
            </w:r>
          </w:p>
        </w:tc>
        <w:tc>
          <w:tcPr>
            <w:tcW w:w="2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4,741</w:t>
            </w:r>
          </w:p>
        </w:tc>
      </w:tr>
      <w:tr>
        <w:trPr>
          <w:trHeight w:val="168"/>
        </w:trPr>
        <w:tc>
          <w:tcPr>
            <w:tcW w:w="5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16,364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14,490</w:t>
            </w:r>
          </w:p>
        </w:tc>
      </w:tr>
      <w:tr>
        <w:trPr>
          <w:trHeight w:val="163"/>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30,585</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29,564</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90,659</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93,308</w:t>
            </w:r>
          </w:p>
        </w:tc>
      </w:tr>
      <w:tr>
        <w:trPr>
          <w:trHeight w:val="158"/>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51,617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46,292</w:t>
            </w:r>
          </w:p>
        </w:tc>
      </w:tr>
      <w:tr>
        <w:trPr>
          <w:trHeight w:val="17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3,684</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11,020</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9,712</w:t>
            </w:r>
          </w:p>
        </w:tc>
      </w:tr>
      <w:tr>
        <w:trPr>
          <w:trHeight w:val="163"/>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13,112</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14,833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40,597</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36,580</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0"/>
        </w:trPr>
        <w:tc>
          <w:tcPr>
            <w:tcW w:w="5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 per common share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2"/>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r>
      <w:tr>
        <w:trPr>
          <w:trHeight w:val="168"/>
        </w:trPr>
        <w:tc>
          <w:tcPr>
            <w:tcW w:w="5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0.76</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0.88</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r>
      <w:tr>
        <w:trPr>
          <w:trHeight w:val="214"/>
        </w:trPr>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Average shares outstanding</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68"/>
        </w:trPr>
        <w:tc>
          <w:tcPr>
            <w:tcW w:w="5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16,931,793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16,792,177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16,891,619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16,532,335</w:t>
            </w:r>
          </w:p>
        </w:tc>
      </w:tr>
      <w:tr>
        <w:trPr>
          <w:trHeight w:val="172"/>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17,027,824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16,800,901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16,938,328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16,553,319</w:t>
            </w: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p>
      <w:pPr>
        <w:spacing w:after="0" w:line="65" w:lineRule="exact"/>
        <w:rPr>
          <w:sz w:val="20"/>
          <w:szCs w:val="20"/>
          <w:color w:val="auto"/>
        </w:rPr>
      </w:pPr>
    </w:p>
    <w:p>
      <w:pPr>
        <w:ind w:left="140" w:hanging="63"/>
        <w:spacing w:after="0" w:line="272" w:lineRule="auto"/>
        <w:rPr>
          <w:sz w:val="20"/>
          <w:szCs w:val="20"/>
          <w:color w:val="auto"/>
        </w:rPr>
      </w:pPr>
      <w:r>
        <w:rPr>
          <w:rFonts w:ascii="Times New Roman" w:cs="Times New Roman" w:eastAsia="Times New Roman" w:hAnsi="Times New Roman"/>
          <w:sz w:val="13"/>
          <w:szCs w:val="13"/>
          <w:color w:val="auto"/>
        </w:rPr>
        <w:t>Unrealized holding gains (losses) on debt securities available for sale Gains (losses) arising during the period</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Deferred income tax (expense) benefit</w:t>
      </w:r>
    </w:p>
    <w:p>
      <w:pPr>
        <w:spacing w:after="0" w:line="20" w:lineRule="exact"/>
        <w:rPr>
          <w:sz w:val="20"/>
          <w:szCs w:val="20"/>
          <w:color w:val="auto"/>
        </w:rPr>
      </w:pPr>
      <w:r>
        <w:rPr>
          <w:sz w:val="20"/>
          <w:szCs w:val="20"/>
          <w:color w:val="auto"/>
        </w:rPr>
        <w:br w:type="column"/>
      </w:r>
    </w:p>
    <w:p>
      <w:pPr>
        <w:jc w:val="center"/>
        <w:ind w:right="4100"/>
        <w:spacing w:after="0"/>
        <w:rPr>
          <w:sz w:val="20"/>
          <w:szCs w:val="20"/>
          <w:color w:val="auto"/>
        </w:rPr>
      </w:pPr>
      <w:r>
        <w:rPr>
          <w:rFonts w:ascii="Times New Roman" w:cs="Times New Roman" w:eastAsia="Times New Roman" w:hAnsi="Times New Roman"/>
          <w:sz w:val="12"/>
          <w:szCs w:val="12"/>
          <w:color w:val="auto"/>
        </w:rPr>
        <w:t>HOMETRUST BANCSHARES, INC. AND SUBSIDIARY</w:t>
      </w:r>
    </w:p>
    <w:p>
      <w:pPr>
        <w:spacing w:after="0" w:line="25" w:lineRule="exact"/>
        <w:rPr>
          <w:sz w:val="20"/>
          <w:szCs w:val="20"/>
          <w:color w:val="auto"/>
        </w:rPr>
      </w:pPr>
    </w:p>
    <w:p>
      <w:pPr>
        <w:jc w:val="center"/>
        <w:ind w:right="4100"/>
        <w:spacing w:after="0"/>
        <w:rPr>
          <w:sz w:val="20"/>
          <w:szCs w:val="20"/>
          <w:color w:val="auto"/>
        </w:rPr>
      </w:pPr>
      <w:r>
        <w:rPr>
          <w:rFonts w:ascii="Times New Roman" w:cs="Times New Roman" w:eastAsia="Times New Roman" w:hAnsi="Times New Roman"/>
          <w:sz w:val="13"/>
          <w:szCs w:val="13"/>
          <w:color w:val="auto"/>
        </w:rPr>
        <w:t>Consolidated Statements of Comprehensive Income</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150" w:lineRule="exact"/>
        <w:rPr>
          <w:sz w:val="20"/>
          <w:szCs w:val="20"/>
          <w:color w:val="auto"/>
        </w:rPr>
      </w:pPr>
    </w:p>
    <w:tbl>
      <w:tblPr>
        <w:tblLayout w:type="fixed"/>
        <w:tblInd w:w="1540" w:type="dxa"/>
        <w:tblCellMar>
          <w:top w:w="0" w:type="dxa"/>
          <w:left w:w="0" w:type="dxa"/>
          <w:bottom w:w="0" w:type="dxa"/>
          <w:right w:w="0" w:type="dxa"/>
        </w:tblCellMar>
      </w:tblPr>
      <w:tr>
        <w:trPr>
          <w:trHeight w:val="167"/>
        </w:trPr>
        <w:tc>
          <w:tcPr>
            <w:tcW w:w="900" w:type="dxa"/>
            <w:vAlign w:val="bottom"/>
          </w:tcPr>
          <w:p>
            <w:pPr>
              <w:spacing w:after="0"/>
              <w:rPr>
                <w:sz w:val="14"/>
                <w:szCs w:val="14"/>
                <w:color w:val="auto"/>
              </w:rPr>
            </w:pPr>
          </w:p>
        </w:tc>
        <w:tc>
          <w:tcPr>
            <w:tcW w:w="1520" w:type="dxa"/>
            <w:vAlign w:val="bottom"/>
            <w:gridSpan w:val="3"/>
          </w:tcPr>
          <w:p>
            <w:pPr>
              <w:jc w:val="center"/>
              <w:ind w:right="396"/>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900" w:type="dxa"/>
            <w:vAlign w:val="bottom"/>
          </w:tcPr>
          <w:p>
            <w:pPr>
              <w:spacing w:after="0"/>
              <w:rPr>
                <w:sz w:val="14"/>
                <w:szCs w:val="14"/>
                <w:color w:val="auto"/>
              </w:rPr>
            </w:pPr>
          </w:p>
        </w:tc>
      </w:tr>
      <w:tr>
        <w:trPr>
          <w:trHeight w:val="172"/>
        </w:trPr>
        <w:tc>
          <w:tcPr>
            <w:tcW w:w="2420" w:type="dxa"/>
            <w:vAlign w:val="bottom"/>
            <w:tcBorders>
              <w:bottom w:val="single" w:sz="8" w:color="auto"/>
            </w:tcBorders>
            <w:gridSpan w:val="4"/>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9"/>
        </w:trPr>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6"/>
        </w:trPr>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56"/>
        </w:trPr>
        <w:tc>
          <w:tcPr>
            <w:tcW w:w="90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13,112</w:t>
            </w:r>
          </w:p>
        </w:tc>
        <w:tc>
          <w:tcPr>
            <w:tcW w:w="80" w:type="dxa"/>
            <w:vAlign w:val="bottom"/>
          </w:tcPr>
          <w:p>
            <w:pPr>
              <w:spacing w:after="0"/>
              <w:rPr>
                <w:sz w:val="13"/>
                <w:szCs w:val="13"/>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14,833</w:t>
            </w:r>
          </w:p>
        </w:tc>
        <w:tc>
          <w:tcPr>
            <w:tcW w:w="8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40,597</w:t>
            </w:r>
          </w:p>
        </w:tc>
        <w:tc>
          <w:tcPr>
            <w:tcW w:w="80" w:type="dxa"/>
            <w:vAlign w:val="bottom"/>
          </w:tcPr>
          <w:p>
            <w:pPr>
              <w:spacing w:after="0"/>
              <w:rPr>
                <w:sz w:val="13"/>
                <w:szCs w:val="13"/>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36,580</w:t>
            </w:r>
          </w:p>
        </w:tc>
      </w:tr>
      <w:tr>
        <w:trPr>
          <w:trHeight w:val="594"/>
        </w:trPr>
        <w:tc>
          <w:tcPr>
            <w:tcW w:w="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3,143</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w:t>
            </w:r>
          </w:p>
        </w:tc>
      </w:tr>
      <w:tr>
        <w:trPr>
          <w:trHeight w:val="170"/>
        </w:trPr>
        <w:tc>
          <w:tcPr>
            <w:tcW w:w="9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-596265</wp:posOffset>
            </wp:positionV>
            <wp:extent cx="7161530"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-346710</wp:posOffset>
            </wp:positionV>
            <wp:extent cx="7161530" cy="134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-104140</wp:posOffset>
            </wp:positionV>
            <wp:extent cx="7161530" cy="107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600" w:space="520"/>
            <w:col w:w="7160"/>
          </w:cols>
          <w:pgMar w:left="300" w:top="734" w:right="319" w:bottom="1440" w:gutter="0" w:footer="0" w:header="0"/>
        </w:sectPr>
      </w:pPr>
    </w:p>
    <w:tbl>
      <w:tblPr>
        <w:tblLayout w:type="fixed"/>
        <w:tblInd w:w="0" w:type="dxa"/>
        <w:tblCellMar>
          <w:top w:w="0" w:type="dxa"/>
          <w:left w:w="0" w:type="dxa"/>
          <w:bottom w:w="0" w:type="dxa"/>
          <w:right w:w="0" w:type="dxa"/>
        </w:tblCellMar>
      </w:tblPr>
      <w:tr>
        <w:trPr>
          <w:trHeight w:val="165"/>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5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2,419</w:t>
            </w:r>
          </w:p>
        </w:tc>
        <w:tc>
          <w:tcPr>
            <w:tcW w:w="8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8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8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(863)</w:t>
            </w:r>
          </w:p>
        </w:tc>
      </w:tr>
      <w:tr>
        <w:trPr>
          <w:trHeight w:val="18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15,531</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14,337</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42,198</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35,717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Consolidated Statements of Changes in Stockholders' Equity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8"/>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 2024</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Unearned</w:t>
            </w:r>
          </w:p>
        </w:tc>
        <w:tc>
          <w:tcPr>
            <w:tcW w:w="180" w:type="dxa"/>
            <w:vAlign w:val="bottom"/>
          </w:tcPr>
          <w:p>
            <w:pPr>
              <w:spacing w:after="0"/>
              <w:rPr>
                <w:sz w:val="10"/>
                <w:szCs w:val="10"/>
                <w:color w:val="auto"/>
              </w:rPr>
            </w:pPr>
          </w:p>
        </w:tc>
        <w:tc>
          <w:tcPr>
            <w:tcW w:w="132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0"/>
                <w:szCs w:val="10"/>
                <w:color w:val="auto"/>
              </w:rPr>
            </w:pPr>
          </w:p>
        </w:tc>
        <w:tc>
          <w:tcPr>
            <w:tcW w:w="11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2160" w:type="dxa"/>
            <w:vAlign w:val="bottom"/>
            <w:gridSpan w:val="4"/>
            <w:vMerge w:val="restart"/>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020" w:type="dxa"/>
            <w:vAlign w:val="bottom"/>
          </w:tcPr>
          <w:p>
            <w:pPr>
              <w:spacing w:after="0"/>
              <w:rPr>
                <w:sz w:val="9"/>
                <w:szCs w:val="9"/>
                <w:color w:val="auto"/>
              </w:rPr>
            </w:pPr>
          </w:p>
        </w:tc>
        <w:tc>
          <w:tcPr>
            <w:tcW w:w="21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2"/>
                <w:szCs w:val="12"/>
                <w:b w:val="1"/>
                <w:bCs w:val="1"/>
                <w:color w:val="auto"/>
              </w:rPr>
              <w:t>Paid In</w:t>
            </w:r>
          </w:p>
        </w:tc>
        <w:tc>
          <w:tcPr>
            <w:tcW w:w="160" w:type="dxa"/>
            <w:vAlign w:val="bottom"/>
          </w:tcPr>
          <w:p>
            <w:pPr>
              <w:spacing w:after="0"/>
              <w:rPr>
                <w:sz w:val="9"/>
                <w:szCs w:val="9"/>
                <w:color w:val="auto"/>
              </w:rPr>
            </w:pPr>
          </w:p>
        </w:tc>
        <w:tc>
          <w:tcPr>
            <w:tcW w:w="920" w:type="dxa"/>
            <w:vAlign w:val="bottom"/>
            <w:gridSpan w:val="2"/>
          </w:tcPr>
          <w:p>
            <w:pPr>
              <w:ind w:left="100"/>
              <w:spacing w:after="0" w:line="104"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2"/>
                <w:szCs w:val="12"/>
                <w:b w:val="1"/>
                <w:bCs w:val="1"/>
                <w:color w:val="auto"/>
              </w:rPr>
              <w:t>ESOP</w:t>
            </w:r>
          </w:p>
        </w:tc>
        <w:tc>
          <w:tcPr>
            <w:tcW w:w="180" w:type="dxa"/>
            <w:vAlign w:val="bottom"/>
          </w:tcPr>
          <w:p>
            <w:pPr>
              <w:spacing w:after="0"/>
              <w:rPr>
                <w:sz w:val="9"/>
                <w:szCs w:val="9"/>
                <w:color w:val="auto"/>
              </w:rPr>
            </w:pPr>
          </w:p>
        </w:tc>
        <w:tc>
          <w:tcPr>
            <w:tcW w:w="132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80" w:type="dxa"/>
            <w:vAlign w:val="bottom"/>
          </w:tcPr>
          <w:p>
            <w:pPr>
              <w:spacing w:after="0"/>
              <w:rPr>
                <w:sz w:val="9"/>
                <w:szCs w:val="9"/>
                <w:color w:val="auto"/>
              </w:rPr>
            </w:pPr>
          </w:p>
        </w:tc>
        <w:tc>
          <w:tcPr>
            <w:tcW w:w="1100" w:type="dxa"/>
            <w:vAlign w:val="bottom"/>
          </w:tcPr>
          <w:p>
            <w:pPr>
              <w:jc w:val="center"/>
              <w:ind w:right="97"/>
              <w:spacing w:after="0" w:line="104"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72"/>
        </w:trPr>
        <w:tc>
          <w:tcPr>
            <w:tcW w:w="302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8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80" w:type="dxa"/>
            <w:vAlign w:val="bottom"/>
          </w:tcPr>
          <w:p>
            <w:pPr>
              <w:spacing w:after="0"/>
              <w:rPr>
                <w:sz w:val="14"/>
                <w:szCs w:val="14"/>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17,437,326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172,907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357,147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523,628</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13,112</w:t>
            </w:r>
          </w:p>
        </w:tc>
        <w:tc>
          <w:tcPr>
            <w:tcW w:w="0" w:type="dxa"/>
            <w:vAlign w:val="bottom"/>
          </w:tcPr>
          <w:p>
            <w:pPr>
              <w:spacing w:after="0"/>
              <w:rPr>
                <w:sz w:val="1"/>
                <w:szCs w:val="1"/>
                <w:color w:val="auto"/>
              </w:rPr>
            </w:pPr>
          </w:p>
        </w:tc>
      </w:tr>
      <w:tr>
        <w:trPr>
          <w:trHeight w:val="129"/>
        </w:trPr>
        <w:tc>
          <w:tcPr>
            <w:tcW w:w="30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ind w:left="357"/>
              <w:spacing w:after="0"/>
              <w:rPr>
                <w:sz w:val="20"/>
                <w:szCs w:val="20"/>
                <w:color w:val="auto"/>
              </w:rPr>
            </w:pPr>
            <w:r>
              <w:rPr>
                <w:rFonts w:ascii="Times New Roman" w:cs="Times New Roman" w:eastAsia="Times New Roman" w:hAnsi="Times New Roman"/>
                <w:sz w:val="13"/>
                <w:szCs w:val="13"/>
                <w:color w:val="auto"/>
                <w:w w:val="94"/>
              </w:rPr>
              <w:t>(1,876)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w:t>
            </w:r>
          </w:p>
        </w:tc>
        <w:tc>
          <w:tcPr>
            <w:tcW w:w="0" w:type="dxa"/>
            <w:vAlign w:val="bottom"/>
          </w:tcPr>
          <w:p>
            <w:pPr>
              <w:spacing w:after="0"/>
              <w:rPr>
                <w:sz w:val="1"/>
                <w:szCs w:val="1"/>
                <w:color w:val="auto"/>
              </w:rPr>
            </w:pPr>
          </w:p>
        </w:tc>
      </w:tr>
      <w:tr>
        <w:trPr>
          <w:trHeight w:val="170"/>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$0.11/common share</w:t>
            </w:r>
          </w:p>
        </w:tc>
        <w:tc>
          <w:tcPr>
            <w:tcW w:w="11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Forfeited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Retired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Granted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Stock issued for RSUs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2,419</w:t>
            </w:r>
          </w:p>
        </w:tc>
        <w:tc>
          <w:tcPr>
            <w:tcW w:w="0" w:type="dxa"/>
            <w:vAlign w:val="bottom"/>
          </w:tcPr>
          <w:p>
            <w:pPr>
              <w:spacing w:after="0"/>
              <w:rPr>
                <w:sz w:val="1"/>
                <w:szCs w:val="1"/>
                <w:color w:val="auto"/>
              </w:rPr>
            </w:pPr>
          </w:p>
        </w:tc>
      </w:tr>
      <w:tr>
        <w:trPr>
          <w:trHeight w:val="158"/>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17,514,922</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175,495</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368,383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540,004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0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8"/>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 2023</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Unearned</w:t>
            </w:r>
          </w:p>
        </w:tc>
        <w:tc>
          <w:tcPr>
            <w:tcW w:w="180" w:type="dxa"/>
            <w:vAlign w:val="bottom"/>
          </w:tcPr>
          <w:p>
            <w:pPr>
              <w:spacing w:after="0"/>
              <w:rPr>
                <w:sz w:val="11"/>
                <w:szCs w:val="11"/>
                <w:color w:val="auto"/>
              </w:rPr>
            </w:pPr>
          </w:p>
        </w:tc>
        <w:tc>
          <w:tcPr>
            <w:tcW w:w="13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1"/>
                <w:szCs w:val="11"/>
                <w:color w:val="auto"/>
              </w:rPr>
            </w:pPr>
          </w:p>
        </w:tc>
        <w:tc>
          <w:tcPr>
            <w:tcW w:w="11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2160" w:type="dxa"/>
            <w:vAlign w:val="bottom"/>
            <w:gridSpan w:val="4"/>
            <w:vMerge w:val="restart"/>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020" w:type="dxa"/>
            <w:vAlign w:val="bottom"/>
          </w:tcPr>
          <w:p>
            <w:pPr>
              <w:spacing w:after="0"/>
              <w:rPr>
                <w:sz w:val="8"/>
                <w:szCs w:val="8"/>
                <w:color w:val="auto"/>
              </w:rPr>
            </w:pPr>
          </w:p>
        </w:tc>
        <w:tc>
          <w:tcPr>
            <w:tcW w:w="21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center"/>
              <w:ind w:right="240"/>
              <w:spacing w:after="0" w:line="93" w:lineRule="exact"/>
              <w:rPr>
                <w:sz w:val="20"/>
                <w:szCs w:val="20"/>
                <w:color w:val="auto"/>
              </w:rPr>
            </w:pPr>
            <w:r>
              <w:rPr>
                <w:rFonts w:ascii="Times New Roman" w:cs="Times New Roman" w:eastAsia="Times New Roman" w:hAnsi="Times New Roman"/>
                <w:sz w:val="10"/>
                <w:szCs w:val="10"/>
                <w:b w:val="1"/>
                <w:bCs w:val="1"/>
                <w:color w:val="auto"/>
              </w:rPr>
              <w:t>Paid In</w:t>
            </w:r>
          </w:p>
        </w:tc>
        <w:tc>
          <w:tcPr>
            <w:tcW w:w="160" w:type="dxa"/>
            <w:vAlign w:val="bottom"/>
          </w:tcPr>
          <w:p>
            <w:pPr>
              <w:spacing w:after="0"/>
              <w:rPr>
                <w:sz w:val="8"/>
                <w:szCs w:val="8"/>
                <w:color w:val="auto"/>
              </w:rPr>
            </w:pPr>
          </w:p>
        </w:tc>
        <w:tc>
          <w:tcPr>
            <w:tcW w:w="920" w:type="dxa"/>
            <w:vAlign w:val="bottom"/>
            <w:gridSpan w:val="2"/>
          </w:tcPr>
          <w:p>
            <w:pPr>
              <w:ind w:left="100"/>
              <w:spacing w:after="0" w:line="93"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93" w:lineRule="exact"/>
              <w:rPr>
                <w:sz w:val="20"/>
                <w:szCs w:val="20"/>
                <w:color w:val="auto"/>
              </w:rPr>
            </w:pPr>
            <w:r>
              <w:rPr>
                <w:rFonts w:ascii="Times New Roman" w:cs="Times New Roman" w:eastAsia="Times New Roman" w:hAnsi="Times New Roman"/>
                <w:sz w:val="10"/>
                <w:szCs w:val="10"/>
                <w:b w:val="1"/>
                <w:bCs w:val="1"/>
                <w:color w:val="auto"/>
              </w:rPr>
              <w:t>ESOP</w:t>
            </w:r>
          </w:p>
        </w:tc>
        <w:tc>
          <w:tcPr>
            <w:tcW w:w="180" w:type="dxa"/>
            <w:vAlign w:val="bottom"/>
          </w:tcPr>
          <w:p>
            <w:pPr>
              <w:spacing w:after="0"/>
              <w:rPr>
                <w:sz w:val="8"/>
                <w:szCs w:val="8"/>
                <w:color w:val="auto"/>
              </w:rPr>
            </w:pPr>
          </w:p>
        </w:tc>
        <w:tc>
          <w:tcPr>
            <w:tcW w:w="1320" w:type="dxa"/>
            <w:vAlign w:val="bottom"/>
            <w:gridSpan w:val="2"/>
          </w:tcPr>
          <w:p>
            <w:pPr>
              <w:jc w:val="center"/>
              <w:ind w:right="240"/>
              <w:spacing w:after="0" w:line="93"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80" w:type="dxa"/>
            <w:vAlign w:val="bottom"/>
          </w:tcPr>
          <w:p>
            <w:pPr>
              <w:spacing w:after="0"/>
              <w:rPr>
                <w:sz w:val="8"/>
                <w:szCs w:val="8"/>
                <w:color w:val="auto"/>
              </w:rPr>
            </w:pPr>
          </w:p>
        </w:tc>
        <w:tc>
          <w:tcPr>
            <w:tcW w:w="1100" w:type="dxa"/>
            <w:vAlign w:val="bottom"/>
          </w:tcPr>
          <w:p>
            <w:pPr>
              <w:jc w:val="center"/>
              <w:ind w:right="97"/>
              <w:spacing w:after="0" w:line="93"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8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Pr>
          <w:p>
            <w:pPr>
              <w:spacing w:after="0"/>
              <w:rPr>
                <w:sz w:val="15"/>
                <w:szCs w:val="15"/>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17,366,673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171,222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308,651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471,186</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14,833</w:t>
            </w:r>
          </w:p>
        </w:tc>
        <w:tc>
          <w:tcPr>
            <w:tcW w:w="0" w:type="dxa"/>
            <w:vAlign w:val="bottom"/>
          </w:tcPr>
          <w:p>
            <w:pPr>
              <w:spacing w:after="0"/>
              <w:rPr>
                <w:sz w:val="1"/>
                <w:szCs w:val="1"/>
                <w:color w:val="auto"/>
              </w:rPr>
            </w:pPr>
          </w:p>
        </w:tc>
      </w:tr>
      <w:tr>
        <w:trPr>
          <w:trHeight w:val="129"/>
        </w:trPr>
        <w:tc>
          <w:tcPr>
            <w:tcW w:w="30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ind w:left="357"/>
              <w:spacing w:after="0"/>
              <w:rPr>
                <w:sz w:val="20"/>
                <w:szCs w:val="20"/>
                <w:color w:val="auto"/>
              </w:rPr>
            </w:pPr>
            <w:r>
              <w:rPr>
                <w:rFonts w:ascii="Times New Roman" w:cs="Times New Roman" w:eastAsia="Times New Roman" w:hAnsi="Times New Roman"/>
                <w:sz w:val="13"/>
                <w:szCs w:val="13"/>
                <w:color w:val="auto"/>
                <w:w w:val="94"/>
              </w:rPr>
              <w:t>(1,685)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w:t>
            </w:r>
          </w:p>
        </w:tc>
        <w:tc>
          <w:tcPr>
            <w:tcW w:w="0" w:type="dxa"/>
            <w:vAlign w:val="bottom"/>
          </w:tcPr>
          <w:p>
            <w:pPr>
              <w:spacing w:after="0"/>
              <w:rPr>
                <w:sz w:val="1"/>
                <w:szCs w:val="1"/>
                <w:color w:val="auto"/>
              </w:rPr>
            </w:pPr>
          </w:p>
        </w:tc>
      </w:tr>
      <w:tr>
        <w:trPr>
          <w:trHeight w:val="170"/>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$0.10/common share</w:t>
            </w:r>
          </w:p>
        </w:tc>
        <w:tc>
          <w:tcPr>
            <w:tcW w:w="11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Forfeited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Retired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Granted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Stock issued for RSUs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18,494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0" w:type="dxa"/>
            <w:vAlign w:val="bottom"/>
          </w:tcPr>
          <w:p>
            <w:pPr>
              <w:spacing w:after="0"/>
              <w:rPr>
                <w:sz w:val="1"/>
                <w:szCs w:val="1"/>
                <w:color w:val="auto"/>
              </w:rPr>
            </w:pPr>
          </w:p>
        </w:tc>
      </w:tr>
      <w:tr>
        <w:trPr>
          <w:trHeight w:val="158"/>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17,380,307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171,663</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321,799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(4,629)</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(4,596)</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484,411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Consolidated Statements of Changes in Stockholders' Equity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8"/>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 2024</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Unearned</w:t>
            </w:r>
          </w:p>
        </w:tc>
        <w:tc>
          <w:tcPr>
            <w:tcW w:w="180" w:type="dxa"/>
            <w:vAlign w:val="bottom"/>
          </w:tcPr>
          <w:p>
            <w:pPr>
              <w:spacing w:after="0"/>
              <w:rPr>
                <w:sz w:val="10"/>
                <w:szCs w:val="10"/>
                <w:color w:val="auto"/>
              </w:rPr>
            </w:pPr>
          </w:p>
        </w:tc>
        <w:tc>
          <w:tcPr>
            <w:tcW w:w="132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0"/>
                <w:szCs w:val="10"/>
                <w:color w:val="auto"/>
              </w:rPr>
            </w:pPr>
          </w:p>
        </w:tc>
        <w:tc>
          <w:tcPr>
            <w:tcW w:w="11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2160" w:type="dxa"/>
            <w:vAlign w:val="bottom"/>
            <w:gridSpan w:val="4"/>
            <w:vMerge w:val="restart"/>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020" w:type="dxa"/>
            <w:vAlign w:val="bottom"/>
          </w:tcPr>
          <w:p>
            <w:pPr>
              <w:spacing w:after="0"/>
              <w:rPr>
                <w:sz w:val="9"/>
                <w:szCs w:val="9"/>
                <w:color w:val="auto"/>
              </w:rPr>
            </w:pPr>
          </w:p>
        </w:tc>
        <w:tc>
          <w:tcPr>
            <w:tcW w:w="21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2"/>
                <w:szCs w:val="12"/>
                <w:b w:val="1"/>
                <w:bCs w:val="1"/>
                <w:color w:val="auto"/>
              </w:rPr>
              <w:t>Paid In</w:t>
            </w:r>
          </w:p>
        </w:tc>
        <w:tc>
          <w:tcPr>
            <w:tcW w:w="160" w:type="dxa"/>
            <w:vAlign w:val="bottom"/>
          </w:tcPr>
          <w:p>
            <w:pPr>
              <w:spacing w:after="0"/>
              <w:rPr>
                <w:sz w:val="9"/>
                <w:szCs w:val="9"/>
                <w:color w:val="auto"/>
              </w:rPr>
            </w:pPr>
          </w:p>
        </w:tc>
        <w:tc>
          <w:tcPr>
            <w:tcW w:w="920" w:type="dxa"/>
            <w:vAlign w:val="bottom"/>
            <w:gridSpan w:val="2"/>
          </w:tcPr>
          <w:p>
            <w:pPr>
              <w:ind w:left="100"/>
              <w:spacing w:after="0" w:line="104"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2"/>
                <w:szCs w:val="12"/>
                <w:b w:val="1"/>
                <w:bCs w:val="1"/>
                <w:color w:val="auto"/>
              </w:rPr>
              <w:t>ESOP</w:t>
            </w:r>
          </w:p>
        </w:tc>
        <w:tc>
          <w:tcPr>
            <w:tcW w:w="180" w:type="dxa"/>
            <w:vAlign w:val="bottom"/>
          </w:tcPr>
          <w:p>
            <w:pPr>
              <w:spacing w:after="0"/>
              <w:rPr>
                <w:sz w:val="9"/>
                <w:szCs w:val="9"/>
                <w:color w:val="auto"/>
              </w:rPr>
            </w:pPr>
          </w:p>
        </w:tc>
        <w:tc>
          <w:tcPr>
            <w:tcW w:w="132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80" w:type="dxa"/>
            <w:vAlign w:val="bottom"/>
          </w:tcPr>
          <w:p>
            <w:pPr>
              <w:spacing w:after="0"/>
              <w:rPr>
                <w:sz w:val="9"/>
                <w:szCs w:val="9"/>
                <w:color w:val="auto"/>
              </w:rPr>
            </w:pPr>
          </w:p>
        </w:tc>
        <w:tc>
          <w:tcPr>
            <w:tcW w:w="1100" w:type="dxa"/>
            <w:vAlign w:val="bottom"/>
          </w:tcPr>
          <w:p>
            <w:pPr>
              <w:jc w:val="center"/>
              <w:ind w:right="97"/>
              <w:spacing w:after="0" w:line="104"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72"/>
        </w:trPr>
        <w:tc>
          <w:tcPr>
            <w:tcW w:w="302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8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80" w:type="dxa"/>
            <w:vAlign w:val="bottom"/>
          </w:tcPr>
          <w:p>
            <w:pPr>
              <w:spacing w:after="0"/>
              <w:rPr>
                <w:sz w:val="14"/>
                <w:szCs w:val="14"/>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17,387,069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172,366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333,401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499,893</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40,597</w:t>
            </w:r>
          </w:p>
        </w:tc>
        <w:tc>
          <w:tcPr>
            <w:tcW w:w="0" w:type="dxa"/>
            <w:vAlign w:val="bottom"/>
          </w:tcPr>
          <w:p>
            <w:pPr>
              <w:spacing w:after="0"/>
              <w:rPr>
                <w:sz w:val="1"/>
                <w:szCs w:val="1"/>
                <w:color w:val="auto"/>
              </w:rPr>
            </w:pPr>
          </w:p>
        </w:tc>
      </w:tr>
      <w:tr>
        <w:trPr>
          <w:trHeight w:val="129"/>
        </w:trPr>
        <w:tc>
          <w:tcPr>
            <w:tcW w:w="30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ind w:left="357"/>
              <w:spacing w:after="0"/>
              <w:rPr>
                <w:sz w:val="20"/>
                <w:szCs w:val="20"/>
                <w:color w:val="auto"/>
              </w:rPr>
            </w:pPr>
            <w:r>
              <w:rPr>
                <w:rFonts w:ascii="Times New Roman" w:cs="Times New Roman" w:eastAsia="Times New Roman" w:hAnsi="Times New Roman"/>
                <w:sz w:val="13"/>
                <w:szCs w:val="13"/>
                <w:color w:val="auto"/>
                <w:w w:val="94"/>
              </w:rPr>
              <w:t>(5,615)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(5,615)</w:t>
            </w:r>
          </w:p>
        </w:tc>
        <w:tc>
          <w:tcPr>
            <w:tcW w:w="0" w:type="dxa"/>
            <w:vAlign w:val="bottom"/>
          </w:tcPr>
          <w:p>
            <w:pPr>
              <w:spacing w:after="0"/>
              <w:rPr>
                <w:sz w:val="1"/>
                <w:szCs w:val="1"/>
                <w:color w:val="auto"/>
              </w:rPr>
            </w:pPr>
          </w:p>
        </w:tc>
      </w:tr>
      <w:tr>
        <w:trPr>
          <w:trHeight w:val="170"/>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$0.33/common share</w:t>
            </w:r>
          </w:p>
        </w:tc>
        <w:tc>
          <w:tcPr>
            <w:tcW w:w="11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Forfeited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Retired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Stock issued for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Exercised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0" w:type="dxa"/>
            <w:vAlign w:val="bottom"/>
          </w:tcPr>
          <w:p>
            <w:pPr>
              <w:spacing w:after="0"/>
              <w:rPr>
                <w:sz w:val="1"/>
                <w:szCs w:val="1"/>
                <w:color w:val="auto"/>
              </w:rPr>
            </w:pPr>
          </w:p>
        </w:tc>
      </w:tr>
      <w:tr>
        <w:trPr>
          <w:trHeight w:val="185"/>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17,514,922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175,495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540,004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0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8"/>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 2023</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Unearned</w:t>
            </w:r>
          </w:p>
        </w:tc>
        <w:tc>
          <w:tcPr>
            <w:tcW w:w="180" w:type="dxa"/>
            <w:vAlign w:val="bottom"/>
          </w:tcPr>
          <w:p>
            <w:pPr>
              <w:spacing w:after="0"/>
              <w:rPr>
                <w:sz w:val="11"/>
                <w:szCs w:val="11"/>
                <w:color w:val="auto"/>
              </w:rPr>
            </w:pPr>
          </w:p>
        </w:tc>
        <w:tc>
          <w:tcPr>
            <w:tcW w:w="13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1"/>
                <w:szCs w:val="11"/>
                <w:color w:val="auto"/>
              </w:rPr>
            </w:pPr>
          </w:p>
        </w:tc>
        <w:tc>
          <w:tcPr>
            <w:tcW w:w="110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2160" w:type="dxa"/>
            <w:vAlign w:val="bottom"/>
            <w:gridSpan w:val="4"/>
            <w:vMerge w:val="restart"/>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020" w:type="dxa"/>
            <w:vAlign w:val="bottom"/>
          </w:tcPr>
          <w:p>
            <w:pPr>
              <w:spacing w:after="0"/>
              <w:rPr>
                <w:sz w:val="8"/>
                <w:szCs w:val="8"/>
                <w:color w:val="auto"/>
              </w:rPr>
            </w:pPr>
          </w:p>
        </w:tc>
        <w:tc>
          <w:tcPr>
            <w:tcW w:w="21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center"/>
              <w:ind w:right="240"/>
              <w:spacing w:after="0" w:line="93" w:lineRule="exact"/>
              <w:rPr>
                <w:sz w:val="20"/>
                <w:szCs w:val="20"/>
                <w:color w:val="auto"/>
              </w:rPr>
            </w:pPr>
            <w:r>
              <w:rPr>
                <w:rFonts w:ascii="Times New Roman" w:cs="Times New Roman" w:eastAsia="Times New Roman" w:hAnsi="Times New Roman"/>
                <w:sz w:val="10"/>
                <w:szCs w:val="10"/>
                <w:b w:val="1"/>
                <w:bCs w:val="1"/>
                <w:color w:val="auto"/>
              </w:rPr>
              <w:t>Paid In</w:t>
            </w:r>
          </w:p>
        </w:tc>
        <w:tc>
          <w:tcPr>
            <w:tcW w:w="160" w:type="dxa"/>
            <w:vAlign w:val="bottom"/>
          </w:tcPr>
          <w:p>
            <w:pPr>
              <w:spacing w:after="0"/>
              <w:rPr>
                <w:sz w:val="8"/>
                <w:szCs w:val="8"/>
                <w:color w:val="auto"/>
              </w:rPr>
            </w:pPr>
          </w:p>
        </w:tc>
        <w:tc>
          <w:tcPr>
            <w:tcW w:w="920" w:type="dxa"/>
            <w:vAlign w:val="bottom"/>
            <w:gridSpan w:val="2"/>
          </w:tcPr>
          <w:p>
            <w:pPr>
              <w:ind w:left="100"/>
              <w:spacing w:after="0" w:line="93"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93" w:lineRule="exact"/>
              <w:rPr>
                <w:sz w:val="20"/>
                <w:szCs w:val="20"/>
                <w:color w:val="auto"/>
              </w:rPr>
            </w:pPr>
            <w:r>
              <w:rPr>
                <w:rFonts w:ascii="Times New Roman" w:cs="Times New Roman" w:eastAsia="Times New Roman" w:hAnsi="Times New Roman"/>
                <w:sz w:val="10"/>
                <w:szCs w:val="10"/>
                <w:b w:val="1"/>
                <w:bCs w:val="1"/>
                <w:color w:val="auto"/>
              </w:rPr>
              <w:t>ESOP</w:t>
            </w:r>
          </w:p>
        </w:tc>
        <w:tc>
          <w:tcPr>
            <w:tcW w:w="180" w:type="dxa"/>
            <w:vAlign w:val="bottom"/>
          </w:tcPr>
          <w:p>
            <w:pPr>
              <w:spacing w:after="0"/>
              <w:rPr>
                <w:sz w:val="8"/>
                <w:szCs w:val="8"/>
                <w:color w:val="auto"/>
              </w:rPr>
            </w:pPr>
          </w:p>
        </w:tc>
        <w:tc>
          <w:tcPr>
            <w:tcW w:w="1320" w:type="dxa"/>
            <w:vAlign w:val="bottom"/>
            <w:gridSpan w:val="2"/>
          </w:tcPr>
          <w:p>
            <w:pPr>
              <w:jc w:val="center"/>
              <w:ind w:right="240"/>
              <w:spacing w:after="0" w:line="93"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80" w:type="dxa"/>
            <w:vAlign w:val="bottom"/>
          </w:tcPr>
          <w:p>
            <w:pPr>
              <w:spacing w:after="0"/>
              <w:rPr>
                <w:sz w:val="8"/>
                <w:szCs w:val="8"/>
                <w:color w:val="auto"/>
              </w:rPr>
            </w:pPr>
          </w:p>
        </w:tc>
        <w:tc>
          <w:tcPr>
            <w:tcW w:w="1100" w:type="dxa"/>
            <w:vAlign w:val="bottom"/>
          </w:tcPr>
          <w:p>
            <w:pPr>
              <w:jc w:val="center"/>
              <w:ind w:right="97"/>
              <w:spacing w:after="0" w:line="93"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8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Pr>
          <w:p>
            <w:pPr>
              <w:spacing w:after="0"/>
              <w:rPr>
                <w:sz w:val="15"/>
                <w:szCs w:val="15"/>
                <w:color w:val="auto"/>
              </w:rPr>
            </w:pPr>
          </w:p>
        </w:tc>
        <w:tc>
          <w:tcPr>
            <w:tcW w:w="11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15,673,595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128,486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290,271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410,155</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36,580</w:t>
            </w:r>
          </w:p>
        </w:tc>
        <w:tc>
          <w:tcPr>
            <w:tcW w:w="0" w:type="dxa"/>
            <w:vAlign w:val="bottom"/>
          </w:tcPr>
          <w:p>
            <w:pPr>
              <w:spacing w:after="0"/>
              <w:rPr>
                <w:sz w:val="1"/>
                <w:szCs w:val="1"/>
                <w:color w:val="auto"/>
              </w:rPr>
            </w:pPr>
          </w:p>
        </w:tc>
      </w:tr>
      <w:tr>
        <w:trPr>
          <w:trHeight w:val="129"/>
        </w:trPr>
        <w:tc>
          <w:tcPr>
            <w:tcW w:w="30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ind w:left="357"/>
              <w:spacing w:after="0"/>
              <w:rPr>
                <w:sz w:val="20"/>
                <w:szCs w:val="20"/>
                <w:color w:val="auto"/>
              </w:rPr>
            </w:pPr>
            <w:r>
              <w:rPr>
                <w:rFonts w:ascii="Times New Roman" w:cs="Times New Roman" w:eastAsia="Times New Roman" w:hAnsi="Times New Roman"/>
                <w:sz w:val="13"/>
                <w:szCs w:val="13"/>
                <w:color w:val="auto"/>
                <w:w w:val="94"/>
              </w:rPr>
              <w:t>(5,052)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(5,052)</w:t>
            </w:r>
          </w:p>
        </w:tc>
        <w:tc>
          <w:tcPr>
            <w:tcW w:w="0" w:type="dxa"/>
            <w:vAlign w:val="bottom"/>
          </w:tcPr>
          <w:p>
            <w:pPr>
              <w:spacing w:after="0"/>
              <w:rPr>
                <w:sz w:val="1"/>
                <w:szCs w:val="1"/>
                <w:color w:val="auto"/>
              </w:rPr>
            </w:pPr>
          </w:p>
        </w:tc>
      </w:tr>
      <w:tr>
        <w:trPr>
          <w:trHeight w:val="170"/>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$0.30/common share</w:t>
            </w:r>
          </w:p>
        </w:tc>
        <w:tc>
          <w:tcPr>
            <w:tcW w:w="11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Forfeited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Retired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Granted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Stock issued for RSUs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18,494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Stock issued for Quantum merger</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1,374,646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37,734</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Exercised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w:t>
            </w:r>
          </w:p>
        </w:tc>
        <w:tc>
          <w:tcPr>
            <w:tcW w:w="0" w:type="dxa"/>
            <w:vAlign w:val="bottom"/>
          </w:tcPr>
          <w:p>
            <w:pPr>
              <w:spacing w:after="0"/>
              <w:rPr>
                <w:sz w:val="1"/>
                <w:szCs w:val="1"/>
                <w:color w:val="auto"/>
              </w:rPr>
            </w:pPr>
          </w:p>
        </w:tc>
      </w:tr>
      <w:tr>
        <w:trPr>
          <w:trHeight w:val="168"/>
        </w:trPr>
        <w:tc>
          <w:tcPr>
            <w:tcW w:w="3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0" w:type="dxa"/>
            <w:vAlign w:val="bottom"/>
          </w:tcPr>
          <w:p>
            <w:pPr>
              <w:spacing w:after="0"/>
              <w:rPr>
                <w:sz w:val="1"/>
                <w:szCs w:val="1"/>
                <w:color w:val="auto"/>
              </w:rPr>
            </w:pPr>
          </w:p>
        </w:tc>
      </w:tr>
      <w:tr>
        <w:trPr>
          <w:trHeight w:val="185"/>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17,380,307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171,663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321,799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484,411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8300" w:type="dxa"/>
            <w:vAlign w:val="bottom"/>
          </w:tcPr>
          <w:p>
            <w:pPr>
              <w:jc w:val="center"/>
              <w:ind w:left="2616"/>
              <w:spacing w:after="0"/>
              <w:rPr>
                <w:sz w:val="20"/>
                <w:szCs w:val="20"/>
                <w:color w:val="auto"/>
              </w:rPr>
            </w:pPr>
            <w:r>
              <w:rPr>
                <w:rFonts w:ascii="Times New Roman" w:cs="Times New Roman" w:eastAsia="Times New Roman" w:hAnsi="Times New Roman"/>
                <w:sz w:val="13"/>
                <w:szCs w:val="13"/>
                <w:color w:val="auto"/>
                <w:w w:val="97"/>
              </w:rPr>
              <w:t>HOMETRUST BANCSHARES, INC. AND SUBSIDIARY</w:t>
            </w: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9"/>
        </w:trPr>
        <w:tc>
          <w:tcPr>
            <w:tcW w:w="8300" w:type="dxa"/>
            <w:vAlign w:val="bottom"/>
          </w:tcPr>
          <w:p>
            <w:pPr>
              <w:jc w:val="center"/>
              <w:ind w:left="2596"/>
              <w:spacing w:after="0"/>
              <w:rPr>
                <w:sz w:val="20"/>
                <w:szCs w:val="20"/>
                <w:color w:val="auto"/>
              </w:rPr>
            </w:pPr>
            <w:r>
              <w:rPr>
                <w:rFonts w:ascii="Times New Roman" w:cs="Times New Roman" w:eastAsia="Times New Roman" w:hAnsi="Times New Roman"/>
                <w:sz w:val="13"/>
                <w:szCs w:val="13"/>
                <w:color w:val="auto"/>
                <w:w w:val="98"/>
              </w:rPr>
              <w:t>Consolidated Statements of Cash Flows</w:t>
            </w: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5"/>
        </w:trPr>
        <w:tc>
          <w:tcPr>
            <w:tcW w:w="8300" w:type="dxa"/>
            <w:vAlign w:val="bottom"/>
          </w:tcPr>
          <w:p>
            <w:pPr>
              <w:jc w:val="center"/>
              <w:ind w:left="2596"/>
              <w:spacing w:after="0"/>
              <w:rPr>
                <w:sz w:val="20"/>
                <w:szCs w:val="20"/>
                <w:color w:val="auto"/>
              </w:rPr>
            </w:pPr>
            <w:r>
              <w:rPr>
                <w:rFonts w:ascii="Times New Roman" w:cs="Times New Roman" w:eastAsia="Times New Roman" w:hAnsi="Times New Roman"/>
                <w:sz w:val="13"/>
                <w:szCs w:val="13"/>
                <w:color w:val="auto"/>
                <w:w w:val="96"/>
              </w:rPr>
              <w:t>(Dollars in thousands)</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8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gridSpan w:val="3"/>
          </w:tcPr>
          <w:p>
            <w:pPr>
              <w:jc w:val="center"/>
              <w:ind w:left="56"/>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900" w:type="dxa"/>
            <w:vAlign w:val="bottom"/>
          </w:tcPr>
          <w:p>
            <w:pPr>
              <w:spacing w:after="0"/>
              <w:rPr>
                <w:sz w:val="15"/>
                <w:szCs w:val="15"/>
                <w:color w:val="auto"/>
              </w:rPr>
            </w:pPr>
          </w:p>
        </w:tc>
      </w:tr>
      <w:tr>
        <w:trPr>
          <w:trHeight w:val="172"/>
        </w:trPr>
        <w:tc>
          <w:tcPr>
            <w:tcW w:w="8300" w:type="dxa"/>
            <w:vAlign w:val="bottom"/>
          </w:tcPr>
          <w:p>
            <w:pPr>
              <w:spacing w:after="0"/>
              <w:rPr>
                <w:sz w:val="14"/>
                <w:szCs w:val="14"/>
                <w:color w:val="auto"/>
              </w:rPr>
            </w:pPr>
          </w:p>
        </w:tc>
        <w:tc>
          <w:tcPr>
            <w:tcW w:w="2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r>
      <w:tr>
        <w:trPr>
          <w:trHeight w:val="161"/>
        </w:trPr>
        <w:tc>
          <w:tcPr>
            <w:tcW w:w="83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7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8"/>
        </w:trPr>
        <w:tc>
          <w:tcPr>
            <w:tcW w:w="8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Pr>
          <w:p>
            <w:pPr>
              <w:jc w:val="right"/>
              <w:ind w:right="64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40,597</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36,580</w:t>
            </w:r>
          </w:p>
        </w:tc>
      </w:tr>
      <w:tr>
        <w:trPr>
          <w:trHeight w:val="172"/>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Adjustments to reconcile net income to net cash used in operating activities:</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8"/>
        </w:trPr>
        <w:tc>
          <w:tcPr>
            <w:tcW w:w="8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11,735</w:t>
            </w:r>
          </w:p>
        </w:tc>
      </w:tr>
      <w:tr>
        <w:trPr>
          <w:trHeight w:val="17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 of premises and equipment and equipment for operating leases</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7,104</w:t>
            </w:r>
          </w:p>
        </w:tc>
      </w:tr>
      <w:tr>
        <w:trPr>
          <w:trHeight w:val="168"/>
        </w:trPr>
        <w:tc>
          <w:tcPr>
            <w:tcW w:w="8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income tax expense</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w:t>
            </w:r>
          </w:p>
        </w:tc>
      </w:tr>
      <w:tr>
        <w:trPr>
          <w:trHeight w:val="17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accretion of purchase accounting adjustments on loans</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w:t>
            </w:r>
          </w:p>
        </w:tc>
      </w:tr>
      <w:tr>
        <w:trPr>
          <w:trHeight w:val="168"/>
        </w:trPr>
        <w:tc>
          <w:tcPr>
            <w:tcW w:w="8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amortization and accretion</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4,572</w:t>
            </w:r>
          </w:p>
        </w:tc>
      </w:tr>
      <w:tr>
        <w:trPr>
          <w:trHeight w:val="17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SBIC investments income</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w:t>
            </w:r>
          </w:p>
        </w:tc>
      </w:tr>
      <w:tr>
        <w:trPr>
          <w:trHeight w:val="168"/>
        </w:trPr>
        <w:tc>
          <w:tcPr>
            <w:tcW w:w="8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 (gain) on sale of premises and equipment</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w:t>
            </w:r>
          </w:p>
        </w:tc>
      </w:tr>
      <w:tr>
        <w:trPr>
          <w:trHeight w:val="17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sale or writedown of REO</w:t>
            </w: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8"/>
        </w:trPr>
        <w:tc>
          <w:tcPr>
            <w:tcW w:w="8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 incurred at the end of operating leases - lessor</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r>
      <w:tr>
        <w:trPr>
          <w:trHeight w:val="17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BOLI income</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(2,844)</w:t>
            </w:r>
          </w:p>
        </w:tc>
      </w:tr>
      <w:tr>
        <w:trPr>
          <w:trHeight w:val="168"/>
        </w:trPr>
        <w:tc>
          <w:tcPr>
            <w:tcW w:w="8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sale of loans held for sale</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(4,213)</w:t>
            </w:r>
          </w:p>
        </w:tc>
      </w:tr>
      <w:tr>
        <w:trPr>
          <w:trHeight w:val="17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Origination of loans held for sale</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(201,485)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(302,355)</w:t>
            </w:r>
          </w:p>
        </w:tc>
      </w:tr>
      <w:tr>
        <w:trPr>
          <w:trHeight w:val="168"/>
        </w:trPr>
        <w:tc>
          <w:tcPr>
            <w:tcW w:w="8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Proceeds from sales of loans held for sale</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198,199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163,179</w:t>
            </w:r>
          </w:p>
        </w:tc>
      </w:tr>
      <w:tr>
        <w:trPr>
          <w:trHeight w:val="17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New deferred loan origination costs, net</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w:t>
            </w:r>
          </w:p>
        </w:tc>
      </w:tr>
      <w:tr>
        <w:trPr>
          <w:trHeight w:val="168"/>
        </w:trPr>
        <w:tc>
          <w:tcPr>
            <w:tcW w:w="8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Increase in accrued interest receivable and other assets</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(11,480)</w:t>
            </w:r>
          </w:p>
        </w:tc>
      </w:tr>
      <w:tr>
        <w:trPr>
          <w:trHeight w:val="17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w:t>
            </w:r>
          </w:p>
        </w:tc>
      </w:tr>
      <w:tr>
        <w:trPr>
          <w:trHeight w:val="168"/>
        </w:trPr>
        <w:tc>
          <w:tcPr>
            <w:tcW w:w="8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w:t>
            </w:r>
          </w:p>
        </w:tc>
      </w:tr>
      <w:tr>
        <w:trPr>
          <w:trHeight w:val="17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Increase (decrease) in other liabilities</w:t>
            </w:r>
          </w:p>
        </w:tc>
        <w:tc>
          <w:tcPr>
            <w:tcW w:w="7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w:t>
            </w:r>
          </w:p>
        </w:tc>
      </w:tr>
      <w:tr>
        <w:trPr>
          <w:trHeight w:val="158"/>
        </w:trPr>
        <w:tc>
          <w:tcPr>
            <w:tcW w:w="8300" w:type="dxa"/>
            <w:vAlign w:val="bottom"/>
            <w:tcBorders>
              <w:bottom w:val="single" w:sz="8" w:color="CCEEFF"/>
            </w:tcBorders>
          </w:tcPr>
          <w:p>
            <w:pPr>
              <w:ind w:left="200"/>
              <w:spacing w:after="0" w:line="147" w:lineRule="exact"/>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7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40,667</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(98,877)</w:t>
            </w:r>
          </w:p>
        </w:tc>
      </w:tr>
      <w:tr>
        <w:trPr>
          <w:trHeight w:val="163"/>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8"/>
        </w:trPr>
        <w:tc>
          <w:tcPr>
            <w:tcW w:w="8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Purchase of debt securities available for sale</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(33,258)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(23,232)</w:t>
            </w:r>
          </w:p>
        </w:tc>
      </w:tr>
      <w:tr>
        <w:trPr>
          <w:trHeight w:val="172"/>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Proceeds from maturities, calls and paydowns of debt securities available for sale</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22,598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47,055</w:t>
            </w:r>
          </w:p>
        </w:tc>
      </w:tr>
      <w:tr>
        <w:trPr>
          <w:trHeight w:val="168"/>
        </w:trPr>
        <w:tc>
          <w:tcPr>
            <w:tcW w:w="8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Purchases of CDs in other banks</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(12,683)</w:t>
            </w:r>
          </w:p>
        </w:tc>
      </w:tr>
      <w:tr>
        <w:trPr>
          <w:trHeight w:val="172"/>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Proceeds from maturities of CDs in other banks</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6,674</w:t>
            </w:r>
          </w:p>
        </w:tc>
      </w:tr>
      <w:tr>
        <w:trPr>
          <w:trHeight w:val="168"/>
        </w:trPr>
        <w:tc>
          <w:tcPr>
            <w:tcW w:w="8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(purchases) redemptions of FHLB and FRB stock</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(4,826)</w:t>
            </w:r>
          </w:p>
        </w:tc>
      </w:tr>
      <w:tr>
        <w:trPr>
          <w:trHeight w:val="172"/>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Net capital contributions in SBIC investments, at cost</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w:t>
            </w:r>
          </w:p>
        </w:tc>
      </w:tr>
      <w:tr>
        <w:trPr>
          <w:trHeight w:val="168"/>
        </w:trPr>
        <w:tc>
          <w:tcPr>
            <w:tcW w:w="8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increase in loans</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(50,301)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(102,161)</w:t>
            </w:r>
          </w:p>
        </w:tc>
      </w:tr>
      <w:tr>
        <w:trPr>
          <w:trHeight w:val="172"/>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Purchase of BOLI</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68"/>
        </w:trPr>
        <w:tc>
          <w:tcPr>
            <w:tcW w:w="8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Collection of receivable representing proceeds from redemption of BOLI policies</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44,334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2,285</w:t>
            </w:r>
          </w:p>
        </w:tc>
      </w:tr>
      <w:tr>
        <w:trPr>
          <w:trHeight w:val="172"/>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Death benefit proceeds from BOLI policies</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Purchase of equipment for operating leases</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(11,676)</w:t>
            </w:r>
          </w:p>
        </w:tc>
      </w:tr>
      <w:tr>
        <w:trPr>
          <w:trHeight w:val="172"/>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Proceeds from sale of equipment for operating leases - lessor</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9,236</w:t>
            </w:r>
          </w:p>
        </w:tc>
      </w:tr>
      <w:tr>
        <w:trPr>
          <w:trHeight w:val="168"/>
        </w:trPr>
        <w:tc>
          <w:tcPr>
            <w:tcW w:w="8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Purchase of premises and equipment</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(2,539)</w:t>
            </w:r>
          </w:p>
        </w:tc>
      </w:tr>
      <w:tr>
        <w:trPr>
          <w:trHeight w:val="172"/>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Proceeds from sale of premises and equipment and assets held for sale</w:t>
            </w: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2,332</w:t>
            </w:r>
          </w:p>
        </w:tc>
      </w:tr>
      <w:tr>
        <w:trPr>
          <w:trHeight w:val="168"/>
        </w:trPr>
        <w:tc>
          <w:tcPr>
            <w:tcW w:w="8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Proceeds from sale of REO</w:t>
            </w:r>
          </w:p>
        </w:tc>
        <w:tc>
          <w:tcPr>
            <w:tcW w:w="7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72"/>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Net cash received in merger</w:t>
            </w: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30,601</w:t>
            </w:r>
          </w:p>
        </w:tc>
      </w:tr>
      <w:tr>
        <w:trPr>
          <w:trHeight w:val="158"/>
        </w:trPr>
        <w:tc>
          <w:tcPr>
            <w:tcW w:w="830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7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(16,194)</w:t>
            </w: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(59,682)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460" w:top="733"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Consolidated Statements of Cash Flows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gridSpan w:val="5"/>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920" w:type="dxa"/>
            <w:vAlign w:val="bottom"/>
          </w:tcPr>
          <w:p>
            <w:pPr>
              <w:spacing w:after="0"/>
              <w:rPr>
                <w:sz w:val="14"/>
                <w:szCs w:val="14"/>
                <w:color w:val="auto"/>
              </w:rPr>
            </w:pPr>
          </w:p>
        </w:tc>
      </w:tr>
      <w:tr>
        <w:trPr>
          <w:trHeight w:val="172"/>
        </w:trPr>
        <w:tc>
          <w:tcPr>
            <w:tcW w:w="85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85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8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increase in deposits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22,339</w:t>
            </w:r>
          </w:p>
        </w:tc>
      </w:tr>
      <w:tr>
        <w:trPr>
          <w:trHeight w:val="172"/>
        </w:trPr>
        <w:tc>
          <w:tcPr>
            <w:tcW w:w="8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increase (decrease) in revolving line of credit</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20,263</w:t>
            </w:r>
          </w:p>
        </w:tc>
      </w:tr>
      <w:tr>
        <w:trPr>
          <w:trHeight w:val="168"/>
        </w:trPr>
        <w:tc>
          <w:tcPr>
            <w:tcW w:w="8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increase (decrease) in short-term borrowings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(161,000)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302,000</w:t>
            </w:r>
          </w:p>
        </w:tc>
      </w:tr>
      <w:tr>
        <w:trPr>
          <w:trHeight w:val="172"/>
        </w:trPr>
        <w:tc>
          <w:tcPr>
            <w:tcW w:w="8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Repayment of long-term borrowings</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(24,728)</w:t>
            </w:r>
          </w:p>
        </w:tc>
      </w:tr>
      <w:tr>
        <w:trPr>
          <w:trHeight w:val="168"/>
        </w:trPr>
        <w:tc>
          <w:tcPr>
            <w:tcW w:w="8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Common stock repurchased</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dividends paid</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(5,052)</w:t>
            </w:r>
          </w:p>
        </w:tc>
      </w:tr>
      <w:tr>
        <w:trPr>
          <w:trHeight w:val="168"/>
        </w:trPr>
        <w:tc>
          <w:tcPr>
            <w:tcW w:w="8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Retired stock</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r>
      <w:tr>
        <w:trPr>
          <w:trHeight w:val="172"/>
        </w:trPr>
        <w:tc>
          <w:tcPr>
            <w:tcW w:w="8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Exercised stock options</w:t>
            </w: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4,099</w:t>
            </w:r>
          </w:p>
        </w:tc>
      </w:tr>
      <w:tr>
        <w:trPr>
          <w:trHeight w:val="158"/>
        </w:trPr>
        <w:tc>
          <w:tcPr>
            <w:tcW w:w="8560" w:type="dxa"/>
            <w:vAlign w:val="bottom"/>
            <w:tcBorders>
              <w:bottom w:val="single" w:sz="8" w:color="CCEEFF"/>
            </w:tcBorders>
          </w:tcPr>
          <w:p>
            <w:pPr>
              <w:ind w:left="140"/>
              <w:spacing w:after="0" w:line="147" w:lineRule="exact"/>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(78,136)</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318,539</w:t>
            </w:r>
          </w:p>
        </w:tc>
      </w:tr>
      <w:tr>
        <w:trPr>
          <w:trHeight w:val="16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(53,663)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159,980</w:t>
            </w:r>
          </w:p>
        </w:tc>
      </w:tr>
      <w:tr>
        <w:trPr>
          <w:trHeight w:val="16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period</w:t>
            </w: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347,140</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165,034</w:t>
            </w:r>
          </w:p>
        </w:tc>
      </w:tr>
      <w:tr>
        <w:trPr>
          <w:trHeight w:val="184"/>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800" w:type="dxa"/>
            <w:vAlign w:val="bottom"/>
            <w:tcBorders>
              <w:bottom w:val="single" w:sz="8" w:color="auto"/>
            </w:tcBorders>
            <w:gridSpan w:val="2"/>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293,477</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325,014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60"/>
        </w:trPr>
        <w:tc>
          <w:tcPr>
            <w:tcW w:w="856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7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8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paid during the period for</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800" w:type="dxa"/>
            <w:vAlign w:val="bottom"/>
            <w:gridSpan w:val="2"/>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38,415</w:t>
            </w:r>
          </w:p>
        </w:tc>
      </w:tr>
      <w:tr>
        <w:trPr>
          <w:trHeight w:val="168"/>
        </w:trPr>
        <w:tc>
          <w:tcPr>
            <w:tcW w:w="8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11,923</w:t>
            </w:r>
          </w:p>
        </w:tc>
      </w:tr>
      <w:tr>
        <w:trPr>
          <w:trHeight w:val="194"/>
        </w:trPr>
        <w:tc>
          <w:tcPr>
            <w:tcW w:w="8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Noncash transactions</w:t>
            </w:r>
          </w:p>
        </w:tc>
        <w:tc>
          <w:tcPr>
            <w:tcW w:w="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68"/>
        </w:trPr>
        <w:tc>
          <w:tcPr>
            <w:tcW w:w="8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Unrealized gain (loss) in value of debt securities available for sale, net of income taxes</w:t>
            </w:r>
          </w:p>
        </w:tc>
        <w:tc>
          <w:tcPr>
            <w:tcW w:w="800" w:type="dxa"/>
            <w:vAlign w:val="bottom"/>
            <w:gridSpan w:val="2"/>
          </w:tcPr>
          <w:p>
            <w:pPr>
              <w:jc w:val="right"/>
              <w:ind w:right="63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w:t>
            </w:r>
          </w:p>
        </w:tc>
      </w:tr>
      <w:tr>
        <w:trPr>
          <w:trHeight w:val="172"/>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 of loans held for sale to loans held for investment</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17,040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17,798</w:t>
            </w:r>
          </w:p>
        </w:tc>
      </w:tr>
      <w:tr>
        <w:trPr>
          <w:trHeight w:val="168"/>
        </w:trPr>
        <w:tc>
          <w:tcPr>
            <w:tcW w:w="8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Transfer of loans to repossessed assets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ROU asset and lease liabilities for operating lease accounting</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3,917</w:t>
            </w:r>
          </w:p>
        </w:tc>
      </w:tr>
      <w:tr>
        <w:trPr>
          <w:trHeight w:val="168"/>
        </w:trPr>
        <w:tc>
          <w:tcPr>
            <w:tcW w:w="8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Business combinations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Fair value of assets acquired</w:t>
            </w:r>
          </w:p>
        </w:tc>
        <w:tc>
          <w:tcPr>
            <w:tcW w:w="800" w:type="dxa"/>
            <w:vAlign w:val="bottom"/>
            <w:gridSpan w:val="2"/>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665,090</w:t>
            </w:r>
          </w:p>
        </w:tc>
      </w:tr>
      <w:tr>
        <w:trPr>
          <w:trHeight w:val="168"/>
        </w:trPr>
        <w:tc>
          <w:tcPr>
            <w:tcW w:w="85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Fair value of liabilities assumed</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610,188</w:t>
            </w:r>
          </w:p>
        </w:tc>
      </w:tr>
      <w:tr>
        <w:trPr>
          <w:trHeight w:val="160"/>
        </w:trPr>
        <w:tc>
          <w:tcPr>
            <w:tcW w:w="8560" w:type="dxa"/>
            <w:vAlign w:val="bottom"/>
            <w:tcBorders>
              <w:top w:val="single" w:sz="8" w:color="CCEEFF"/>
            </w:tcBorders>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Net assets acquired</w:t>
            </w:r>
          </w:p>
        </w:tc>
        <w:tc>
          <w:tcPr>
            <w:tcW w:w="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54,902</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hanging="215"/>
        <w:spacing w:after="0"/>
        <w:tabs>
          <w:tab w:leader="none" w:pos="2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Summary of Significant Accounting Policies</w:t>
      </w:r>
    </w:p>
    <w:p>
      <w:pPr>
        <w:spacing w:after="0" w:line="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consolidated unaudited financial statements presented in this report include the accounts of HomeTrust Bancshares, Inc., a Maryland corporation (“HomeTrust”), and its wholly-owned subsidiary, HomeTrust Bank (the “Bank”). As used throughout this report, the term the “Company” refers to HomeTrust and its consolidated subsidiary, unless the context otherwise requires. HomeTrust is a bank holding company primarily engaged in the business of planning, directing and coordinating the business activities of the Bank. The Bank is a North Carolina state chartered bank and provides a wide range of retail and commercial banking products within its geographic footprint, which includes: North Carolina (the Asheville metropolitan area, the "Piedmont" region, Charlotte and Raleigh/Cary), South Carolina (Greenville and Charleston), East Tennessee (Kingsport/Johnson City, Knoxville and Morristown), Southwest Virginia (the Roanoke Valley) and Georgia (Greater Atlanta). The Bank operates under a single set of corporate policies and procedures and is recognized as a single banking segment for financial reporting purposes.</w:t>
      </w:r>
    </w:p>
    <w:p>
      <w:pPr>
        <w:spacing w:after="0" w:line="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As a result of its merger with Quantum on February 12, 2023, HomeTrust became the 100% successor owner of the Quantum Capital Statutory Trust II Delaware trust. The sole assets of the trust represent the proceeds of offerings loaned in exchange for subordinated debentures with similar terms to the trust preferred securities.</w:t>
      </w:r>
    </w:p>
    <w:p>
      <w:pPr>
        <w:spacing w:after="0" w:line="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accompanying unaudited consolidated financial statements have been prepared in accordance with US GAAP for interim financial information and in accordance with the instructions to Form 10-Q and Article 10 of Regulation S-X as promulgated by the SEC. Accordingly, they do not include all the information and footnotes required by US GAAP for complete financial statements. In the opinion of management, all adjustments (consisting of normal recurring accruals) considered necessary for a fair presentation of the financial position and results of operations for the periods presented have been included. It is recommended that these unaudited interim consolidated financial statements be read in conjunction with the audited consolidated financial statements and notes thereto included in the Company's Transition Report on Form 10-KT for the six-month transition period ended December 31, 2023 ("2023 Form 10-KT") filed with the SEC on March 12, 2024. The results of operations for the nine months ended September 30, 2024 are not necessarily indicative of results that may be expected for the year ending December 31, 2024, the period which will be covered on a Report on Form 10-K.</w:t>
      </w:r>
    </w:p>
    <w:p>
      <w:pPr>
        <w:spacing w:after="0" w:line="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US GAAP requires management to make estimates and assumptions that affect amounts reported in the financial statements. Various elements of the Company's accounting policies, by their nature, are inherently subject to estimation techniques, valuation assumptions and other subjective assessments. In particular, management has identified the determination of the provision and the ACL on loans as an accounting policy that, due to the judgments, estimates and assumptions inherent in the policy, is critical to an understanding of the Company's financial statements. This policy and the related judgments, estimates and assumptions are described in greater detail in the notes to the Consolidated Financial Statements and Management's Discussion and Analysis of Financial Condition and Results of Operations (Critical Accounting Policies and Estimates) in the 2023 Form 10-KT. Management believes that the judgments, estimates and assumptions used in the preparation of the financial statements are appropriate based on the factual circumstances at the time. However, given the sensitivity of the financial statements to this critical accounting policy, the use of other judgments, estimates and assumptions could result in material differences in the Company's results of operations or financial condition. Further, subsequent changes in economic or market conditions could have a material impact on these estimates and the Company's financial condition and operating results in future periods.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Prior Period Disclosure Correction</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231F20"/>
        </w:rPr>
        <w:t xml:space="preserve">Within </w:t>
      </w:r>
      <w:r>
        <w:rPr>
          <w:rFonts w:ascii="Times New Roman" w:cs="Times New Roman" w:eastAsia="Times New Roman" w:hAnsi="Times New Roman"/>
          <w:sz w:val="13"/>
          <w:szCs w:val="13"/>
          <w:color w:val="000000"/>
        </w:rPr>
        <w:t>"Note 6 – Loans and Allowance for Credit Losses on Loans", the tables disclosing our credit risk profile by origination year as of December 31, 2023, beginning on page 18 of this document, reflect the correction</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color w:val="000000"/>
        </w:rPr>
        <w:t xml:space="preserve">of an immaterial error in the prior period disclosure. The correction of the disclosure error redistributed $264,101 in loans from the "Revolving" columns to the "Term Loans By Origination Fiscal Year" columns. The error's only impact was to the identified disclosure and therefore had </w:t>
      </w:r>
      <w:r>
        <w:rPr>
          <w:rFonts w:ascii="Times New Roman" w:cs="Times New Roman" w:eastAsia="Times New Roman" w:hAnsi="Times New Roman"/>
          <w:sz w:val="13"/>
          <w:szCs w:val="13"/>
          <w:color w:val="231F20"/>
        </w:rPr>
        <w:t>no effect on net income or stockholders' equity as previously reported.</w:t>
      </w:r>
    </w:p>
    <w:p>
      <w:pPr>
        <w:spacing w:after="0" w:line="87" w:lineRule="exact"/>
        <w:rPr>
          <w:sz w:val="20"/>
          <w:szCs w:val="20"/>
          <w:color w:val="auto"/>
        </w:rPr>
      </w:pPr>
    </w:p>
    <w:p>
      <w:pPr>
        <w:ind w:left="220" w:hanging="215"/>
        <w:spacing w:after="0"/>
        <w:tabs>
          <w:tab w:leader="none" w:pos="2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Recent Accounting Pronouncements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Newly Issued but Not Yet Effective Accounting Standards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i w:val="1"/>
          <w:iCs w:val="1"/>
          <w:color w:val="auto"/>
        </w:rPr>
        <w:t xml:space="preserve">ASU 2023-07, "Segment Reporting (Topic 280): Improvements to Reportable Segment Disclosures." </w:t>
      </w:r>
      <w:r>
        <w:rPr>
          <w:rFonts w:ascii="Times New Roman" w:cs="Times New Roman" w:eastAsia="Times New Roman" w:hAnsi="Times New Roman"/>
          <w:sz w:val="13"/>
          <w:szCs w:val="13"/>
          <w:color w:val="auto"/>
        </w:rPr>
        <w:t>In November 2023, the FASB issued ASU 2023-07 which will require public entities to disclose information about their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reportable segments' significant expenses on an interim and annual basis. Public entities will be required to disclose other segment items for each reportable segment and provide a description of its composition. Significant expense categories are derived from expenses that are regularly reported to an entity's chief operating decision-makers and included in segment-reported measures of profit or loss. The ASU will also require a public entity to disclose the title and position of the chief operating decision-maker and explain how the chief operating decision-maker uses the reported measures of profit or loss to assess segment performance. Lastly, ASU 2023-07 also requires interim disclosures of certain segment-related disclosures that previously were required only on an annual basis and clarifies that entities with a single reportable segment are subject to both new and existing segment reporting requirements under Topic 280.</w:t>
      </w:r>
    </w:p>
    <w:p>
      <w:pPr>
        <w:spacing w:after="0" w:line="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ASU 2023-07 is effective for fiscal years beginning after December 15, 2023 and interim periods within fiscal years beginning after December 15, 2024. The ASU requires entities to adopt the changes to the segment reporting guidance on a retrospective basis and early adoption is permitted. The Company will update its segment-related disclosures upon adoption of the ASU.</w:t>
      </w:r>
    </w:p>
    <w:p>
      <w:pPr>
        <w:spacing w:after="0" w:line="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i w:val="1"/>
          <w:iCs w:val="1"/>
          <w:color w:val="auto"/>
        </w:rPr>
        <w:t xml:space="preserve">ASU 2023-09, "Income Taxes (Topic 740): Improvements to Income Tax Disclosures." </w:t>
      </w:r>
      <w:r>
        <w:rPr>
          <w:rFonts w:ascii="Times New Roman" w:cs="Times New Roman" w:eastAsia="Times New Roman" w:hAnsi="Times New Roman"/>
          <w:sz w:val="12"/>
          <w:szCs w:val="12"/>
          <w:color w:val="auto"/>
        </w:rPr>
        <w:t>In December 2023, the FASB issued ASU 2023-09 which requires entities to disclose more detailed information in the reconciliation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their statutory tax rate to their effective tax rate. The ASU also requires entities to disclose more detailed information about income taxes paid, including by jurisdiction. This ASU is effective for public business entities for annual reporting periods beginning after December 15, 2024 and interim periods beginning after December 15, 2025. The Company will update its income tax disclosures upon adoption of the ASU.</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6" w:lineRule="exact"/>
        <w:rPr>
          <w:sz w:val="20"/>
          <w:szCs w:val="20"/>
          <w:color w:val="auto"/>
        </w:rPr>
      </w:pPr>
    </w:p>
    <w:p>
      <w:pPr>
        <w:ind w:left="220" w:hanging="215"/>
        <w:spacing w:after="0"/>
        <w:tabs>
          <w:tab w:leader="none" w:pos="22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Merger with Quantum</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On February 12, 2023, the Company merged with Quantum which operated two locations in the Atlanta metro area. The aggregate amount of consideration to be paid per the purchase agreement of approximately $70,771, inclusive of consideration of common stock, other cash consideration, and cash in lieu of fractional shares, included $15,869 of cash consideration paid by Quantum to its stockholders in advance of the closing date as is further described below. These distributions reduced Quantum's stockholders' equity by an equal amount prior to the transaction closing date.</w:t>
      </w:r>
    </w:p>
    <w:p>
      <w:pPr>
        <w:spacing w:after="0" w:line="1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color w:val="auto"/>
        </w:rPr>
        <w:t>The following table provides a summary of the assets acquired, liabilities assumed, associated preliminary fair value adjustments and provisional period adjustments by the Company as of the merger date. As provided for under US GAAP, management had up to 12 months following the date of merger to finalize the fair value adjustments. Management has completed its evaluation and the values in the table below are considered final.</w:t>
      </w:r>
    </w:p>
    <w:tbl>
      <w:tblPr>
        <w:tblLayout w:type="fixed"/>
        <w:tblInd w:w="0" w:type="dxa"/>
        <w:tblCellMar>
          <w:top w:w="0" w:type="dxa"/>
          <w:left w:w="0" w:type="dxa"/>
          <w:bottom w:w="0" w:type="dxa"/>
          <w:right w:w="0" w:type="dxa"/>
        </w:tblCellMar>
      </w:tblPr>
      <w:tr>
        <w:trPr>
          <w:trHeight w:val="130"/>
        </w:trPr>
        <w:tc>
          <w:tcPr>
            <w:tcW w:w="5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Quantum</w:t>
            </w:r>
          </w:p>
        </w:tc>
        <w:tc>
          <w:tcPr>
            <w:tcW w:w="200" w:type="dxa"/>
            <w:vAlign w:val="bottom"/>
          </w:tcPr>
          <w:p>
            <w:pPr>
              <w:spacing w:after="0"/>
              <w:rPr>
                <w:sz w:val="11"/>
                <w:szCs w:val="11"/>
                <w:color w:val="auto"/>
              </w:rPr>
            </w:pPr>
          </w:p>
        </w:tc>
        <w:tc>
          <w:tcPr>
            <w:tcW w:w="120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120" w:type="dxa"/>
            <w:vAlign w:val="bottom"/>
          </w:tcPr>
          <w:p>
            <w:pPr>
              <w:spacing w:after="0"/>
              <w:rPr>
                <w:sz w:val="11"/>
                <w:szCs w:val="11"/>
                <w:color w:val="auto"/>
              </w:rPr>
            </w:pPr>
          </w:p>
        </w:tc>
        <w:tc>
          <w:tcPr>
            <w:tcW w:w="1280" w:type="dxa"/>
            <w:vAlign w:val="bottom"/>
            <w:gridSpan w:val="2"/>
          </w:tcPr>
          <w:p>
            <w:pPr>
              <w:jc w:val="center"/>
              <w:ind w:right="200"/>
              <w:spacing w:after="0" w:line="130" w:lineRule="exact"/>
              <w:rPr>
                <w:sz w:val="20"/>
                <w:szCs w:val="20"/>
                <w:color w:val="auto"/>
              </w:rPr>
            </w:pPr>
            <w:r>
              <w:rPr>
                <w:rFonts w:ascii="Times New Roman" w:cs="Times New Roman" w:eastAsia="Times New Roman" w:hAnsi="Times New Roman"/>
                <w:sz w:val="13"/>
                <w:szCs w:val="13"/>
                <w:b w:val="1"/>
                <w:bCs w:val="1"/>
                <w:color w:val="auto"/>
                <w:w w:val="97"/>
              </w:rPr>
              <w:t>Provisional Period</w:t>
            </w:r>
          </w:p>
        </w:tc>
        <w:tc>
          <w:tcPr>
            <w:tcW w:w="160" w:type="dxa"/>
            <w:vAlign w:val="bottom"/>
          </w:tcPr>
          <w:p>
            <w:pPr>
              <w:spacing w:after="0"/>
              <w:rPr>
                <w:sz w:val="11"/>
                <w:szCs w:val="11"/>
                <w:color w:val="auto"/>
              </w:rPr>
            </w:pPr>
          </w:p>
        </w:tc>
        <w:tc>
          <w:tcPr>
            <w:tcW w:w="1160" w:type="dxa"/>
            <w:vAlign w:val="bottom"/>
          </w:tcPr>
          <w:p>
            <w:pPr>
              <w:jc w:val="right"/>
              <w:ind w:right="156"/>
              <w:spacing w:after="0" w:line="130" w:lineRule="exact"/>
              <w:rPr>
                <w:sz w:val="20"/>
                <w:szCs w:val="20"/>
                <w:color w:val="auto"/>
              </w:rPr>
            </w:pPr>
            <w:r>
              <w:rPr>
                <w:rFonts w:ascii="Times New Roman" w:cs="Times New Roman" w:eastAsia="Times New Roman" w:hAnsi="Times New Roman"/>
                <w:sz w:val="13"/>
                <w:szCs w:val="13"/>
                <w:b w:val="1"/>
                <w:bCs w:val="1"/>
                <w:color w:val="auto"/>
              </w:rPr>
              <w:t>As Recorded by</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2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6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HomeTrust</w:t>
            </w:r>
          </w:p>
        </w:tc>
        <w:tc>
          <w:tcPr>
            <w:tcW w:w="0" w:type="dxa"/>
            <w:vAlign w:val="bottom"/>
          </w:tcPr>
          <w:p>
            <w:pPr>
              <w:spacing w:after="0"/>
              <w:rPr>
                <w:sz w:val="1"/>
                <w:szCs w:val="1"/>
                <w:color w:val="auto"/>
              </w:rPr>
            </w:pPr>
          </w:p>
        </w:tc>
      </w:tr>
      <w:tr>
        <w:trPr>
          <w:trHeight w:val="151"/>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 acquired</w:t>
            </w: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47,769</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47,769</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10,608</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FHLB and FRB stock</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Loans</w:t>
            </w:r>
            <w:r>
              <w:rPr>
                <w:rFonts w:ascii="Times New Roman" w:cs="Times New Roman" w:eastAsia="Times New Roman" w:hAnsi="Times New Roman"/>
                <w:sz w:val="16"/>
                <w:szCs w:val="16"/>
                <w:color w:val="auto"/>
                <w:vertAlign w:val="superscript"/>
              </w:rPr>
              <w:t>(1)</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567,140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561,933</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Premises and equipment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9,083</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BOLI</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9,066</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Core deposit intangibles</w:t>
            </w: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12,210</w:t>
            </w:r>
          </w:p>
        </w:tc>
        <w:tc>
          <w:tcPr>
            <w:tcW w:w="0" w:type="dxa"/>
            <w:vAlign w:val="bottom"/>
          </w:tcPr>
          <w:p>
            <w:pPr>
              <w:spacing w:after="0"/>
              <w:rPr>
                <w:sz w:val="1"/>
                <w:szCs w:val="1"/>
                <w:color w:val="auto"/>
              </w:rPr>
            </w:pPr>
          </w:p>
        </w:tc>
      </w:tr>
      <w:tr>
        <w:trPr>
          <w:trHeight w:val="168"/>
        </w:trPr>
        <w:tc>
          <w:tcPr>
            <w:tcW w:w="5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3,117</w:t>
            </w:r>
          </w:p>
        </w:tc>
        <w:tc>
          <w:tcPr>
            <w:tcW w:w="0" w:type="dxa"/>
            <w:vAlign w:val="bottom"/>
          </w:tcPr>
          <w:p>
            <w:pPr>
              <w:spacing w:after="0"/>
              <w:rPr>
                <w:sz w:val="1"/>
                <w:szCs w:val="1"/>
                <w:color w:val="auto"/>
              </w:rPr>
            </w:pPr>
          </w:p>
        </w:tc>
      </w:tr>
      <w:tr>
        <w:trPr>
          <w:trHeight w:val="185"/>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assets acquired</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644,556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656,617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assumed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5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Deposits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570,419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570,602</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9,933</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borrowings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24,728</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income taxes</w:t>
            </w:r>
          </w:p>
        </w:tc>
        <w:tc>
          <w:tcPr>
            <w:tcW w:w="2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liabilities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3,334</w:t>
            </w:r>
          </w:p>
        </w:tc>
        <w:tc>
          <w:tcPr>
            <w:tcW w:w="0" w:type="dxa"/>
            <w:vAlign w:val="bottom"/>
          </w:tcPr>
          <w:p>
            <w:pPr>
              <w:spacing w:after="0"/>
              <w:rPr>
                <w:sz w:val="1"/>
                <w:szCs w:val="1"/>
                <w:color w:val="auto"/>
              </w:rPr>
            </w:pPr>
          </w:p>
        </w:tc>
      </w:tr>
      <w:tr>
        <w:trPr>
          <w:trHeight w:val="158"/>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liabilities assumed</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609,822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610,188</w:t>
            </w:r>
          </w:p>
        </w:tc>
        <w:tc>
          <w:tcPr>
            <w:tcW w:w="0" w:type="dxa"/>
            <w:vAlign w:val="bottom"/>
          </w:tcPr>
          <w:p>
            <w:pPr>
              <w:spacing w:after="0"/>
              <w:rPr>
                <w:sz w:val="1"/>
                <w:szCs w:val="1"/>
                <w:color w:val="auto"/>
              </w:rPr>
            </w:pPr>
          </w:p>
        </w:tc>
      </w:tr>
      <w:tr>
        <w:trPr>
          <w:trHeight w:val="23"/>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 acquired</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46,429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Consideration paid</w:t>
            </w: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Common stock consideration</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Shares of Quantum</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574,157</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Exchange ratio</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2.3942</w:t>
            </w:r>
          </w:p>
        </w:tc>
        <w:tc>
          <w:tcPr>
            <w:tcW w:w="0" w:type="dxa"/>
            <w:vAlign w:val="bottom"/>
          </w:tcPr>
          <w:p>
            <w:pPr>
              <w:spacing w:after="0"/>
              <w:rPr>
                <w:sz w:val="1"/>
                <w:szCs w:val="1"/>
                <w:color w:val="auto"/>
              </w:rPr>
            </w:pPr>
          </w:p>
        </w:tc>
      </w:tr>
      <w:tr>
        <w:trPr>
          <w:trHeight w:val="158"/>
        </w:trPr>
        <w:tc>
          <w:tcPr>
            <w:tcW w:w="576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HomeTrust common stock issued</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1,374,647</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Price per share of HomeTrust common stock on February 10, 2023</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0" w:type="dxa"/>
            <w:vAlign w:val="bottom"/>
          </w:tcPr>
          <w:p>
            <w:pPr>
              <w:spacing w:after="0"/>
              <w:rPr>
                <w:sz w:val="1"/>
                <w:szCs w:val="1"/>
                <w:color w:val="auto"/>
              </w:rPr>
            </w:pPr>
          </w:p>
        </w:tc>
      </w:tr>
      <w:tr>
        <w:trPr>
          <w:trHeight w:val="158"/>
        </w:trPr>
        <w:tc>
          <w:tcPr>
            <w:tcW w:w="5760" w:type="dxa"/>
            <w:vAlign w:val="bottom"/>
          </w:tcPr>
          <w:p>
            <w:pPr>
              <w:ind w:left="220"/>
              <w:spacing w:after="0" w:line="146" w:lineRule="exact"/>
              <w:rPr>
                <w:sz w:val="20"/>
                <w:szCs w:val="20"/>
                <w:color w:val="auto"/>
              </w:rPr>
            </w:pPr>
            <w:r>
              <w:rPr>
                <w:rFonts w:ascii="Times New Roman" w:cs="Times New Roman" w:eastAsia="Times New Roman" w:hAnsi="Times New Roman"/>
                <w:sz w:val="13"/>
                <w:szCs w:val="13"/>
                <w:color w:val="auto"/>
              </w:rPr>
              <w:t>HomeTrust common stock consideration</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37,734</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Cash consideration</w:t>
            </w:r>
            <w:r>
              <w:rPr>
                <w:rFonts w:ascii="Times New Roman" w:cs="Times New Roman" w:eastAsia="Times New Roman" w:hAnsi="Times New Roman"/>
                <w:sz w:val="16"/>
                <w:szCs w:val="16"/>
                <w:color w:val="auto"/>
                <w:vertAlign w:val="superscript"/>
              </w:rPr>
              <w:t>(2)</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17,168</w:t>
            </w:r>
          </w:p>
        </w:tc>
        <w:tc>
          <w:tcPr>
            <w:tcW w:w="0" w:type="dxa"/>
            <w:vAlign w:val="bottom"/>
          </w:tcPr>
          <w:p>
            <w:pPr>
              <w:spacing w:after="0"/>
              <w:rPr>
                <w:sz w:val="1"/>
                <w:szCs w:val="1"/>
                <w:color w:val="auto"/>
              </w:rPr>
            </w:pPr>
          </w:p>
        </w:tc>
      </w:tr>
      <w:tr>
        <w:trPr>
          <w:trHeight w:val="158"/>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consideration</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54,902</w:t>
            </w:r>
          </w:p>
        </w:tc>
        <w:tc>
          <w:tcPr>
            <w:tcW w:w="0" w:type="dxa"/>
            <w:vAlign w:val="bottom"/>
          </w:tcPr>
          <w:p>
            <w:pPr>
              <w:spacing w:after="0"/>
              <w:rPr>
                <w:sz w:val="1"/>
                <w:szCs w:val="1"/>
                <w:color w:val="auto"/>
              </w:rPr>
            </w:pPr>
          </w:p>
        </w:tc>
      </w:tr>
      <w:tr>
        <w:trPr>
          <w:trHeight w:val="23"/>
        </w:trPr>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8,473</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200" w:hanging="195"/>
        <w:spacing w:after="0" w:line="281" w:lineRule="auto"/>
        <w:tabs>
          <w:tab w:leader="none" w:pos="194"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Adjustments to Quantum's total loans include the elimination of Quantum's existing allowance for loan losses of $5,972, the recognition of an ACL at close on PCD loans of $369, and adjustments to reflect the estimated credit fair value mark on the non-PCD loan portfolio of $2,932 and the estimated interest rate fair value adjustment on the loan portfolio as a whole (non-PCD and PCD) of $7,878.</w:t>
      </w:r>
    </w:p>
    <w:p>
      <w:pPr>
        <w:jc w:val="both"/>
        <w:ind w:left="200" w:hanging="195"/>
        <w:spacing w:after="0" w:line="280" w:lineRule="auto"/>
        <w:tabs>
          <w:tab w:leader="none" w:pos="194"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indicated in the Current Report on Form 8-K/A filed with the SEC on March 30, 2023, the amount of cash consideration paid at closing differs from the $57.54 per share, or $33,037, reported in the Current Report on Form 8-K filed on February 13, 2023, which announced the closing of the merger. Consistent with the merger agreement, between the execution of the merger agreement and the transaction closing date, Quantum's principal stockholders had the option to withdraw some or all of the amount of cash consideration to eventually be paid at closing in advance of the closing date. The amount of cash consideration paid at closing was reduced by the amount withdrawn during this time period.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Goodwill of $8,473 arising from the merger consisted largely of synergies and the cost saves resulting from the combining of operations of the companies, and is not expected to be deductible for income tax purposes.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4.  Debt Securities</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Debt securities available for sale consist of the following at the dates indicated: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September 30, 2024</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220" w:type="dxa"/>
            <w:vAlign w:val="bottom"/>
          </w:tcPr>
          <w:p>
            <w:pPr>
              <w:spacing w:after="0"/>
              <w:rPr>
                <w:sz w:val="10"/>
                <w:szCs w:val="10"/>
                <w:color w:val="auto"/>
              </w:rPr>
            </w:pPr>
          </w:p>
        </w:tc>
        <w:tc>
          <w:tcPr>
            <w:tcW w:w="118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20" w:type="dxa"/>
            <w:vAlign w:val="bottom"/>
          </w:tcPr>
          <w:p>
            <w:pPr>
              <w:spacing w:after="0"/>
              <w:rPr>
                <w:sz w:val="10"/>
                <w:szCs w:val="10"/>
                <w:color w:val="auto"/>
              </w:rPr>
            </w:pPr>
          </w:p>
        </w:tc>
        <w:tc>
          <w:tcPr>
            <w:tcW w:w="120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40" w:type="dxa"/>
            <w:vAlign w:val="bottom"/>
          </w:tcPr>
          <w:p>
            <w:pPr>
              <w:spacing w:after="0"/>
              <w:rPr>
                <w:sz w:val="10"/>
                <w:szCs w:val="10"/>
                <w:color w:val="auto"/>
              </w:rPr>
            </w:pPr>
          </w:p>
        </w:tc>
        <w:tc>
          <w:tcPr>
            <w:tcW w:w="1100" w:type="dxa"/>
            <w:vAlign w:val="bottom"/>
          </w:tcPr>
          <w:p>
            <w:pPr>
              <w:jc w:val="center"/>
              <w:ind w:right="156"/>
              <w:spacing w:after="0" w:line="120" w:lineRule="exact"/>
              <w:rPr>
                <w:sz w:val="20"/>
                <w:szCs w:val="20"/>
                <w:color w:val="auto"/>
              </w:rPr>
            </w:pPr>
            <w:r>
              <w:rPr>
                <w:rFonts w:ascii="Times New Roman" w:cs="Times New Roman" w:eastAsia="Times New Roman" w:hAnsi="Times New Roman"/>
                <w:sz w:val="13"/>
                <w:szCs w:val="13"/>
                <w:b w:val="1"/>
                <w:bCs w:val="1"/>
                <w:color w:val="auto"/>
                <w:w w:val="99"/>
              </w:rPr>
              <w:t>Estimated</w:t>
            </w:r>
          </w:p>
        </w:tc>
        <w:tc>
          <w:tcPr>
            <w:tcW w:w="0" w:type="dxa"/>
            <w:vAlign w:val="bottom"/>
          </w:tcPr>
          <w:p>
            <w:pPr>
              <w:spacing w:after="0"/>
              <w:rPr>
                <w:sz w:val="1"/>
                <w:szCs w:val="1"/>
                <w:color w:val="auto"/>
              </w:rPr>
            </w:pPr>
          </w:p>
        </w:tc>
      </w:tr>
      <w:tr>
        <w:trPr>
          <w:trHeight w:val="127"/>
        </w:trPr>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40" w:type="dxa"/>
            <w:vAlign w:val="bottom"/>
          </w:tcPr>
          <w:p>
            <w:pPr>
              <w:spacing w:after="0"/>
              <w:rPr>
                <w:sz w:val="11"/>
                <w:szCs w:val="11"/>
                <w:color w:val="auto"/>
              </w:rPr>
            </w:pPr>
          </w:p>
        </w:tc>
        <w:tc>
          <w:tcPr>
            <w:tcW w:w="1100" w:type="dxa"/>
            <w:vAlign w:val="bottom"/>
          </w:tcPr>
          <w:p>
            <w:pPr>
              <w:jc w:val="center"/>
              <w:ind w:right="156"/>
              <w:spacing w:after="0" w:line="12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2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24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62"/>
        </w:trPr>
        <w:tc>
          <w:tcPr>
            <w:tcW w:w="5700" w:type="dxa"/>
            <w:vAlign w:val="bottom"/>
            <w:tcBorders>
              <w:top w:val="single" w:sz="8" w:color="CCEEFF"/>
            </w:tcBorders>
            <w:gridSpan w:val="3"/>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MBS, residential</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132,026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132,756</w:t>
            </w:r>
          </w:p>
        </w:tc>
        <w:tc>
          <w:tcPr>
            <w:tcW w:w="0" w:type="dxa"/>
            <w:vAlign w:val="bottom"/>
          </w:tcPr>
          <w:p>
            <w:pPr>
              <w:spacing w:after="0"/>
              <w:rPr>
                <w:sz w:val="1"/>
                <w:szCs w:val="1"/>
                <w:color w:val="auto"/>
              </w:rPr>
            </w:pPr>
          </w:p>
        </w:tc>
      </w:tr>
      <w:tr>
        <w:trPr>
          <w:trHeight w:val="168"/>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3,424</w:t>
            </w:r>
          </w:p>
        </w:tc>
        <w:tc>
          <w:tcPr>
            <w:tcW w:w="0" w:type="dxa"/>
            <w:vAlign w:val="bottom"/>
          </w:tcPr>
          <w:p>
            <w:pPr>
              <w:spacing w:after="0"/>
              <w:rPr>
                <w:sz w:val="1"/>
                <w:szCs w:val="1"/>
                <w:color w:val="auto"/>
              </w:rPr>
            </w:pPr>
          </w:p>
        </w:tc>
      </w:tr>
      <w:tr>
        <w:trPr>
          <w:trHeight w:val="172"/>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4,372</w:t>
            </w:r>
          </w:p>
        </w:tc>
        <w:tc>
          <w:tcPr>
            <w:tcW w:w="0" w:type="dxa"/>
            <w:vAlign w:val="bottom"/>
          </w:tcPr>
          <w:p>
            <w:pPr>
              <w:spacing w:after="0"/>
              <w:rPr>
                <w:sz w:val="1"/>
                <w:szCs w:val="1"/>
                <w:color w:val="auto"/>
              </w:rPr>
            </w:pPr>
          </w:p>
        </w:tc>
      </w:tr>
      <w:tr>
        <w:trPr>
          <w:trHeight w:val="158"/>
        </w:trPr>
        <w:tc>
          <w:tcPr>
            <w:tcW w:w="57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140,486</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2,041</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140,552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220" w:type="dxa"/>
            <w:vAlign w:val="bottom"/>
          </w:tcPr>
          <w:p>
            <w:pPr>
              <w:spacing w:after="0"/>
              <w:rPr>
                <w:sz w:val="10"/>
                <w:szCs w:val="10"/>
                <w:color w:val="auto"/>
              </w:rPr>
            </w:pPr>
          </w:p>
        </w:tc>
        <w:tc>
          <w:tcPr>
            <w:tcW w:w="118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20" w:type="dxa"/>
            <w:vAlign w:val="bottom"/>
          </w:tcPr>
          <w:p>
            <w:pPr>
              <w:spacing w:after="0"/>
              <w:rPr>
                <w:sz w:val="10"/>
                <w:szCs w:val="10"/>
                <w:color w:val="auto"/>
              </w:rPr>
            </w:pPr>
          </w:p>
        </w:tc>
        <w:tc>
          <w:tcPr>
            <w:tcW w:w="120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40" w:type="dxa"/>
            <w:vAlign w:val="bottom"/>
          </w:tcPr>
          <w:p>
            <w:pPr>
              <w:spacing w:after="0"/>
              <w:rPr>
                <w:sz w:val="10"/>
                <w:szCs w:val="10"/>
                <w:color w:val="auto"/>
              </w:rPr>
            </w:pPr>
          </w:p>
        </w:tc>
        <w:tc>
          <w:tcPr>
            <w:tcW w:w="1100" w:type="dxa"/>
            <w:vAlign w:val="bottom"/>
          </w:tcPr>
          <w:p>
            <w:pPr>
              <w:jc w:val="center"/>
              <w:ind w:right="156"/>
              <w:spacing w:after="0" w:line="120" w:lineRule="exact"/>
              <w:rPr>
                <w:sz w:val="20"/>
                <w:szCs w:val="20"/>
                <w:color w:val="auto"/>
              </w:rPr>
            </w:pPr>
            <w:r>
              <w:rPr>
                <w:rFonts w:ascii="Times New Roman" w:cs="Times New Roman" w:eastAsia="Times New Roman" w:hAnsi="Times New Roman"/>
                <w:sz w:val="13"/>
                <w:szCs w:val="13"/>
                <w:b w:val="1"/>
                <w:bCs w:val="1"/>
                <w:color w:val="auto"/>
                <w:w w:val="99"/>
              </w:rPr>
              <w:t>Estimated</w:t>
            </w:r>
          </w:p>
        </w:tc>
        <w:tc>
          <w:tcPr>
            <w:tcW w:w="0" w:type="dxa"/>
            <w:vAlign w:val="bottom"/>
          </w:tcPr>
          <w:p>
            <w:pPr>
              <w:spacing w:after="0"/>
              <w:rPr>
                <w:sz w:val="1"/>
                <w:szCs w:val="1"/>
                <w:color w:val="auto"/>
              </w:rPr>
            </w:pPr>
          </w:p>
        </w:tc>
      </w:tr>
      <w:tr>
        <w:trPr>
          <w:trHeight w:val="127"/>
        </w:trPr>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40" w:type="dxa"/>
            <w:vAlign w:val="bottom"/>
          </w:tcPr>
          <w:p>
            <w:pPr>
              <w:spacing w:after="0"/>
              <w:rPr>
                <w:sz w:val="11"/>
                <w:szCs w:val="11"/>
                <w:color w:val="auto"/>
              </w:rPr>
            </w:pPr>
          </w:p>
        </w:tc>
        <w:tc>
          <w:tcPr>
            <w:tcW w:w="1100" w:type="dxa"/>
            <w:vAlign w:val="bottom"/>
          </w:tcPr>
          <w:p>
            <w:pPr>
              <w:jc w:val="center"/>
              <w:ind w:right="156"/>
              <w:spacing w:after="0" w:line="12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2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24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62"/>
        </w:trPr>
        <w:tc>
          <w:tcPr>
            <w:tcW w:w="5700" w:type="dxa"/>
            <w:vAlign w:val="bottom"/>
            <w:tcBorders>
              <w:top w:val="single" w:sz="8" w:color="CCEEFF"/>
            </w:tcBorders>
            <w:gridSpan w:val="3"/>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MBS, residential</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105,477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104,499</w:t>
            </w:r>
          </w:p>
        </w:tc>
        <w:tc>
          <w:tcPr>
            <w:tcW w:w="0" w:type="dxa"/>
            <w:vAlign w:val="bottom"/>
          </w:tcPr>
          <w:p>
            <w:pPr>
              <w:spacing w:after="0"/>
              <w:rPr>
                <w:sz w:val="1"/>
                <w:szCs w:val="1"/>
                <w:color w:val="auto"/>
              </w:rPr>
            </w:pPr>
          </w:p>
        </w:tc>
      </w:tr>
      <w:tr>
        <w:trPr>
          <w:trHeight w:val="168"/>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0" w:type="dxa"/>
            <w:vAlign w:val="bottom"/>
          </w:tcPr>
          <w:p>
            <w:pPr>
              <w:spacing w:after="0"/>
              <w:rPr>
                <w:sz w:val="1"/>
                <w:szCs w:val="1"/>
                <w:color w:val="auto"/>
              </w:rPr>
            </w:pPr>
          </w:p>
        </w:tc>
      </w:tr>
      <w:tr>
        <w:trPr>
          <w:trHeight w:val="172"/>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19,042</w:t>
            </w:r>
          </w:p>
        </w:tc>
        <w:tc>
          <w:tcPr>
            <w:tcW w:w="0" w:type="dxa"/>
            <w:vAlign w:val="bottom"/>
          </w:tcPr>
          <w:p>
            <w:pPr>
              <w:spacing w:after="0"/>
              <w:rPr>
                <w:sz w:val="1"/>
                <w:szCs w:val="1"/>
                <w:color w:val="auto"/>
              </w:rPr>
            </w:pPr>
          </w:p>
        </w:tc>
      </w:tr>
      <w:tr>
        <w:trPr>
          <w:trHeight w:val="158"/>
        </w:trPr>
        <w:tc>
          <w:tcPr>
            <w:tcW w:w="57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128,964</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(3,208)</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126,950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Debt securities available for sale by contractual maturity at September 30, 2024 and December 31, 2023 are shown below. MBS are not included in the maturity categories because the borrowers in the underlying pools may prepay without penalty; therefore, it is unlikely that the securities will pay at their stated maturity schedule.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20"/>
        </w:trPr>
        <w:tc>
          <w:tcPr>
            <w:tcW w:w="8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240" w:type="dxa"/>
            <w:vAlign w:val="bottom"/>
          </w:tcPr>
          <w:p>
            <w:pPr>
              <w:spacing w:after="0"/>
              <w:rPr>
                <w:sz w:val="10"/>
                <w:szCs w:val="10"/>
                <w:color w:val="auto"/>
              </w:rPr>
            </w:pPr>
          </w:p>
        </w:tc>
        <w:tc>
          <w:tcPr>
            <w:tcW w:w="1100" w:type="dxa"/>
            <w:vAlign w:val="bottom"/>
          </w:tcPr>
          <w:p>
            <w:pPr>
              <w:jc w:val="right"/>
              <w:ind w:right="316"/>
              <w:spacing w:after="0" w:line="120" w:lineRule="exact"/>
              <w:rPr>
                <w:sz w:val="20"/>
                <w:szCs w:val="20"/>
                <w:color w:val="auto"/>
              </w:rPr>
            </w:pPr>
            <w:r>
              <w:rPr>
                <w:rFonts w:ascii="Times New Roman" w:cs="Times New Roman" w:eastAsia="Times New Roman" w:hAnsi="Times New Roman"/>
                <w:sz w:val="13"/>
                <w:szCs w:val="13"/>
                <w:b w:val="1"/>
                <w:bCs w:val="1"/>
                <w:color w:val="auto"/>
              </w:rPr>
              <w:t>Estimated</w:t>
            </w:r>
          </w:p>
        </w:tc>
      </w:tr>
      <w:tr>
        <w:trPr>
          <w:trHeight w:val="169"/>
        </w:trPr>
        <w:tc>
          <w:tcPr>
            <w:tcW w:w="8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240" w:type="dxa"/>
            <w:vAlign w:val="bottom"/>
          </w:tcPr>
          <w:p>
            <w:pPr>
              <w:spacing w:after="0"/>
              <w:rPr>
                <w:sz w:val="14"/>
                <w:szCs w:val="14"/>
                <w:color w:val="auto"/>
              </w:rPr>
            </w:pPr>
          </w:p>
        </w:tc>
        <w:tc>
          <w:tcPr>
            <w:tcW w:w="11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62"/>
        </w:trPr>
        <w:tc>
          <w:tcPr>
            <w:tcW w:w="85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Due within one year</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w:t>
            </w:r>
          </w:p>
        </w:tc>
      </w:tr>
      <w:tr>
        <w:trPr>
          <w:trHeight w:val="168"/>
        </w:trPr>
        <w:tc>
          <w:tcPr>
            <w:tcW w:w="8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1,902</w:t>
            </w:r>
          </w:p>
        </w:tc>
      </w:tr>
      <w:tr>
        <w:trPr>
          <w:trHeight w:val="17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after five years through ten years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4,372</w:t>
            </w:r>
          </w:p>
        </w:tc>
      </w:tr>
      <w:tr>
        <w:trPr>
          <w:trHeight w:val="168"/>
        </w:trPr>
        <w:tc>
          <w:tcPr>
            <w:tcW w:w="8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ten years</w:t>
            </w: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132,026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132,756</w:t>
            </w:r>
          </w:p>
        </w:tc>
      </w:tr>
      <w:tr>
        <w:trPr>
          <w:trHeight w:val="158"/>
        </w:trPr>
        <w:tc>
          <w:tcPr>
            <w:tcW w:w="85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140,486</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140,552</w:t>
            </w: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20"/>
        </w:trPr>
        <w:tc>
          <w:tcPr>
            <w:tcW w:w="8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240" w:type="dxa"/>
            <w:vAlign w:val="bottom"/>
          </w:tcPr>
          <w:p>
            <w:pPr>
              <w:spacing w:after="0"/>
              <w:rPr>
                <w:sz w:val="10"/>
                <w:szCs w:val="10"/>
                <w:color w:val="auto"/>
              </w:rPr>
            </w:pPr>
          </w:p>
        </w:tc>
        <w:tc>
          <w:tcPr>
            <w:tcW w:w="1100" w:type="dxa"/>
            <w:vAlign w:val="bottom"/>
          </w:tcPr>
          <w:p>
            <w:pPr>
              <w:jc w:val="right"/>
              <w:ind w:right="316"/>
              <w:spacing w:after="0" w:line="120" w:lineRule="exact"/>
              <w:rPr>
                <w:sz w:val="20"/>
                <w:szCs w:val="20"/>
                <w:color w:val="auto"/>
              </w:rPr>
            </w:pPr>
            <w:r>
              <w:rPr>
                <w:rFonts w:ascii="Times New Roman" w:cs="Times New Roman" w:eastAsia="Times New Roman" w:hAnsi="Times New Roman"/>
                <w:sz w:val="13"/>
                <w:szCs w:val="13"/>
                <w:b w:val="1"/>
                <w:bCs w:val="1"/>
                <w:color w:val="auto"/>
              </w:rPr>
              <w:t>Estimated</w:t>
            </w:r>
          </w:p>
        </w:tc>
      </w:tr>
      <w:tr>
        <w:trPr>
          <w:trHeight w:val="169"/>
        </w:trPr>
        <w:tc>
          <w:tcPr>
            <w:tcW w:w="8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240" w:type="dxa"/>
            <w:vAlign w:val="bottom"/>
          </w:tcPr>
          <w:p>
            <w:pPr>
              <w:spacing w:after="0"/>
              <w:rPr>
                <w:sz w:val="14"/>
                <w:szCs w:val="14"/>
                <w:color w:val="auto"/>
              </w:rPr>
            </w:pPr>
          </w:p>
        </w:tc>
        <w:tc>
          <w:tcPr>
            <w:tcW w:w="11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62"/>
        </w:trPr>
        <w:tc>
          <w:tcPr>
            <w:tcW w:w="85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Due within one year</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14,848</w:t>
            </w:r>
          </w:p>
        </w:tc>
      </w:tr>
      <w:tr>
        <w:trPr>
          <w:trHeight w:val="168"/>
        </w:trPr>
        <w:tc>
          <w:tcPr>
            <w:tcW w:w="8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w:t>
            </w:r>
          </w:p>
        </w:tc>
      </w:tr>
      <w:tr>
        <w:trPr>
          <w:trHeight w:val="17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after five years through ten years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4,194</w:t>
            </w:r>
          </w:p>
        </w:tc>
      </w:tr>
      <w:tr>
        <w:trPr>
          <w:trHeight w:val="168"/>
        </w:trPr>
        <w:tc>
          <w:tcPr>
            <w:tcW w:w="8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ten years</w:t>
            </w: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105,477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104,499</w:t>
            </w:r>
          </w:p>
        </w:tc>
      </w:tr>
      <w:tr>
        <w:trPr>
          <w:trHeight w:val="158"/>
        </w:trPr>
        <w:tc>
          <w:tcPr>
            <w:tcW w:w="85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128,964</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126,950</w:t>
            </w: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had no sales of debt securities available for sale and no gross realized gains or losses were recognized during the nine months ended September 30, 2024 and 2023.</w:t>
      </w:r>
    </w:p>
    <w:p>
      <w:pPr>
        <w:spacing w:after="0" w:line="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Debt securities available for sale with amortized costs totaling $19,310 and $43,846 and market values of $19,139 and $42,329 at September 30, 2024 and December 31, 2023, respectively, were pledged as collateral to secure various public deposits and other borrowings.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gross unrealized losses and the fair value for debt securities available for sale aggregated by the length of time that individual securities have been in a continuous unrealized loss position as of September 30, 2024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31, 2023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September 30, 2024</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8"/>
          </w:tcPr>
          <w:p>
            <w:pPr>
              <w:ind w:left="32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8"/>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12 Months or More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42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ind w:left="180"/>
              <w:spacing w:after="0" w:line="119"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ind w:left="180"/>
              <w:spacing w:after="0" w:line="119"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16"/>
              <w:spacing w:after="0" w:line="119"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ind w:left="180"/>
              <w:spacing w:after="0" w:line="119"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96"/>
              <w:spacing w:after="0" w:line="119"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 w:type="dxa"/>
            <w:vAlign w:val="bottom"/>
          </w:tcPr>
          <w:p>
            <w:pPr>
              <w:spacing w:after="0"/>
              <w:rPr>
                <w:sz w:val="10"/>
                <w:szCs w:val="10"/>
                <w:color w:val="auto"/>
              </w:rPr>
            </w:pPr>
          </w:p>
        </w:tc>
      </w:tr>
      <w:tr>
        <w:trPr>
          <w:trHeight w:val="169"/>
        </w:trPr>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Losses</w:t>
            </w:r>
          </w:p>
        </w:tc>
      </w:tr>
      <w:tr>
        <w:trPr>
          <w:trHeight w:val="162"/>
        </w:trPr>
        <w:tc>
          <w:tcPr>
            <w:tcW w:w="42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MBS, residential</w:t>
            </w:r>
          </w:p>
        </w:tc>
        <w:tc>
          <w:tcPr>
            <w:tcW w:w="260" w:type="dxa"/>
            <w:vAlign w:val="bottom"/>
            <w:tcBorders>
              <w:top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68,509</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68,528</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20" w:type="dxa"/>
            <w:vAlign w:val="bottom"/>
          </w:tcPr>
          <w:p>
            <w:pPr>
              <w:spacing w:after="0"/>
              <w:rPr>
                <w:sz w:val="14"/>
                <w:szCs w:val="14"/>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 w:type="dxa"/>
            <w:vAlign w:val="bottom"/>
          </w:tcPr>
          <w:p>
            <w:pPr>
              <w:spacing w:after="0"/>
              <w:rPr>
                <w:sz w:val="14"/>
                <w:szCs w:val="14"/>
                <w:color w:val="auto"/>
              </w:rPr>
            </w:pPr>
          </w:p>
        </w:tc>
      </w:tr>
      <w:tr>
        <w:trPr>
          <w:trHeight w:val="17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20" w:type="dxa"/>
            <w:vAlign w:val="bottom"/>
          </w:tcPr>
          <w:p>
            <w:pPr>
              <w:spacing w:after="0"/>
              <w:rPr>
                <w:sz w:val="14"/>
                <w:szCs w:val="14"/>
                <w:color w:val="auto"/>
              </w:rPr>
            </w:pPr>
          </w:p>
        </w:tc>
      </w:tr>
      <w:tr>
        <w:trPr>
          <w:trHeight w:val="158"/>
        </w:trPr>
        <w:tc>
          <w:tcPr>
            <w:tcW w:w="42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Borders>
              <w:top w:val="single" w:sz="8" w:color="auto"/>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75,555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gridSpan w:val="2"/>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75,574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20" w:type="dxa"/>
            <w:vAlign w:val="bottom"/>
          </w:tcPr>
          <w:p>
            <w:pPr>
              <w:spacing w:after="0"/>
              <w:rPr>
                <w:sz w:val="13"/>
                <w:szCs w:val="13"/>
                <w:color w:val="auto"/>
              </w:rPr>
            </w:pPr>
          </w:p>
        </w:tc>
      </w:tr>
      <w:tr>
        <w:trPr>
          <w:trHeight w:val="20"/>
        </w:trPr>
        <w:tc>
          <w:tcPr>
            <w:tcW w:w="4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4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161"/>
        </w:trPr>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8"/>
          </w:tcPr>
          <w:p>
            <w:pPr>
              <w:ind w:left="34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8"/>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12 Months or More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4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ind w:left="200"/>
              <w:spacing w:after="0" w:line="119"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100"/>
              <w:spacing w:after="0" w:line="119"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ind w:left="200"/>
              <w:spacing w:after="0" w:line="119"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140"/>
              <w:spacing w:after="0" w:line="119"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ind w:left="200"/>
              <w:spacing w:after="0" w:line="119"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260"/>
              <w:spacing w:after="0" w:line="119" w:lineRule="exact"/>
              <w:rPr>
                <w:sz w:val="20"/>
                <w:szCs w:val="20"/>
                <w:color w:val="auto"/>
              </w:rPr>
            </w:pPr>
            <w:r>
              <w:rPr>
                <w:rFonts w:ascii="Times New Roman" w:cs="Times New Roman" w:eastAsia="Times New Roman" w:hAnsi="Times New Roman"/>
                <w:sz w:val="13"/>
                <w:szCs w:val="13"/>
                <w:b w:val="1"/>
                <w:bCs w:val="1"/>
                <w:color w:val="auto"/>
              </w:rPr>
              <w:t>Unrealized</w:t>
            </w:r>
          </w:p>
        </w:tc>
      </w:tr>
      <w:tr>
        <w:trPr>
          <w:trHeight w:val="169"/>
        </w:trPr>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Losses</w:t>
            </w:r>
          </w:p>
        </w:tc>
      </w:tr>
      <w:tr>
        <w:trPr>
          <w:trHeight w:val="162"/>
        </w:trPr>
        <w:tc>
          <w:tcPr>
            <w:tcW w:w="42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MBS, residential</w:t>
            </w: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46,978</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w w:val="92"/>
              </w:rPr>
              <w:t>(393)</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35,200</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(1,779)</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82,178</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(2,172)</w:t>
            </w: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(78)</w:t>
            </w:r>
          </w:p>
        </w:tc>
      </w:tr>
      <w:tr>
        <w:trPr>
          <w:trHeight w:val="17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w w:val="92"/>
              </w:rPr>
              <w:t>(132)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17,674</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(826)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18,292</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(958)</w:t>
            </w:r>
          </w:p>
        </w:tc>
      </w:tr>
      <w:tr>
        <w:trPr>
          <w:trHeight w:val="158"/>
        </w:trPr>
        <w:tc>
          <w:tcPr>
            <w:tcW w:w="42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47,596</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3"/>
                <w:szCs w:val="13"/>
                <w:color w:val="auto"/>
                <w:w w:val="92"/>
              </w:rPr>
              <w:t>(525)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56,283</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(2,683)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103,879</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(3,208)</w:t>
            </w:r>
          </w:p>
        </w:tc>
      </w:tr>
      <w:tr>
        <w:trPr>
          <w:trHeight w:val="20"/>
        </w:trPr>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total number of securities with unrealized losses at September 30, 2024 and December 31, 2023 were 157 and 187, respectively.</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September 30, 2024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Accounting Policies" in our 2023 Form 10-KT for further discussion.</w:t>
      </w:r>
    </w:p>
    <w:p>
      <w:pPr>
        <w:spacing w:after="0" w:line="3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spacing w:after="0" w:line="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Management excludes the accrued interest receivable balance from the amortized cost basis in measuring ECL on investment securities and does not record an ACL on accrued interest receivable. As of September 30, 2024 and December 31, 2023, accrued interest receivable for debt securities available for sale was $494 and $469, respectively.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5.  Loans Held For Sale</w:t>
            </w: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8"/>
        </w:trPr>
        <w:tc>
          <w:tcPr>
            <w:tcW w:w="74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Loans held for sale, at the lower of cost or fair value, consist of the following as of the dates indicated:</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3"/>
        </w:trPr>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Pr>
          <w:p>
            <w:pPr>
              <w:spacing w:after="0"/>
              <w:rPr>
                <w:sz w:val="15"/>
                <w:szCs w:val="15"/>
                <w:color w:val="auto"/>
              </w:rPr>
            </w:pPr>
          </w:p>
        </w:tc>
        <w:tc>
          <w:tcPr>
            <w:tcW w:w="154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3"/>
        </w:trPr>
        <w:tc>
          <w:tcPr>
            <w:tcW w:w="7440" w:type="dxa"/>
            <w:vAlign w:val="bottom"/>
            <w:tcBorders>
              <w:top w:val="single" w:sz="8" w:color="CCEEFF"/>
            </w:tcBorders>
            <w:gridSpan w:val="3"/>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One-to-four family</w:t>
            </w: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23,267</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30,650</w:t>
            </w:r>
          </w:p>
        </w:tc>
      </w:tr>
      <w:tr>
        <w:trPr>
          <w:trHeight w:val="172"/>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HELOCs</w:t>
            </w:r>
          </w:p>
        </w:tc>
        <w:tc>
          <w:tcPr>
            <w:tcW w:w="2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165,667</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167,783</w:t>
            </w:r>
          </w:p>
        </w:tc>
      </w:tr>
      <w:tr>
        <w:trPr>
          <w:trHeight w:val="158"/>
        </w:trPr>
        <w:tc>
          <w:tcPr>
            <w:tcW w:w="74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Total loans held for sale, at the lower of cost or fair value</w:t>
            </w: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189,722</w:t>
            </w:r>
          </w:p>
        </w:tc>
        <w:tc>
          <w:tcPr>
            <w:tcW w:w="6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198,433</w:t>
            </w:r>
          </w:p>
        </w:tc>
      </w:tr>
      <w:tr>
        <w:trPr>
          <w:trHeight w:val="20"/>
        </w:trPr>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carrying balance of loans held for sale, at fair value, was $2,968 and $3,359 at September 30, 2024 and December 31, 2023, respectively, while the amortized cost of these loans was $2,914 and $3,286 at the same dates.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6" w:lineRule="exact"/>
        <w:rPr>
          <w:sz w:val="20"/>
          <w:szCs w:val="20"/>
          <w:color w:val="auto"/>
        </w:rPr>
      </w:pPr>
    </w:p>
    <w:p>
      <w:pPr>
        <w:ind w:right="8400" w:firstLine="5"/>
        <w:spacing w:after="0" w:line="271" w:lineRule="auto"/>
        <w:tabs>
          <w:tab w:leader="none" w:pos="223"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 xml:space="preserve">Loans and Allowance for Credit Losses on Loans </w:t>
      </w:r>
      <w:r>
        <w:rPr>
          <w:rFonts w:ascii="Times New Roman" w:cs="Times New Roman" w:eastAsia="Times New Roman" w:hAnsi="Times New Roman"/>
          <w:sz w:val="12"/>
          <w:szCs w:val="12"/>
          <w:color w:val="auto"/>
        </w:rPr>
        <w:t>Loans consist of the following at the dates indicated</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w:t>
      </w:r>
    </w:p>
    <w:tbl>
      <w:tblPr>
        <w:tblLayout w:type="fixed"/>
        <w:tblInd w:w="0" w:type="dxa"/>
        <w:tblCellMar>
          <w:top w:w="0" w:type="dxa"/>
          <w:left w:w="0" w:type="dxa"/>
          <w:bottom w:w="0" w:type="dxa"/>
          <w:right w:w="0" w:type="dxa"/>
        </w:tblCellMar>
      </w:tblPr>
      <w:tr>
        <w:trPr>
          <w:trHeight w:val="156"/>
        </w:trPr>
        <w:tc>
          <w:tcPr>
            <w:tcW w:w="7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Pr>
          <w:p>
            <w:pPr>
              <w:spacing w:after="0"/>
              <w:rPr>
                <w:sz w:val="13"/>
                <w:szCs w:val="13"/>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0"/>
        </w:trPr>
        <w:tc>
          <w:tcPr>
            <w:tcW w:w="76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22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r>
      <w:tr>
        <w:trPr>
          <w:trHeight w:val="168"/>
        </w:trPr>
        <w:tc>
          <w:tcPr>
            <w:tcW w:w="7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300,905</w:t>
            </w:r>
          </w:p>
        </w:tc>
        <w:tc>
          <w:tcPr>
            <w:tcW w:w="100" w:type="dxa"/>
            <w:vAlign w:val="bottom"/>
          </w:tcPr>
          <w:p>
            <w:pPr>
              <w:spacing w:after="0"/>
              <w:rPr>
                <w:sz w:val="14"/>
                <w:szCs w:val="14"/>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305,269</w:t>
            </w:r>
          </w:p>
        </w:tc>
      </w:tr>
      <w:tr>
        <w:trPr>
          <w:trHeight w:val="172"/>
        </w:trPr>
        <w:tc>
          <w:tcPr>
            <w:tcW w:w="7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544,689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536,545</w:t>
            </w:r>
          </w:p>
        </w:tc>
      </w:tr>
      <w:tr>
        <w:trPr>
          <w:trHeight w:val="168"/>
        </w:trPr>
        <w:tc>
          <w:tcPr>
            <w:tcW w:w="7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881,340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875,694</w:t>
            </w:r>
          </w:p>
        </w:tc>
      </w:tr>
      <w:tr>
        <w:trPr>
          <w:trHeight w:val="172"/>
        </w:trPr>
        <w:tc>
          <w:tcPr>
            <w:tcW w:w="7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114,155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88,623</w:t>
            </w:r>
          </w:p>
        </w:tc>
      </w:tr>
      <w:tr>
        <w:trPr>
          <w:trHeight w:val="158"/>
        </w:trPr>
        <w:tc>
          <w:tcPr>
            <w:tcW w:w="762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commercial real estate loans</w:t>
            </w: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1,841,089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1,806,131</w:t>
            </w:r>
          </w:p>
        </w:tc>
      </w:tr>
      <w:tr>
        <w:trPr>
          <w:trHeight w:val="17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68"/>
        </w:trPr>
        <w:tc>
          <w:tcPr>
            <w:tcW w:w="7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286,809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237,255</w:t>
            </w:r>
          </w:p>
        </w:tc>
      </w:tr>
      <w:tr>
        <w:trPr>
          <w:trHeight w:val="172"/>
        </w:trPr>
        <w:tc>
          <w:tcPr>
            <w:tcW w:w="7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443,033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465,573</w:t>
            </w:r>
          </w:p>
        </w:tc>
      </w:tr>
      <w:tr>
        <w:trPr>
          <w:trHeight w:val="168"/>
        </w:trPr>
        <w:tc>
          <w:tcPr>
            <w:tcW w:w="7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158,560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150,292</w:t>
            </w:r>
          </w:p>
        </w:tc>
      </w:tr>
      <w:tr>
        <w:trPr>
          <w:trHeight w:val="163"/>
        </w:trPr>
        <w:tc>
          <w:tcPr>
            <w:tcW w:w="76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commercial loans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888,402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853,120</w:t>
            </w:r>
          </w:p>
        </w:tc>
      </w:tr>
      <w:tr>
        <w:trPr>
          <w:trHeight w:val="169"/>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7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96,646</w:t>
            </w:r>
          </w:p>
        </w:tc>
      </w:tr>
      <w:tr>
        <w:trPr>
          <w:trHeight w:val="168"/>
        </w:trPr>
        <w:tc>
          <w:tcPr>
            <w:tcW w:w="7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627,845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584,405</w:t>
            </w:r>
          </w:p>
        </w:tc>
      </w:tr>
      <w:tr>
        <w:trPr>
          <w:trHeight w:val="172"/>
        </w:trPr>
        <w:tc>
          <w:tcPr>
            <w:tcW w:w="7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194,909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185,878</w:t>
            </w:r>
          </w:p>
        </w:tc>
      </w:tr>
      <w:tr>
        <w:trPr>
          <w:trHeight w:val="158"/>
        </w:trPr>
        <w:tc>
          <w:tcPr>
            <w:tcW w:w="762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residential real estate loans</w:t>
            </w: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885,770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866,929</w:t>
            </w:r>
          </w:p>
        </w:tc>
      </w:tr>
      <w:tr>
        <w:trPr>
          <w:trHeight w:val="17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loans</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83,631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113,842</w:t>
            </w:r>
          </w:p>
        </w:tc>
      </w:tr>
      <w:tr>
        <w:trPr>
          <w:trHeight w:val="158"/>
        </w:trPr>
        <w:tc>
          <w:tcPr>
            <w:tcW w:w="76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Total loans, net of deferred loan fees and costs</w:t>
            </w: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3,698,892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3,640,022</w:t>
            </w:r>
          </w:p>
        </w:tc>
      </w:tr>
      <w:tr>
        <w:trPr>
          <w:trHeight w:val="17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ACL on loans</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(48,131)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(48,641)</w:t>
            </w:r>
          </w:p>
        </w:tc>
      </w:tr>
      <w:tr>
        <w:trPr>
          <w:trHeight w:val="158"/>
        </w:trPr>
        <w:tc>
          <w:tcPr>
            <w:tcW w:w="76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Loans, net</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3,650,761</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3,591,381</w:t>
            </w: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1"/>
          <w:szCs w:val="11"/>
          <w:color w:val="auto"/>
        </w:rPr>
        <w:t>(1)</w:t>
        <w:tab/>
        <w:t>At September 30, 2024 and December 31, 2023 accrued interest receivable of $16,679 and $16,218, respectively, was accounted for separately from the amortized cost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qualifying one-to-four family loans, HELOCs, commercial real estate loans and FHLB of Atlanta stock are pledged as collateral by a blanket pledge to secure outstanding FHLB advances.</w:t>
      </w:r>
    </w:p>
    <w:p>
      <w:pPr>
        <w:spacing w:after="0" w:line="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Loans are made to the Company's executive officers, directors and their associates during the ordinary course of business. The aggregate amount of loans to such related parties totaled approximately $253 and $209 at September 30, 2024 and December 31, 2023, respectively. In relation to these loans are unfunded commitments that totaled approximately $3 at both September 30, 2024 and December 31, 2023, respectively.</w:t>
      </w:r>
    </w:p>
    <w:p>
      <w:pPr>
        <w:spacing w:after="0" w:line="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u w:val="single" w:color="auto"/>
          <w:color w:val="auto"/>
        </w:rPr>
        <w:t>Pass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A pass rated loan is not adversely classified because it does not display any of the characteristics for adverse classification.</w:t>
      </w:r>
    </w:p>
    <w:p>
      <w:pPr>
        <w:spacing w:after="0" w:line="30" w:lineRule="exact"/>
        <w:rPr>
          <w:sz w:val="20"/>
          <w:szCs w:val="20"/>
          <w:color w:val="auto"/>
        </w:rPr>
      </w:pPr>
    </w:p>
    <w:p>
      <w:pPr>
        <w:ind w:left="140"/>
        <w:spacing w:after="0" w:line="270" w:lineRule="auto"/>
        <w:rPr>
          <w:sz w:val="20"/>
          <w:szCs w:val="20"/>
          <w:color w:val="auto"/>
        </w:rPr>
      </w:pPr>
      <w:r>
        <w:rPr>
          <w:rFonts w:ascii="Times New Roman" w:cs="Times New Roman" w:eastAsia="Times New Roman" w:hAnsi="Times New Roman"/>
          <w:sz w:val="13"/>
          <w:szCs w:val="13"/>
          <w:u w:val="single" w:color="auto"/>
          <w:color w:val="auto"/>
        </w:rPr>
        <w:t>Special Mention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A special mention loan has potential weaknesses that deserve management’s close attention. If left uncorrected, such potential weaknesses may result in deterioration of the repayment prospects or collateral position at some future date. Special mention loans are not adversely classified and do not warrant adverse classification.</w:t>
      </w:r>
    </w:p>
    <w:p>
      <w:pPr>
        <w:spacing w:after="0" w:line="1" w:lineRule="exact"/>
        <w:rPr>
          <w:sz w:val="20"/>
          <w:szCs w:val="20"/>
          <w:color w:val="auto"/>
        </w:rPr>
      </w:pPr>
    </w:p>
    <w:p>
      <w:pPr>
        <w:ind w:left="140"/>
        <w:spacing w:after="0" w:line="270" w:lineRule="auto"/>
        <w:rPr>
          <w:sz w:val="20"/>
          <w:szCs w:val="20"/>
          <w:color w:val="auto"/>
        </w:rPr>
      </w:pPr>
      <w:r>
        <w:rPr>
          <w:rFonts w:ascii="Times New Roman" w:cs="Times New Roman" w:eastAsia="Times New Roman" w:hAnsi="Times New Roman"/>
          <w:sz w:val="13"/>
          <w:szCs w:val="13"/>
          <w:u w:val="single" w:color="auto"/>
          <w:color w:val="auto"/>
        </w:rPr>
        <w:t>Substandard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A substandard loan is inadequately protected by the current net worth and paying capacity of the obligor, or of the collateral pledged, if any. Loans classified as substandard generally have a well-defined weakness, or weaknesses, that jeopardize the liquidation of the debt. These loans are characterized by the distinct possibility of loss if the deficiencies are not corrected.</w:t>
      </w:r>
    </w:p>
    <w:p>
      <w:pPr>
        <w:spacing w:after="0" w:line="1" w:lineRule="exact"/>
        <w:rPr>
          <w:sz w:val="20"/>
          <w:szCs w:val="20"/>
          <w:color w:val="auto"/>
        </w:rPr>
      </w:pPr>
    </w:p>
    <w:p>
      <w:pPr>
        <w:ind w:left="140"/>
        <w:spacing w:after="0" w:line="270" w:lineRule="auto"/>
        <w:rPr>
          <w:sz w:val="20"/>
          <w:szCs w:val="20"/>
          <w:color w:val="auto"/>
        </w:rPr>
      </w:pPr>
      <w:r>
        <w:rPr>
          <w:rFonts w:ascii="Times New Roman" w:cs="Times New Roman" w:eastAsia="Times New Roman" w:hAnsi="Times New Roman"/>
          <w:sz w:val="13"/>
          <w:szCs w:val="13"/>
          <w:u w:val="single" w:color="auto"/>
          <w:color w:val="auto"/>
        </w:rPr>
        <w:t>Doubtful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A loan classified as doubtful has all the weaknesses inherent in a loan classified substandard with the added characteristic that the weaknesses make collection or liquidation in full highly questionable and improbable, on the basis of currently existing facts, conditions and values.</w:t>
      </w:r>
    </w:p>
    <w:p>
      <w:pPr>
        <w:spacing w:after="0" w:line="1" w:lineRule="exact"/>
        <w:rPr>
          <w:sz w:val="20"/>
          <w:szCs w:val="20"/>
          <w:color w:val="auto"/>
        </w:rPr>
      </w:pPr>
    </w:p>
    <w:p>
      <w:pPr>
        <w:ind w:left="140"/>
        <w:spacing w:after="0" w:line="286" w:lineRule="auto"/>
        <w:rPr>
          <w:sz w:val="20"/>
          <w:szCs w:val="20"/>
          <w:color w:val="auto"/>
        </w:rPr>
      </w:pPr>
      <w:r>
        <w:rPr>
          <w:rFonts w:ascii="Times New Roman" w:cs="Times New Roman" w:eastAsia="Times New Roman" w:hAnsi="Times New Roman"/>
          <w:sz w:val="13"/>
          <w:szCs w:val="13"/>
          <w:u w:val="single" w:color="auto"/>
          <w:color w:val="auto"/>
        </w:rPr>
        <w:t>Loss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Loans classified as loss are considered uncollectible and of such little value that their continuing to be carried as a loan is not warranted. This classification is not necessarily equivalent to no potential for recovery or salvage value, but rather that it is not appropriate to defer a full write-off even though partial recovery may be effected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following tables present the credit risk profile by risk grade for commercial real estate, commercial, residential real estate and consumer loans by origination year as of September 30, 2024. Also included in the tables detailing loan balances are gross charge-offs for the nine months ended September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2023-S</w:t>
            </w:r>
            <w:r>
              <w:rPr>
                <w:rFonts w:ascii="Times New Roman" w:cs="Times New Roman" w:eastAsia="Times New Roman" w:hAnsi="Times New Roman"/>
                <w:sz w:val="7"/>
                <w:szCs w:val="7"/>
                <w:b w:val="1"/>
                <w:bCs w:val="1"/>
                <w:color w:val="auto"/>
              </w:rPr>
              <w:t>(1)</w:t>
            </w: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99,027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57,217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62,655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300,141</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99,027</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57,217</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62,655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59,756</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10,714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7,439</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4,097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300,905</w:t>
            </w:r>
          </w:p>
        </w:tc>
      </w:tr>
      <w:tr>
        <w:trPr>
          <w:trHeight w:val="29"/>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 – owner occupied</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44,445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35,877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65,978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99,150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83,016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201,112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533,992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2,967</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7,401</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 – owner occupied</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44,445</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36,151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66,383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99,875</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83,458</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209,963</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4,414</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544,689</w:t>
            </w:r>
          </w:p>
        </w:tc>
      </w:tr>
      <w:tr>
        <w:trPr>
          <w:trHeight w:val="29"/>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 – non-owner occupied</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57,539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22,168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98,035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147,252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176,222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335,226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845,802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3,675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15,095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22,600</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3,046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12,938</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 – non-owner occupied</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57,539</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22,168</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104,756</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151,082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176,222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360,213</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9,360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881,340</w:t>
            </w:r>
          </w:p>
        </w:tc>
      </w:tr>
      <w:tr>
        <w:trPr>
          <w:trHeight w:val="29"/>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Multifamily</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46,656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113,817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multifamily</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9,919</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5,505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6,581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19,195</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46,656</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26,299</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114,155</w:t>
            </w:r>
          </w:p>
        </w:tc>
      </w:tr>
      <w:tr>
        <w:trPr>
          <w:trHeight w:val="29"/>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real estate</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210,930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120,767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233,249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325,353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315,844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569,738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1,793,752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3,826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26,418</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20,590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210,930</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121,041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240,375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329,908</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317,050</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603,914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17,871</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1,841,089</w:t>
            </w:r>
          </w:p>
        </w:tc>
      </w:tr>
      <w:tr>
        <w:trPr>
          <w:trHeight w:val="25"/>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period gross charge-offs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00" w:hanging="195"/>
        <w:spacing w:after="0" w:line="271" w:lineRule="auto"/>
        <w:tabs>
          <w:tab w:leader="none" w:pos="199"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9"/>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b w:val="1"/>
                <w:bCs w:val="1"/>
                <w:color w:val="auto"/>
              </w:rPr>
              <w:t>2023-S</w:t>
            </w:r>
            <w:r>
              <w:rPr>
                <w:rFonts w:ascii="Times New Roman" w:cs="Times New Roman" w:eastAsia="Times New Roman" w:hAnsi="Times New Roman"/>
                <w:sz w:val="14"/>
                <w:szCs w:val="14"/>
                <w:b w:val="1"/>
                <w:bCs w:val="1"/>
                <w:color w:val="auto"/>
                <w:vertAlign w:val="superscript"/>
              </w:rPr>
              <w:t>(1)</w:t>
            </w: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and industrial</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63,013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26,895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43,555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71,858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278,567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3,316</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and industrial</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63,013</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27,174</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44,895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40,025</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12,030</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27,494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72,178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286,809</w:t>
            </w:r>
          </w:p>
        </w:tc>
      </w:tr>
      <w:tr>
        <w:trPr>
          <w:trHeight w:val="29"/>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3,364</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Equipment finance</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98,055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69,198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138,203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77,660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432,207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2,457</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1,953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5,037</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equipment finance</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98,055</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69,610</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140,908</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84,031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35,965</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14,464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443,033</w:t>
            </w:r>
          </w:p>
        </w:tc>
      </w:tr>
      <w:tr>
        <w:trPr>
          <w:trHeight w:val="29"/>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2,129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5,431</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Municipal leases</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17,098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25,129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158,560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municipal leases</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17,098</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18,901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25,129</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23,173</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24,869</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49,390</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158,560</w:t>
            </w:r>
          </w:p>
        </w:tc>
      </w:tr>
      <w:tr>
        <w:trPr>
          <w:trHeight w:val="29"/>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178,166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114,994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206,887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138,911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71,327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71,858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869,334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5,773</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1,953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5,293</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178,166</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115,685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210,932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147,229</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72,864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91,348</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72,178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888,402</w:t>
            </w:r>
          </w:p>
        </w:tc>
      </w:tr>
      <w:tr>
        <w:trPr>
          <w:trHeight w:val="25"/>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period gross charge-offs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3,297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8,795</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9"/>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1"/>
                <w:szCs w:val="11"/>
                <w:b w:val="1"/>
                <w:bCs w:val="1"/>
                <w:color w:val="auto"/>
              </w:rPr>
              <w:t>2023-S</w:t>
            </w:r>
            <w:r>
              <w:rPr>
                <w:rFonts w:ascii="Times New Roman" w:cs="Times New Roman" w:eastAsia="Times New Roman" w:hAnsi="Times New Roman"/>
                <w:sz w:val="14"/>
                <w:szCs w:val="14"/>
                <w:b w:val="1"/>
                <w:bCs w:val="1"/>
                <w:color w:val="auto"/>
                <w:vertAlign w:val="superscript"/>
              </w:rPr>
              <w:t>(1)</w:t>
            </w: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8,676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13,703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27,536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62,882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8,676</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13,703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27,536</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9,671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718</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63,016</w:t>
            </w:r>
          </w:p>
        </w:tc>
      </w:tr>
      <w:tr>
        <w:trPr>
          <w:trHeight w:val="29"/>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One-to-four family</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30,254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20,789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147,351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152,076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101,669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161,554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7,590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621,283</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one-to-four family</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30,443</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21,144</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147,945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152,746</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101,669</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166,263</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7,635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627,845</w:t>
            </w:r>
          </w:p>
        </w:tc>
      </w:tr>
      <w:tr>
        <w:trPr>
          <w:trHeight w:val="29"/>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22"/>
        </w:trPr>
        <w:tc>
          <w:tcPr>
            <w:tcW w:w="324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HELOCs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190,533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190,533</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4,376</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HELOCs</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194,909</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194,909</w:t>
            </w:r>
          </w:p>
        </w:tc>
      </w:tr>
      <w:tr>
        <w:trPr>
          <w:trHeight w:val="29"/>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r>
      <w:tr>
        <w:trPr>
          <w:trHeight w:val="22"/>
        </w:trPr>
        <w:tc>
          <w:tcPr>
            <w:tcW w:w="324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residential real estate</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34,492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174,887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161,747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104,381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162,138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198,123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874,698</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residential real estate</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39,119</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34,847</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175,481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162,417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104,381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166,981</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202,544</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885,770</w:t>
            </w:r>
          </w:p>
        </w:tc>
      </w:tr>
      <w:tr>
        <w:trPr>
          <w:trHeight w:val="25"/>
        </w:trPr>
        <w:tc>
          <w:tcPr>
            <w:tcW w:w="3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period gross charge-offs</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4"/>
        </w:trPr>
        <w:tc>
          <w:tcPr>
            <w:tcW w:w="3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59"/>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1"/>
                <w:szCs w:val="11"/>
                <w:b w:val="1"/>
                <w:bCs w:val="1"/>
                <w:color w:val="auto"/>
              </w:rPr>
              <w:t>2023-S</w:t>
            </w:r>
            <w:r>
              <w:rPr>
                <w:rFonts w:ascii="Times New Roman" w:cs="Times New Roman" w:eastAsia="Times New Roman" w:hAnsi="Times New Roman"/>
                <w:sz w:val="14"/>
                <w:szCs w:val="14"/>
                <w:b w:val="1"/>
                <w:bCs w:val="1"/>
                <w:color w:val="auto"/>
                <w:vertAlign w:val="superscript"/>
              </w:rPr>
              <w:t>(1)</w:t>
            </w: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consumer</w:t>
            </w: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20,200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37,074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82,584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consumer</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5,067</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20,252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37,558</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9,903</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6,363</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4,222</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83,631</w:t>
            </w:r>
          </w:p>
        </w:tc>
      </w:tr>
      <w:tr>
        <w:trPr>
          <w:trHeight w:val="25"/>
        </w:trPr>
        <w:tc>
          <w:tcPr>
            <w:tcW w:w="3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5"/>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period gross charge-offs</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1,021</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3"/>
          <w:szCs w:val="13"/>
          <w:color w:val="auto"/>
        </w:rPr>
        <w:t>The following tables present the credit risk profile by risk grade for commercial real estate, commercial, residential real estate and consumer loans by origination year as of December 31, 2023</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Also included in the tables detailing loan balances are gross charge-offs for the year ended December 31, 2023.</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2023-S</w:t>
            </w:r>
            <w:r>
              <w:rPr>
                <w:rFonts w:ascii="Times New Roman" w:cs="Times New Roman" w:eastAsia="Times New Roman" w:hAnsi="Times New Roman"/>
                <w:sz w:val="7"/>
                <w:szCs w:val="7"/>
                <w:b w:val="1"/>
                <w:bCs w:val="1"/>
                <w:color w:val="auto"/>
              </w:rPr>
              <w:t>(1)</w:t>
            </w: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61,716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105,170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88,320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304,990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61,716</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105,170</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88,599</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37,197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7,581</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4,805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305,269</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Commercial real estate </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owner occupied</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35,428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61,090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104,005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90,506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159,328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525,964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6,476</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 – owner occupied</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35,428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61,239</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104,532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90,954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74,781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166,125</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3,486</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536,545</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Commercial real estate </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non-owner occupied</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104,881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155,782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185,264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95,749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302,341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862,193</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13,207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 – non-owner occupied</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11,716</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107,959</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155,782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185,264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101,929</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306,584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6,460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875,694</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Multifamily</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4,184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86,672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1,583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1,672</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multifamily</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5,515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4,184</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20,180</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21,411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10,921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25,768</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88,623</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real estate</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114,375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275,325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366,704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334,378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178,992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494,650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15,395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1,779,819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8,442</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17,369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114,375</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278,552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369,093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334,826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187,832</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506,058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15,395</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1,806,131</w:t>
            </w:r>
          </w:p>
        </w:tc>
      </w:tr>
      <w:tr>
        <w:trPr>
          <w:trHeight w:val="22"/>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200" w:hanging="195"/>
        <w:spacing w:after="0" w:line="271" w:lineRule="auto"/>
        <w:tabs>
          <w:tab w:leader="none" w:pos="199"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spacing w:after="0" w:line="5" w:lineRule="exact"/>
        <w:rPr>
          <w:rFonts w:ascii="Times New Roman" w:cs="Times New Roman" w:eastAsia="Times New Roman" w:hAnsi="Times New Roman"/>
          <w:sz w:val="10"/>
          <w:szCs w:val="10"/>
          <w:color w:val="auto"/>
        </w:rPr>
      </w:pPr>
    </w:p>
    <w:p>
      <w:pPr>
        <w:ind w:left="200" w:hanging="195"/>
        <w:spacing w:after="0"/>
        <w:tabs>
          <w:tab w:leader="none" w:pos="200" w:val="left"/>
        </w:tabs>
        <w:numPr>
          <w:ilvl w:val="0"/>
          <w:numId w:val="9"/>
        </w:numPr>
        <w:rPr>
          <w:rFonts w:ascii="Times New Roman" w:cs="Times New Roman" w:eastAsia="Times New Roman" w:hAnsi="Times New Roman"/>
          <w:sz w:val="10"/>
          <w:szCs w:val="10"/>
          <w:color w:val="231F20"/>
        </w:rPr>
      </w:pPr>
      <w:r>
        <w:rPr>
          <w:rFonts w:ascii="Times New Roman" w:cs="Times New Roman" w:eastAsia="Times New Roman" w:hAnsi="Times New Roman"/>
          <w:sz w:val="10"/>
          <w:szCs w:val="10"/>
          <w:color w:val="auto"/>
        </w:rPr>
        <w:t>This table reflects the correction of an immaterial error in the prior period disclosure. See "Note 1 – Summary of Significant Accounting Policies" for further information.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9"/>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Pr>
          <w:p>
            <w:pPr>
              <w:spacing w:after="0"/>
              <w:rPr>
                <w:sz w:val="13"/>
                <w:szCs w:val="13"/>
                <w:color w:val="auto"/>
              </w:rPr>
            </w:pPr>
          </w:p>
        </w:tc>
        <w:tc>
          <w:tcPr>
            <w:tcW w:w="84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1"/>
                <w:szCs w:val="11"/>
                <w:b w:val="1"/>
                <w:bCs w:val="1"/>
                <w:color w:val="auto"/>
              </w:rPr>
              <w:t>2023-S</w:t>
            </w:r>
            <w:r>
              <w:rPr>
                <w:rFonts w:ascii="Times New Roman" w:cs="Times New Roman" w:eastAsia="Times New Roman" w:hAnsi="Times New Roman"/>
                <w:sz w:val="14"/>
                <w:szCs w:val="14"/>
                <w:b w:val="1"/>
                <w:bCs w:val="1"/>
                <w:color w:val="auto"/>
                <w:vertAlign w:val="superscript"/>
              </w:rPr>
              <w:t>(1)</w:t>
            </w: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and industrial</w:t>
            </w: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19,180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51,742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60,487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49,663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228,641</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and industrial</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19,180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53,455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61,055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14,333</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12,727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22,871</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53,634</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237,255</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3,115</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Equipment finance</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83,332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172,704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113,363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57,295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457,100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1,980</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2,645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6,153</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equipment finance</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83,332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175,893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116,527</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58,304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26,277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5,240</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465,573</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2,044</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Municipal leases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17,372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34,203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28,241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150,292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municipal leases</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17,372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34,203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28,241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15,742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7,358</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47,376</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150,292</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119,884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258,649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202,091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87,183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74,582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49,663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836,033</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6,775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3,358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7,352</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119,884</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263,551</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205,823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88,379</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46,362</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75,487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53,634</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853,120</w:t>
            </w:r>
          </w:p>
        </w:tc>
      </w:tr>
      <w:tr>
        <w:trPr>
          <w:trHeight w:val="22"/>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9"/>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ind w:left="80"/>
              <w:spacing w:after="0" w:line="159" w:lineRule="exact"/>
              <w:rPr>
                <w:sz w:val="20"/>
                <w:szCs w:val="20"/>
                <w:color w:val="auto"/>
              </w:rPr>
            </w:pPr>
            <w:r>
              <w:rPr>
                <w:rFonts w:ascii="Times New Roman" w:cs="Times New Roman" w:eastAsia="Times New Roman" w:hAnsi="Times New Roman"/>
                <w:sz w:val="11"/>
                <w:szCs w:val="11"/>
                <w:b w:val="1"/>
                <w:bCs w:val="1"/>
                <w:color w:val="auto"/>
              </w:rPr>
              <w:t>2023-S</w:t>
            </w:r>
            <w:r>
              <w:rPr>
                <w:rFonts w:ascii="Times New Roman" w:cs="Times New Roman" w:eastAsia="Times New Roman" w:hAnsi="Times New Roman"/>
                <w:sz w:val="14"/>
                <w:szCs w:val="14"/>
                <w:b w:val="1"/>
                <w:bCs w:val="1"/>
                <w:color w:val="auto"/>
                <w:vertAlign w:val="superscript"/>
              </w:rPr>
              <w:t>(1)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7,669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64,716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96,509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160" w:type="dxa"/>
            <w:vAlign w:val="bottom"/>
            <w:tcBorders>
              <w:top w:val="single" w:sz="8" w:color="auto"/>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7,669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64,716</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18,841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96,646</w:t>
            </w:r>
          </w:p>
        </w:tc>
      </w:tr>
      <w:tr>
        <w:trPr>
          <w:trHeight w:val="29"/>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One-to-four family</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19,532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102,902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153,029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109,870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139,061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578,760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5,111</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one-to-four family</w:t>
            </w:r>
          </w:p>
        </w:tc>
        <w:tc>
          <w:tcPr>
            <w:tcW w:w="160" w:type="dxa"/>
            <w:vAlign w:val="bottom"/>
            <w:tcBorders>
              <w:top w:val="single" w:sz="8" w:color="auto"/>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19,532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103,285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153,287</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109,870</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49,173</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143,863</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5,395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584,405</w:t>
            </w:r>
          </w:p>
        </w:tc>
      </w:tr>
      <w:tr>
        <w:trPr>
          <w:trHeight w:val="29"/>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22"/>
        </w:trPr>
        <w:tc>
          <w:tcPr>
            <w:tcW w:w="3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HELOCs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183,815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183,815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HELOCs</w:t>
            </w:r>
          </w:p>
        </w:tc>
        <w:tc>
          <w:tcPr>
            <w:tcW w:w="160" w:type="dxa"/>
            <w:vAlign w:val="bottom"/>
            <w:tcBorders>
              <w:top w:val="single" w:sz="8" w:color="auto"/>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185,878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185,878</w:t>
            </w:r>
          </w:p>
        </w:tc>
      </w:tr>
      <w:tr>
        <w:trPr>
          <w:trHeight w:val="29"/>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residential real estate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27,201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167,618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171,870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113,872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140,298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189,210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859,084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residential real estate</w:t>
            </w:r>
          </w:p>
        </w:tc>
        <w:tc>
          <w:tcPr>
            <w:tcW w:w="160" w:type="dxa"/>
            <w:vAlign w:val="bottom"/>
            <w:tcBorders>
              <w:top w:val="single" w:sz="8" w:color="auto"/>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27,201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168,001</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172,128</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113,872</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49,217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145,237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191,273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866,929</w:t>
            </w:r>
          </w:p>
        </w:tc>
      </w:tr>
      <w:tr>
        <w:trPr>
          <w:trHeight w:val="22"/>
        </w:trPr>
        <w:tc>
          <w:tcPr>
            <w:tcW w:w="3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7"/>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period gross charge-offs</w:t>
            </w:r>
          </w:p>
        </w:tc>
        <w:tc>
          <w:tcPr>
            <w:tcW w:w="160" w:type="dxa"/>
            <w:vAlign w:val="bottom"/>
            <w:tcBorders>
              <w:bottom w:val="single" w:sz="8" w:color="auto"/>
            </w:tcBorders>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auto"/>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20"/>
        </w:trPr>
        <w:tc>
          <w:tcPr>
            <w:tcW w:w="3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3"/>
        </w:trPr>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2023-S</w:t>
            </w:r>
            <w:r>
              <w:rPr>
                <w:rFonts w:ascii="Times New Roman" w:cs="Times New Roman" w:eastAsia="Times New Roman" w:hAnsi="Times New Roman"/>
                <w:sz w:val="7"/>
                <w:szCs w:val="7"/>
                <w:b w:val="1"/>
                <w:bCs w:val="1"/>
                <w:color w:val="auto"/>
              </w:rPr>
              <w:t>(1)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consumer</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26,569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51,351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14,408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112,690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1,141</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0"/>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consumer</w:t>
            </w: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26,569</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51,687</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14,673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9,885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6,485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4,210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113,842</w:t>
            </w:r>
          </w:p>
        </w:tc>
      </w:tr>
      <w:tr>
        <w:trPr>
          <w:trHeight w:val="22"/>
        </w:trPr>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period gross charge-offs</w:t>
            </w: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00" w:type="dxa"/>
            <w:vAlign w:val="bottom"/>
            <w:gridSpan w:val="7"/>
          </w:tcPr>
          <w:p>
            <w:pPr>
              <w:spacing w:after="0"/>
              <w:rPr>
                <w:sz w:val="20"/>
                <w:szCs w:val="20"/>
                <w:color w:val="auto"/>
              </w:rPr>
            </w:pPr>
            <w:r>
              <w:rPr>
                <w:rFonts w:ascii="Times New Roman" w:cs="Times New Roman" w:eastAsia="Times New Roman" w:hAnsi="Times New Roman"/>
                <w:sz w:val="13"/>
                <w:szCs w:val="13"/>
                <w:color w:val="auto"/>
                <w:w w:val="98"/>
              </w:rPr>
              <w:t>The following tables present aging analyses of past due loans (including nonaccrual loans) by segment and class for the periods indicated: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0"/>
        </w:trPr>
        <w:tc>
          <w:tcPr>
            <w:tcW w:w="43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4"/>
        </w:trPr>
        <w:tc>
          <w:tcPr>
            <w:tcW w:w="4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30-89 Days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30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20" w:type="dxa"/>
            <w:vAlign w:val="bottom"/>
          </w:tcPr>
          <w:p>
            <w:pPr>
              <w:spacing w:after="0"/>
              <w:rPr>
                <w:sz w:val="14"/>
                <w:szCs w:val="14"/>
                <w:color w:val="auto"/>
              </w:rPr>
            </w:pPr>
          </w:p>
        </w:tc>
        <w:tc>
          <w:tcPr>
            <w:tcW w:w="112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Total Loans</w:t>
            </w:r>
          </w:p>
        </w:tc>
      </w:tr>
      <w:tr>
        <w:trPr>
          <w:trHeight w:val="151"/>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9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169"/>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300,905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300,905</w:t>
            </w:r>
          </w:p>
        </w:tc>
      </w:tr>
      <w:tr>
        <w:trPr>
          <w:trHeight w:val="16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9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4,040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540,037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544,689</w:t>
            </w:r>
          </w:p>
        </w:tc>
      </w:tr>
      <w:tr>
        <w:trPr>
          <w:trHeight w:val="172"/>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877,336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881,340</w:t>
            </w:r>
          </w:p>
        </w:tc>
      </w:tr>
      <w:tr>
        <w:trPr>
          <w:trHeight w:val="16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114,155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114,155</w:t>
            </w:r>
          </w:p>
        </w:tc>
      </w:tr>
      <w:tr>
        <w:trPr>
          <w:trHeight w:val="163"/>
        </w:trPr>
        <w:tc>
          <w:tcPr>
            <w:tcW w:w="4300" w:type="dxa"/>
            <w:vAlign w:val="bottom"/>
            <w:tcBorders>
              <w:top w:val="single" w:sz="8" w:color="CCEEFF"/>
            </w:tcBorders>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commercial real estate</w:t>
            </w:r>
          </w:p>
        </w:tc>
        <w:tc>
          <w:tcPr>
            <w:tcW w:w="9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4,040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1,832,433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1,841,089</w:t>
            </w:r>
          </w:p>
        </w:tc>
      </w:tr>
      <w:tr>
        <w:trPr>
          <w:trHeight w:val="169"/>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283,299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286,809</w:t>
            </w:r>
          </w:p>
        </w:tc>
      </w:tr>
      <w:tr>
        <w:trPr>
          <w:trHeight w:val="16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9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1,938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437,860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443,033</w:t>
            </w:r>
          </w:p>
        </w:tc>
      </w:tr>
      <w:tr>
        <w:trPr>
          <w:trHeight w:val="172"/>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158,560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158,560</w:t>
            </w:r>
          </w:p>
        </w:tc>
      </w:tr>
      <w:tr>
        <w:trPr>
          <w:trHeight w:val="158"/>
        </w:trPr>
        <w:tc>
          <w:tcPr>
            <w:tcW w:w="430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commercial</w:t>
            </w:r>
          </w:p>
        </w:tc>
        <w:tc>
          <w:tcPr>
            <w:tcW w:w="9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2,165</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6,518</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8,683</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879,719</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888,402</w:t>
            </w:r>
          </w:p>
        </w:tc>
      </w:tr>
      <w:tr>
        <w:trPr>
          <w:trHeight w:val="17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63,016</w:t>
            </w:r>
          </w:p>
        </w:tc>
      </w:tr>
      <w:tr>
        <w:trPr>
          <w:trHeight w:val="172"/>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1,360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625,198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627,845</w:t>
            </w:r>
          </w:p>
        </w:tc>
      </w:tr>
      <w:tr>
        <w:trPr>
          <w:trHeight w:val="168"/>
        </w:trPr>
        <w:tc>
          <w:tcPr>
            <w:tcW w:w="4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1,564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191,431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194,909</w:t>
            </w:r>
          </w:p>
        </w:tc>
      </w:tr>
      <w:tr>
        <w:trPr>
          <w:trHeight w:val="163"/>
        </w:trPr>
        <w:tc>
          <w:tcPr>
            <w:tcW w:w="43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residential real estate</w:t>
            </w: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2,924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879,513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885,770</w:t>
            </w:r>
          </w:p>
        </w:tc>
      </w:tr>
      <w:tr>
        <w:trPr>
          <w:trHeight w:val="16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82,957</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83,631</w:t>
            </w:r>
          </w:p>
        </w:tc>
      </w:tr>
      <w:tr>
        <w:trPr>
          <w:trHeight w:val="184"/>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9,592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24,270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3,674,622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3,698,892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30-89 Days</w:t>
            </w:r>
          </w:p>
        </w:tc>
        <w:tc>
          <w:tcPr>
            <w:tcW w:w="24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30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20" w:type="dxa"/>
            <w:vAlign w:val="bottom"/>
          </w:tcPr>
          <w:p>
            <w:pPr>
              <w:spacing w:after="0"/>
              <w:rPr>
                <w:sz w:val="14"/>
                <w:szCs w:val="14"/>
                <w:color w:val="auto"/>
              </w:rPr>
            </w:pPr>
          </w:p>
        </w:tc>
        <w:tc>
          <w:tcPr>
            <w:tcW w:w="112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Total Loans</w:t>
            </w:r>
          </w:p>
        </w:tc>
      </w:tr>
      <w:tr>
        <w:trPr>
          <w:trHeight w:val="151"/>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169"/>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305,269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305,269</w:t>
            </w:r>
          </w:p>
        </w:tc>
      </w:tr>
      <w:tr>
        <w:trPr>
          <w:trHeight w:val="16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535,387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536,545</w:t>
            </w:r>
          </w:p>
        </w:tc>
      </w:tr>
      <w:tr>
        <w:trPr>
          <w:trHeight w:val="172"/>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871,662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875,694</w:t>
            </w:r>
          </w:p>
        </w:tc>
      </w:tr>
      <w:tr>
        <w:trPr>
          <w:trHeight w:val="16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88,623</w:t>
            </w:r>
          </w:p>
        </w:tc>
      </w:tr>
      <w:tr>
        <w:trPr>
          <w:trHeight w:val="163"/>
        </w:trPr>
        <w:tc>
          <w:tcPr>
            <w:tcW w:w="4300" w:type="dxa"/>
            <w:vAlign w:val="bottom"/>
            <w:tcBorders>
              <w:top w:val="single" w:sz="8" w:color="CCEEFF"/>
            </w:tcBorders>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commercial real estate</w:t>
            </w:r>
          </w:p>
        </w:tc>
        <w:tc>
          <w:tcPr>
            <w:tcW w:w="2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1,800,941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1,806,131</w:t>
            </w:r>
          </w:p>
        </w:tc>
      </w:tr>
      <w:tr>
        <w:trPr>
          <w:trHeight w:val="169"/>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237,255</w:t>
            </w:r>
          </w:p>
        </w:tc>
      </w:tr>
      <w:tr>
        <w:trPr>
          <w:trHeight w:val="16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456,143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465,573</w:t>
            </w:r>
          </w:p>
        </w:tc>
      </w:tr>
      <w:tr>
        <w:trPr>
          <w:trHeight w:val="172"/>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150,292</w:t>
            </w:r>
          </w:p>
        </w:tc>
      </w:tr>
      <w:tr>
        <w:trPr>
          <w:trHeight w:val="158"/>
        </w:trPr>
        <w:tc>
          <w:tcPr>
            <w:tcW w:w="430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commercial</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6,385</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6,686</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13,071</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840,049</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853,120</w:t>
            </w:r>
          </w:p>
        </w:tc>
      </w:tr>
      <w:tr>
        <w:trPr>
          <w:trHeight w:val="17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96,646</w:t>
            </w:r>
          </w:p>
        </w:tc>
      </w:tr>
      <w:tr>
        <w:trPr>
          <w:trHeight w:val="172"/>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582,379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584,405</w:t>
            </w:r>
          </w:p>
        </w:tc>
      </w:tr>
      <w:tr>
        <w:trPr>
          <w:trHeight w:val="168"/>
        </w:trPr>
        <w:tc>
          <w:tcPr>
            <w:tcW w:w="4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183,016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185,878</w:t>
            </w:r>
          </w:p>
        </w:tc>
      </w:tr>
      <w:tr>
        <w:trPr>
          <w:trHeight w:val="163"/>
        </w:trPr>
        <w:tc>
          <w:tcPr>
            <w:tcW w:w="43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residential real estate</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861,909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866,929</w:t>
            </w:r>
          </w:p>
        </w:tc>
      </w:tr>
      <w:tr>
        <w:trPr>
          <w:trHeight w:val="16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113,006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113,842</w:t>
            </w:r>
          </w:p>
        </w:tc>
      </w:tr>
      <w:tr>
        <w:trPr>
          <w:trHeight w:val="184"/>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24,117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3,615,905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3,640,022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following table presents the recorded investment in loans on nonaccrual status, by segment and class, including restructured loans. It also includes interest income recognized on nonaccrual loans for the nine months ended September 30, 2024.</w:t>
      </w:r>
    </w:p>
    <w:tbl>
      <w:tblPr>
        <w:tblLayout w:type="fixed"/>
        <w:tblInd w:w="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center"/>
              <w:ind w:left="156"/>
              <w:spacing w:after="0" w:line="138" w:lineRule="exact"/>
              <w:rPr>
                <w:sz w:val="20"/>
                <w:szCs w:val="20"/>
                <w:color w:val="auto"/>
              </w:rPr>
            </w:pPr>
            <w:r>
              <w:rPr>
                <w:rFonts w:ascii="Times New Roman" w:cs="Times New Roman" w:eastAsia="Times New Roman" w:hAnsi="Times New Roman"/>
                <w:sz w:val="13"/>
                <w:szCs w:val="13"/>
                <w:b w:val="1"/>
                <w:bCs w:val="1"/>
                <w:color w:val="auto"/>
                <w:w w:val="98"/>
              </w:rPr>
              <w:t>90 Days+ &amp;</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Nonaccrual with No ACL</w:t>
            </w:r>
          </w:p>
        </w:tc>
        <w:tc>
          <w:tcPr>
            <w:tcW w:w="120" w:type="dxa"/>
            <w:vAlign w:val="bottom"/>
          </w:tcPr>
          <w:p>
            <w:pPr>
              <w:spacing w:after="0"/>
              <w:rPr>
                <w:sz w:val="12"/>
                <w:szCs w:val="12"/>
                <w:color w:val="auto"/>
              </w:rPr>
            </w:pPr>
          </w:p>
        </w:tc>
        <w:tc>
          <w:tcPr>
            <w:tcW w:w="104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7"/>
              </w:rPr>
              <w:t>Interest Income</w:t>
            </w:r>
          </w:p>
        </w:tc>
        <w:tc>
          <w:tcPr>
            <w:tcW w:w="0" w:type="dxa"/>
            <w:vAlign w:val="bottom"/>
          </w:tcPr>
          <w:p>
            <w:pPr>
              <w:spacing w:after="0"/>
              <w:rPr>
                <w:sz w:val="1"/>
                <w:szCs w:val="1"/>
                <w:color w:val="auto"/>
              </w:rPr>
            </w:pPr>
          </w:p>
        </w:tc>
      </w:tr>
      <w:tr>
        <w:trPr>
          <w:trHeight w:val="127"/>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2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340" w:type="dxa"/>
            <w:vAlign w:val="bottom"/>
          </w:tcPr>
          <w:p>
            <w:pPr>
              <w:jc w:val="center"/>
              <w:ind w:left="156"/>
              <w:spacing w:after="0" w:line="128" w:lineRule="exact"/>
              <w:rPr>
                <w:sz w:val="20"/>
                <w:szCs w:val="20"/>
                <w:color w:val="auto"/>
              </w:rPr>
            </w:pPr>
            <w:r>
              <w:rPr>
                <w:rFonts w:ascii="Times New Roman" w:cs="Times New Roman" w:eastAsia="Times New Roman" w:hAnsi="Times New Roman"/>
                <w:sz w:val="13"/>
                <w:szCs w:val="13"/>
                <w:b w:val="1"/>
                <w:bCs w:val="1"/>
                <w:color w:val="auto"/>
                <w:w w:val="98"/>
              </w:rPr>
              <w:t>Still Accruing as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40" w:type="dxa"/>
            <w:vAlign w:val="bottom"/>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7"/>
              </w:rPr>
              <w:t>September 30, 2024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as of September 30, 2024</w:t>
            </w:r>
          </w:p>
        </w:tc>
        <w:tc>
          <w:tcPr>
            <w:tcW w:w="120" w:type="dxa"/>
            <w:vAlign w:val="bottom"/>
          </w:tcPr>
          <w:p>
            <w:pPr>
              <w:spacing w:after="0"/>
              <w:rPr>
                <w:sz w:val="14"/>
                <w:szCs w:val="14"/>
                <w:color w:val="auto"/>
              </w:rPr>
            </w:pPr>
          </w:p>
        </w:tc>
        <w:tc>
          <w:tcPr>
            <w:tcW w:w="10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Recognized</w:t>
            </w:r>
          </w:p>
        </w:tc>
        <w:tc>
          <w:tcPr>
            <w:tcW w:w="0" w:type="dxa"/>
            <w:vAlign w:val="bottom"/>
          </w:tcPr>
          <w:p>
            <w:pPr>
              <w:spacing w:after="0"/>
              <w:rPr>
                <w:sz w:val="1"/>
                <w:szCs w:val="1"/>
                <w:color w:val="auto"/>
              </w:rPr>
            </w:pPr>
          </w:p>
        </w:tc>
      </w:tr>
      <w:tr>
        <w:trPr>
          <w:trHeight w:val="15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80" w:type="dxa"/>
            <w:vAlign w:val="bottom"/>
          </w:tcPr>
          <w:p>
            <w:pPr>
              <w:spacing w:after="0"/>
              <w:rPr>
                <w:sz w:val="14"/>
                <w:szCs w:val="14"/>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4,032</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8"/>
        </w:trPr>
        <w:tc>
          <w:tcPr>
            <w:tcW w:w="4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3"/>
        </w:trPr>
        <w:tc>
          <w:tcPr>
            <w:tcW w:w="4040" w:type="dxa"/>
            <w:vAlign w:val="bottom"/>
            <w:tcBorders>
              <w:top w:val="single" w:sz="8" w:color="CCEEFF"/>
            </w:tcBorders>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commercial real estate</w:t>
            </w: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5,018</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69"/>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68"/>
        </w:trPr>
        <w:tc>
          <w:tcPr>
            <w:tcW w:w="4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6,463</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63"/>
        </w:trPr>
        <w:tc>
          <w:tcPr>
            <w:tcW w:w="4040" w:type="dxa"/>
            <w:vAlign w:val="bottom"/>
            <w:tcBorders>
              <w:top w:val="single" w:sz="8" w:color="CCEEFF"/>
            </w:tcBorders>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commercial</w:t>
            </w: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9,237</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69"/>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2,173</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58"/>
        </w:trPr>
        <w:tc>
          <w:tcPr>
            <w:tcW w:w="404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residential real estate</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4,711</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4,510</w:t>
            </w:r>
          </w:p>
        </w:tc>
        <w:tc>
          <w:tcPr>
            <w:tcW w:w="8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58"/>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28,906</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19,333</w:t>
            </w:r>
          </w:p>
        </w:tc>
        <w:tc>
          <w:tcPr>
            <w:tcW w:w="8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following tables present analyses of the ACL on loans by segment for the periods indicated. In addition to the provision for credit losses on loans presented below, benefits of $15 and $35 for off-balance sheet credit exposures were recorded during the three and nine months ended September 30, 2024, respectively. Benefits of $280 and $385 for off-balance sheet credit exposures were recorded during the three and nine months ended September 30, 2023, respectively. In addition, for the nine months ended September 30, 2023, $4,921 and $369 of the provision for credit losses was recognized to establish ACLs on Quantum's loan portfolio and off-balance-sheet credit exposure, respectively.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 2024</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6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00" w:type="dxa"/>
            <w:vAlign w:val="bottom"/>
          </w:tcPr>
          <w:p>
            <w:pPr>
              <w:spacing w:after="0"/>
              <w:rPr>
                <w:sz w:val="10"/>
                <w:szCs w:val="10"/>
                <w:color w:val="auto"/>
              </w:rPr>
            </w:pPr>
          </w:p>
        </w:tc>
        <w:tc>
          <w:tcPr>
            <w:tcW w:w="114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Residential Real</w:t>
            </w:r>
          </w:p>
        </w:tc>
        <w:tc>
          <w:tcPr>
            <w:tcW w:w="20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260" w:type="dxa"/>
            <w:vAlign w:val="bottom"/>
          </w:tcPr>
          <w:p>
            <w:pPr>
              <w:spacing w:after="0"/>
              <w:rPr>
                <w:sz w:val="10"/>
                <w:szCs w:val="10"/>
                <w:color w:val="auto"/>
              </w:rPr>
            </w:pPr>
          </w:p>
        </w:tc>
        <w:tc>
          <w:tcPr>
            <w:tcW w:w="900" w:type="dxa"/>
            <w:vAlign w:val="bottom"/>
            <w:vMerge w:val="restart"/>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20,539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49,223</w:t>
            </w:r>
          </w:p>
        </w:tc>
        <w:tc>
          <w:tcPr>
            <w:tcW w:w="0" w:type="dxa"/>
            <w:vAlign w:val="bottom"/>
          </w:tcPr>
          <w:p>
            <w:pPr>
              <w:spacing w:after="0"/>
              <w:rPr>
                <w:sz w:val="1"/>
                <w:szCs w:val="1"/>
                <w:color w:val="auto"/>
              </w:rPr>
            </w:pPr>
          </w:p>
        </w:tc>
      </w:tr>
      <w:tr>
        <w:trPr>
          <w:trHeight w:val="168"/>
        </w:trPr>
        <w:tc>
          <w:tcPr>
            <w:tcW w:w="5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Charge-offs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(4,444)</w:t>
            </w:r>
          </w:p>
        </w:tc>
        <w:tc>
          <w:tcPr>
            <w:tcW w:w="0" w:type="dxa"/>
            <w:vAlign w:val="bottom"/>
          </w:tcPr>
          <w:p>
            <w:pPr>
              <w:spacing w:after="0"/>
              <w:rPr>
                <w:sz w:val="1"/>
                <w:szCs w:val="1"/>
                <w:color w:val="auto"/>
              </w:rPr>
            </w:pPr>
          </w:p>
        </w:tc>
      </w:tr>
      <w:tr>
        <w:trPr>
          <w:trHeight w:val="168"/>
        </w:trPr>
        <w:tc>
          <w:tcPr>
            <w:tcW w:w="5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Recoveries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Net (charge-offs) recoveries</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w:t>
            </w:r>
          </w:p>
        </w:tc>
        <w:tc>
          <w:tcPr>
            <w:tcW w:w="0" w:type="dxa"/>
            <w:vAlign w:val="bottom"/>
          </w:tcPr>
          <w:p>
            <w:pPr>
              <w:spacing w:after="0"/>
              <w:rPr>
                <w:sz w:val="1"/>
                <w:szCs w:val="1"/>
                <w:color w:val="auto"/>
              </w:rPr>
            </w:pPr>
          </w:p>
        </w:tc>
      </w:tr>
      <w:tr>
        <w:trPr>
          <w:trHeight w:val="15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20,610</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16,444</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9,826</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48,131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 2023</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6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00" w:type="dxa"/>
            <w:vAlign w:val="bottom"/>
          </w:tcPr>
          <w:p>
            <w:pPr>
              <w:spacing w:after="0"/>
              <w:rPr>
                <w:sz w:val="10"/>
                <w:szCs w:val="10"/>
                <w:color w:val="auto"/>
              </w:rPr>
            </w:pPr>
          </w:p>
        </w:tc>
        <w:tc>
          <w:tcPr>
            <w:tcW w:w="114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Residential Real</w:t>
            </w:r>
          </w:p>
        </w:tc>
        <w:tc>
          <w:tcPr>
            <w:tcW w:w="20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260" w:type="dxa"/>
            <w:vAlign w:val="bottom"/>
          </w:tcPr>
          <w:p>
            <w:pPr>
              <w:spacing w:after="0"/>
              <w:rPr>
                <w:sz w:val="10"/>
                <w:szCs w:val="10"/>
                <w:color w:val="auto"/>
              </w:rPr>
            </w:pPr>
          </w:p>
        </w:tc>
        <w:tc>
          <w:tcPr>
            <w:tcW w:w="900" w:type="dxa"/>
            <w:vAlign w:val="bottom"/>
            <w:vMerge w:val="restart"/>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20,690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47,193</w:t>
            </w:r>
          </w:p>
        </w:tc>
        <w:tc>
          <w:tcPr>
            <w:tcW w:w="0" w:type="dxa"/>
            <w:vAlign w:val="bottom"/>
          </w:tcPr>
          <w:p>
            <w:pPr>
              <w:spacing w:after="0"/>
              <w:rPr>
                <w:sz w:val="1"/>
                <w:szCs w:val="1"/>
                <w:color w:val="auto"/>
              </w:rPr>
            </w:pPr>
          </w:p>
        </w:tc>
      </w:tr>
      <w:tr>
        <w:trPr>
          <w:trHeight w:val="168"/>
        </w:trPr>
        <w:tc>
          <w:tcPr>
            <w:tcW w:w="5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Charge-offs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(2,804)</w:t>
            </w:r>
          </w:p>
        </w:tc>
        <w:tc>
          <w:tcPr>
            <w:tcW w:w="0" w:type="dxa"/>
            <w:vAlign w:val="bottom"/>
          </w:tcPr>
          <w:p>
            <w:pPr>
              <w:spacing w:after="0"/>
              <w:rPr>
                <w:sz w:val="1"/>
                <w:szCs w:val="1"/>
                <w:color w:val="auto"/>
              </w:rPr>
            </w:pPr>
          </w:p>
        </w:tc>
      </w:tr>
      <w:tr>
        <w:trPr>
          <w:trHeight w:val="168"/>
        </w:trPr>
        <w:tc>
          <w:tcPr>
            <w:tcW w:w="5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Recoveries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Net (charge-offs) recoveries</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(2,073)</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w:t>
            </w:r>
          </w:p>
        </w:tc>
        <w:tc>
          <w:tcPr>
            <w:tcW w:w="0" w:type="dxa"/>
            <w:vAlign w:val="bottom"/>
          </w:tcPr>
          <w:p>
            <w:pPr>
              <w:spacing w:after="0"/>
              <w:rPr>
                <w:sz w:val="1"/>
                <w:szCs w:val="1"/>
                <w:color w:val="auto"/>
              </w:rPr>
            </w:pPr>
          </w:p>
        </w:tc>
      </w:tr>
      <w:tr>
        <w:trPr>
          <w:trHeight w:val="15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20,371</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15,526</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9,548</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47,417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 2024</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6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00" w:type="dxa"/>
            <w:vAlign w:val="bottom"/>
          </w:tcPr>
          <w:p>
            <w:pPr>
              <w:spacing w:after="0"/>
              <w:rPr>
                <w:sz w:val="10"/>
                <w:szCs w:val="10"/>
                <w:color w:val="auto"/>
              </w:rPr>
            </w:pPr>
          </w:p>
        </w:tc>
        <w:tc>
          <w:tcPr>
            <w:tcW w:w="114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Residential Real</w:t>
            </w:r>
          </w:p>
        </w:tc>
        <w:tc>
          <w:tcPr>
            <w:tcW w:w="20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260" w:type="dxa"/>
            <w:vAlign w:val="bottom"/>
          </w:tcPr>
          <w:p>
            <w:pPr>
              <w:spacing w:after="0"/>
              <w:rPr>
                <w:sz w:val="10"/>
                <w:szCs w:val="10"/>
                <w:color w:val="auto"/>
              </w:rPr>
            </w:pPr>
          </w:p>
        </w:tc>
        <w:tc>
          <w:tcPr>
            <w:tcW w:w="900" w:type="dxa"/>
            <w:vAlign w:val="bottom"/>
            <w:vMerge w:val="restart"/>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48,641</w:t>
            </w:r>
          </w:p>
        </w:tc>
        <w:tc>
          <w:tcPr>
            <w:tcW w:w="0" w:type="dxa"/>
            <w:vAlign w:val="bottom"/>
          </w:tcPr>
          <w:p>
            <w:pPr>
              <w:spacing w:after="0"/>
              <w:rPr>
                <w:sz w:val="1"/>
                <w:szCs w:val="1"/>
                <w:color w:val="auto"/>
              </w:rPr>
            </w:pPr>
          </w:p>
        </w:tc>
      </w:tr>
      <w:tr>
        <w:trPr>
          <w:trHeight w:val="168"/>
        </w:trPr>
        <w:tc>
          <w:tcPr>
            <w:tcW w:w="5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8,435</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Charge-offs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(10,171)</w:t>
            </w:r>
          </w:p>
        </w:tc>
        <w:tc>
          <w:tcPr>
            <w:tcW w:w="0" w:type="dxa"/>
            <w:vAlign w:val="bottom"/>
          </w:tcPr>
          <w:p>
            <w:pPr>
              <w:spacing w:after="0"/>
              <w:rPr>
                <w:sz w:val="1"/>
                <w:szCs w:val="1"/>
                <w:color w:val="auto"/>
              </w:rPr>
            </w:pPr>
          </w:p>
        </w:tc>
      </w:tr>
      <w:tr>
        <w:trPr>
          <w:trHeight w:val="168"/>
        </w:trPr>
        <w:tc>
          <w:tcPr>
            <w:tcW w:w="5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Recoveries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Net (charge-offs) recoveries</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(8,945)</w:t>
            </w:r>
          </w:p>
        </w:tc>
        <w:tc>
          <w:tcPr>
            <w:tcW w:w="0" w:type="dxa"/>
            <w:vAlign w:val="bottom"/>
          </w:tcPr>
          <w:p>
            <w:pPr>
              <w:spacing w:after="0"/>
              <w:rPr>
                <w:sz w:val="1"/>
                <w:szCs w:val="1"/>
                <w:color w:val="auto"/>
              </w:rPr>
            </w:pPr>
          </w:p>
        </w:tc>
      </w:tr>
      <w:tr>
        <w:trPr>
          <w:trHeight w:val="15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20,610</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16,444</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9,826</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48,131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 2023</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6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00" w:type="dxa"/>
            <w:vAlign w:val="bottom"/>
          </w:tcPr>
          <w:p>
            <w:pPr>
              <w:spacing w:after="0"/>
              <w:rPr>
                <w:sz w:val="10"/>
                <w:szCs w:val="10"/>
                <w:color w:val="auto"/>
              </w:rPr>
            </w:pPr>
          </w:p>
        </w:tc>
        <w:tc>
          <w:tcPr>
            <w:tcW w:w="114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Residential Real</w:t>
            </w:r>
          </w:p>
        </w:tc>
        <w:tc>
          <w:tcPr>
            <w:tcW w:w="20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260" w:type="dxa"/>
            <w:vAlign w:val="bottom"/>
          </w:tcPr>
          <w:p>
            <w:pPr>
              <w:spacing w:after="0"/>
              <w:rPr>
                <w:sz w:val="10"/>
                <w:szCs w:val="10"/>
                <w:color w:val="auto"/>
              </w:rPr>
            </w:pPr>
          </w:p>
        </w:tc>
        <w:tc>
          <w:tcPr>
            <w:tcW w:w="900" w:type="dxa"/>
            <w:vAlign w:val="bottom"/>
            <w:vMerge w:val="restart"/>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9,048</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38,859</w:t>
            </w:r>
          </w:p>
        </w:tc>
        <w:tc>
          <w:tcPr>
            <w:tcW w:w="0" w:type="dxa"/>
            <w:vAlign w:val="bottom"/>
          </w:tcPr>
          <w:p>
            <w:pPr>
              <w:spacing w:after="0"/>
              <w:rPr>
                <w:sz w:val="1"/>
                <w:szCs w:val="1"/>
                <w:color w:val="auto"/>
              </w:rPr>
            </w:pPr>
          </w:p>
        </w:tc>
      </w:tr>
      <w:tr>
        <w:trPr>
          <w:trHeight w:val="168"/>
        </w:trPr>
        <w:tc>
          <w:tcPr>
            <w:tcW w:w="5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12,120</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Initial ACL on PCD loans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0" w:type="dxa"/>
            <w:vAlign w:val="bottom"/>
          </w:tcPr>
          <w:p>
            <w:pPr>
              <w:spacing w:after="0"/>
              <w:rPr>
                <w:sz w:val="1"/>
                <w:szCs w:val="1"/>
                <w:color w:val="auto"/>
              </w:rPr>
            </w:pPr>
          </w:p>
        </w:tc>
      </w:tr>
      <w:tr>
        <w:trPr>
          <w:trHeight w:val="168"/>
        </w:trPr>
        <w:tc>
          <w:tcPr>
            <w:tcW w:w="5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Charge-offs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(4,883)</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Recoveries</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w:t>
            </w:r>
          </w:p>
        </w:tc>
        <w:tc>
          <w:tcPr>
            <w:tcW w:w="0" w:type="dxa"/>
            <w:vAlign w:val="bottom"/>
          </w:tcPr>
          <w:p>
            <w:pPr>
              <w:spacing w:after="0"/>
              <w:rPr>
                <w:sz w:val="1"/>
                <w:szCs w:val="1"/>
                <w:color w:val="auto"/>
              </w:rPr>
            </w:pPr>
          </w:p>
        </w:tc>
      </w:tr>
      <w:tr>
        <w:trPr>
          <w:trHeight w:val="158"/>
        </w:trPr>
        <w:tc>
          <w:tcPr>
            <w:tcW w:w="5100" w:type="dxa"/>
            <w:vAlign w:val="bottom"/>
            <w:tcBorders>
              <w:bottom w:val="single" w:sz="8" w:color="CCEEFF"/>
            </w:tcBorders>
          </w:tcPr>
          <w:p>
            <w:pPr>
              <w:ind w:left="140"/>
              <w:spacing w:after="0" w:line="146" w:lineRule="exact"/>
              <w:rPr>
                <w:sz w:val="20"/>
                <w:szCs w:val="20"/>
                <w:color w:val="auto"/>
              </w:rPr>
            </w:pPr>
            <w:r>
              <w:rPr>
                <w:rFonts w:ascii="Times New Roman" w:cs="Times New Roman" w:eastAsia="Times New Roman" w:hAnsi="Times New Roman"/>
                <w:sz w:val="13"/>
                <w:szCs w:val="13"/>
                <w:color w:val="auto"/>
              </w:rPr>
              <w:t>Net (charge-offs) recoveries</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(3,931)</w:t>
            </w:r>
          </w:p>
        </w:tc>
        <w:tc>
          <w:tcPr>
            <w:tcW w:w="0" w:type="dxa"/>
            <w:vAlign w:val="bottom"/>
          </w:tcPr>
          <w:p>
            <w:pPr>
              <w:spacing w:after="0"/>
              <w:rPr>
                <w:sz w:val="1"/>
                <w:szCs w:val="1"/>
                <w:color w:val="auto"/>
              </w:rPr>
            </w:pPr>
          </w:p>
        </w:tc>
      </w:tr>
      <w:tr>
        <w:trPr>
          <w:trHeight w:val="18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20,371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47,417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 loan is considered to be collateral dependent when the borrower is experiencing financial difficulty and the repayment is expected to be provided substantially through the operation or sale of collateral. The following tables provide a breakdown between loans identified as CDAs and non-CDAs, by segment and class, as well as collateral coverage for those loans for the periods indicated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3"/>
                <w:szCs w:val="13"/>
                <w:b w:val="1"/>
                <w:bCs w:val="1"/>
                <w:color w:val="auto"/>
              </w:rPr>
              <w:t>Type and Extent of Collateral Securing CDAs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Residential Property</w:t>
            </w: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Property</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Property</w:t>
            </w:r>
          </w:p>
        </w:tc>
        <w:tc>
          <w:tcPr>
            <w:tcW w:w="10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8"/>
              </w:rPr>
              <w:t>Business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Non-CDAs</w:t>
            </w:r>
          </w:p>
        </w:tc>
        <w:tc>
          <w:tcPr>
            <w:tcW w:w="240" w:type="dxa"/>
            <w:vAlign w:val="bottom"/>
          </w:tcPr>
          <w:p>
            <w:pPr>
              <w:spacing w:after="0"/>
              <w:rPr>
                <w:sz w:val="18"/>
                <w:szCs w:val="18"/>
                <w:color w:val="auto"/>
              </w:rPr>
            </w:pPr>
          </w:p>
        </w:tc>
        <w:tc>
          <w:tcPr>
            <w:tcW w:w="840" w:type="dxa"/>
            <w:vAlign w:val="bottom"/>
            <w:vMerge w:val="restart"/>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55"/>
        </w:trPr>
        <w:tc>
          <w:tcPr>
            <w:tcW w:w="40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5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300,905</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300,905</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538,194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544,689</w:t>
            </w:r>
          </w:p>
        </w:tc>
        <w:tc>
          <w:tcPr>
            <w:tcW w:w="0" w:type="dxa"/>
            <w:vAlign w:val="bottom"/>
          </w:tcPr>
          <w:p>
            <w:pPr>
              <w:spacing w:after="0"/>
              <w:rPr>
                <w:sz w:val="1"/>
                <w:szCs w:val="1"/>
                <w:color w:val="auto"/>
              </w:rPr>
            </w:pPr>
          </w:p>
        </w:tc>
      </w:tr>
      <w:tr>
        <w:trPr>
          <w:trHeight w:val="168"/>
        </w:trPr>
        <w:tc>
          <w:tcPr>
            <w:tcW w:w="4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520" w:type="dxa"/>
            <w:vAlign w:val="bottom"/>
          </w:tcPr>
          <w:p>
            <w:pPr>
              <w:spacing w:after="0"/>
              <w:rPr>
                <w:sz w:val="14"/>
                <w:szCs w:val="14"/>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877,064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881,340</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114,155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114,155</w:t>
            </w:r>
          </w:p>
        </w:tc>
        <w:tc>
          <w:tcPr>
            <w:tcW w:w="0" w:type="dxa"/>
            <w:vAlign w:val="bottom"/>
          </w:tcPr>
          <w:p>
            <w:pPr>
              <w:spacing w:after="0"/>
              <w:rPr>
                <w:sz w:val="1"/>
                <w:szCs w:val="1"/>
                <w:color w:val="auto"/>
              </w:rPr>
            </w:pPr>
          </w:p>
        </w:tc>
      </w:tr>
      <w:tr>
        <w:trPr>
          <w:trHeight w:val="15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10,771</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1,830,318</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1,841,089</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520" w:type="dxa"/>
            <w:vAlign w:val="bottom"/>
          </w:tcPr>
          <w:p>
            <w:pPr>
              <w:spacing w:after="0"/>
              <w:rPr>
                <w:sz w:val="14"/>
                <w:szCs w:val="14"/>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285,980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286,809</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438,497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443,033</w:t>
            </w:r>
          </w:p>
        </w:tc>
        <w:tc>
          <w:tcPr>
            <w:tcW w:w="0" w:type="dxa"/>
            <w:vAlign w:val="bottom"/>
          </w:tcPr>
          <w:p>
            <w:pPr>
              <w:spacing w:after="0"/>
              <w:rPr>
                <w:sz w:val="1"/>
                <w:szCs w:val="1"/>
                <w:color w:val="auto"/>
              </w:rPr>
            </w:pPr>
          </w:p>
        </w:tc>
      </w:tr>
      <w:tr>
        <w:trPr>
          <w:trHeight w:val="168"/>
        </w:trPr>
        <w:tc>
          <w:tcPr>
            <w:tcW w:w="4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520" w:type="dxa"/>
            <w:vAlign w:val="bottom"/>
          </w:tcPr>
          <w:p>
            <w:pPr>
              <w:spacing w:after="0"/>
              <w:rPr>
                <w:sz w:val="14"/>
                <w:szCs w:val="14"/>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158,560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158,560</w:t>
            </w:r>
          </w:p>
        </w:tc>
        <w:tc>
          <w:tcPr>
            <w:tcW w:w="0" w:type="dxa"/>
            <w:vAlign w:val="bottom"/>
          </w:tcPr>
          <w:p>
            <w:pPr>
              <w:spacing w:after="0"/>
              <w:rPr>
                <w:sz w:val="1"/>
                <w:szCs w:val="1"/>
                <w:color w:val="auto"/>
              </w:rPr>
            </w:pPr>
          </w:p>
        </w:tc>
      </w:tr>
      <w:tr>
        <w:trPr>
          <w:trHeight w:val="163"/>
        </w:trPr>
        <w:tc>
          <w:tcPr>
            <w:tcW w:w="4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commercial</w:t>
            </w:r>
          </w:p>
        </w:tc>
        <w:tc>
          <w:tcPr>
            <w:tcW w:w="5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883,037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888,402</w:t>
            </w:r>
          </w:p>
        </w:tc>
        <w:tc>
          <w:tcPr>
            <w:tcW w:w="0" w:type="dxa"/>
            <w:vAlign w:val="bottom"/>
          </w:tcPr>
          <w:p>
            <w:pPr>
              <w:spacing w:after="0"/>
              <w:rPr>
                <w:sz w:val="1"/>
                <w:szCs w:val="1"/>
                <w:color w:val="auto"/>
              </w:rPr>
            </w:pPr>
          </w:p>
        </w:tc>
      </w:tr>
      <w:tr>
        <w:trPr>
          <w:trHeight w:val="169"/>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63,016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63,016</w:t>
            </w:r>
          </w:p>
        </w:tc>
        <w:tc>
          <w:tcPr>
            <w:tcW w:w="0" w:type="dxa"/>
            <w:vAlign w:val="bottom"/>
          </w:tcPr>
          <w:p>
            <w:pPr>
              <w:spacing w:after="0"/>
              <w:rPr>
                <w:sz w:val="1"/>
                <w:szCs w:val="1"/>
                <w:color w:val="auto"/>
              </w:rPr>
            </w:pPr>
          </w:p>
        </w:tc>
      </w:tr>
      <w:tr>
        <w:trPr>
          <w:trHeight w:val="168"/>
        </w:trPr>
        <w:tc>
          <w:tcPr>
            <w:tcW w:w="4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520" w:type="dxa"/>
            <w:vAlign w:val="bottom"/>
          </w:tcPr>
          <w:p>
            <w:pPr>
              <w:spacing w:after="0"/>
              <w:rPr>
                <w:sz w:val="14"/>
                <w:szCs w:val="14"/>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627,845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627,845</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194,909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194,909</w:t>
            </w:r>
          </w:p>
        </w:tc>
        <w:tc>
          <w:tcPr>
            <w:tcW w:w="0" w:type="dxa"/>
            <w:vAlign w:val="bottom"/>
          </w:tcPr>
          <w:p>
            <w:pPr>
              <w:spacing w:after="0"/>
              <w:rPr>
                <w:sz w:val="1"/>
                <w:szCs w:val="1"/>
                <w:color w:val="auto"/>
              </w:rPr>
            </w:pPr>
          </w:p>
        </w:tc>
      </w:tr>
      <w:tr>
        <w:trPr>
          <w:trHeight w:val="15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885,770</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885,770</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83,631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83,631</w:t>
            </w:r>
          </w:p>
        </w:tc>
        <w:tc>
          <w:tcPr>
            <w:tcW w:w="0" w:type="dxa"/>
            <w:vAlign w:val="bottom"/>
          </w:tcPr>
          <w:p>
            <w:pPr>
              <w:spacing w:after="0"/>
              <w:rPr>
                <w:sz w:val="1"/>
                <w:szCs w:val="1"/>
                <w:color w:val="auto"/>
              </w:rPr>
            </w:pPr>
          </w:p>
        </w:tc>
      </w:tr>
      <w:tr>
        <w:trPr>
          <w:trHeight w:val="160"/>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10,771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5,365</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3,682,756</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3,698,892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collateral value</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15,743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3"/>
                <w:szCs w:val="13"/>
                <w:b w:val="1"/>
                <w:bCs w:val="1"/>
                <w:color w:val="auto"/>
              </w:rPr>
              <w:t>Type and Extent of Collateral Securing CDAs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Residential Property</w:t>
            </w: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Property</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Property</w:t>
            </w:r>
          </w:p>
        </w:tc>
        <w:tc>
          <w:tcPr>
            <w:tcW w:w="10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8"/>
              </w:rPr>
              <w:t>Business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Non-CDAs</w:t>
            </w:r>
          </w:p>
        </w:tc>
        <w:tc>
          <w:tcPr>
            <w:tcW w:w="240" w:type="dxa"/>
            <w:vAlign w:val="bottom"/>
          </w:tcPr>
          <w:p>
            <w:pPr>
              <w:spacing w:after="0"/>
              <w:rPr>
                <w:sz w:val="18"/>
                <w:szCs w:val="18"/>
                <w:color w:val="auto"/>
              </w:rPr>
            </w:pPr>
          </w:p>
        </w:tc>
        <w:tc>
          <w:tcPr>
            <w:tcW w:w="840" w:type="dxa"/>
            <w:vAlign w:val="bottom"/>
            <w:vMerge w:val="restart"/>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66"/>
        </w:trPr>
        <w:tc>
          <w:tcPr>
            <w:tcW w:w="40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5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305,269</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305,269</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534,724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536,545</w:t>
            </w:r>
          </w:p>
        </w:tc>
        <w:tc>
          <w:tcPr>
            <w:tcW w:w="0" w:type="dxa"/>
            <w:vAlign w:val="bottom"/>
          </w:tcPr>
          <w:p>
            <w:pPr>
              <w:spacing w:after="0"/>
              <w:rPr>
                <w:sz w:val="1"/>
                <w:szCs w:val="1"/>
                <w:color w:val="auto"/>
              </w:rPr>
            </w:pPr>
          </w:p>
        </w:tc>
      </w:tr>
      <w:tr>
        <w:trPr>
          <w:trHeight w:val="168"/>
        </w:trPr>
        <w:tc>
          <w:tcPr>
            <w:tcW w:w="4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871,384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875,694</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88,623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88,623</w:t>
            </w:r>
          </w:p>
        </w:tc>
        <w:tc>
          <w:tcPr>
            <w:tcW w:w="0" w:type="dxa"/>
            <w:vAlign w:val="bottom"/>
          </w:tcPr>
          <w:p>
            <w:pPr>
              <w:spacing w:after="0"/>
              <w:rPr>
                <w:sz w:val="1"/>
                <w:szCs w:val="1"/>
                <w:color w:val="auto"/>
              </w:rPr>
            </w:pPr>
          </w:p>
        </w:tc>
      </w:tr>
      <w:tr>
        <w:trPr>
          <w:trHeight w:val="15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5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6,131</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1,800,000</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1,806,131</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235,933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237,255</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464,269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465,573</w:t>
            </w:r>
          </w:p>
        </w:tc>
        <w:tc>
          <w:tcPr>
            <w:tcW w:w="0" w:type="dxa"/>
            <w:vAlign w:val="bottom"/>
          </w:tcPr>
          <w:p>
            <w:pPr>
              <w:spacing w:after="0"/>
              <w:rPr>
                <w:sz w:val="1"/>
                <w:szCs w:val="1"/>
                <w:color w:val="auto"/>
              </w:rPr>
            </w:pPr>
          </w:p>
        </w:tc>
      </w:tr>
      <w:tr>
        <w:trPr>
          <w:trHeight w:val="168"/>
        </w:trPr>
        <w:tc>
          <w:tcPr>
            <w:tcW w:w="4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150,292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150,292</w:t>
            </w:r>
          </w:p>
        </w:tc>
        <w:tc>
          <w:tcPr>
            <w:tcW w:w="0" w:type="dxa"/>
            <w:vAlign w:val="bottom"/>
          </w:tcPr>
          <w:p>
            <w:pPr>
              <w:spacing w:after="0"/>
              <w:rPr>
                <w:sz w:val="1"/>
                <w:szCs w:val="1"/>
                <w:color w:val="auto"/>
              </w:rPr>
            </w:pPr>
          </w:p>
        </w:tc>
      </w:tr>
      <w:tr>
        <w:trPr>
          <w:trHeight w:val="163"/>
        </w:trPr>
        <w:tc>
          <w:tcPr>
            <w:tcW w:w="4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commercial</w:t>
            </w:r>
          </w:p>
        </w:tc>
        <w:tc>
          <w:tcPr>
            <w:tcW w:w="5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850,494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853,120</w:t>
            </w:r>
          </w:p>
        </w:tc>
        <w:tc>
          <w:tcPr>
            <w:tcW w:w="0" w:type="dxa"/>
            <w:vAlign w:val="bottom"/>
          </w:tcPr>
          <w:p>
            <w:pPr>
              <w:spacing w:after="0"/>
              <w:rPr>
                <w:sz w:val="1"/>
                <w:szCs w:val="1"/>
                <w:color w:val="auto"/>
              </w:rPr>
            </w:pPr>
          </w:p>
        </w:tc>
      </w:tr>
      <w:tr>
        <w:trPr>
          <w:trHeight w:val="169"/>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96,646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96,646</w:t>
            </w:r>
          </w:p>
        </w:tc>
        <w:tc>
          <w:tcPr>
            <w:tcW w:w="0" w:type="dxa"/>
            <w:vAlign w:val="bottom"/>
          </w:tcPr>
          <w:p>
            <w:pPr>
              <w:spacing w:after="0"/>
              <w:rPr>
                <w:sz w:val="1"/>
                <w:szCs w:val="1"/>
                <w:color w:val="auto"/>
              </w:rPr>
            </w:pPr>
          </w:p>
        </w:tc>
      </w:tr>
      <w:tr>
        <w:trPr>
          <w:trHeight w:val="168"/>
        </w:trPr>
        <w:tc>
          <w:tcPr>
            <w:tcW w:w="4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584,405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584,405</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185,368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185,878</w:t>
            </w:r>
          </w:p>
        </w:tc>
        <w:tc>
          <w:tcPr>
            <w:tcW w:w="0" w:type="dxa"/>
            <w:vAlign w:val="bottom"/>
          </w:tcPr>
          <w:p>
            <w:pPr>
              <w:spacing w:after="0"/>
              <w:rPr>
                <w:sz w:val="1"/>
                <w:szCs w:val="1"/>
                <w:color w:val="auto"/>
              </w:rPr>
            </w:pPr>
          </w:p>
        </w:tc>
      </w:tr>
      <w:tr>
        <w:trPr>
          <w:trHeight w:val="15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5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866,419</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866,929</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113,842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113,842</w:t>
            </w:r>
          </w:p>
        </w:tc>
        <w:tc>
          <w:tcPr>
            <w:tcW w:w="0" w:type="dxa"/>
            <w:vAlign w:val="bottom"/>
          </w:tcPr>
          <w:p>
            <w:pPr>
              <w:spacing w:after="0"/>
              <w:rPr>
                <w:sz w:val="1"/>
                <w:szCs w:val="1"/>
                <w:color w:val="auto"/>
              </w:rPr>
            </w:pPr>
          </w:p>
        </w:tc>
      </w:tr>
      <w:tr>
        <w:trPr>
          <w:trHeight w:val="160"/>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2,626</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3,630,755</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3,640,022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collateral value</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Modifications to Borrowers Experiencing Financial Difficulty</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Company modifies loans to borrowers experiencing financial difficulty by providing principal forgiveness, a term extension, an other-than-insignificant payment delay or interest rate adjustments. In some cases, the Company provides multiple types of modifications on one loan. Typically, one type of modification, such as a term extension, is granted initially. If the borrower continues to experience financial difficulty, another modification, such as principal forgiveness, may be granted. For loans included in the combination columns in the table below, multiple types of modifications have been made on the same loan within the current reporting period.</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following table presents the amortized cost basis of loans at September 30, 2024, that were both experiencing financial difficulty and modified during the three and nine months ended September 30, 2024, by class and type of modification. The percentage of the amortized cost basis of loans that were modified to borrowers in financial difficulty as compared to the amortized cost basis of each class of financing receivable is also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 2024</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880" w:type="dxa"/>
            <w:vAlign w:val="bottom"/>
            <w:vMerge w:val="restart"/>
          </w:tcPr>
          <w:p>
            <w:pPr>
              <w:jc w:val="center"/>
              <w:ind w:left="161"/>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100" w:type="dxa"/>
            <w:vAlign w:val="bottom"/>
          </w:tcPr>
          <w:p>
            <w:pPr>
              <w:spacing w:after="0"/>
              <w:rPr>
                <w:sz w:val="10"/>
                <w:szCs w:val="10"/>
                <w:color w:val="auto"/>
              </w:rPr>
            </w:pPr>
          </w:p>
        </w:tc>
        <w:tc>
          <w:tcPr>
            <w:tcW w:w="122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Combination Term</w:t>
            </w:r>
          </w:p>
        </w:tc>
        <w:tc>
          <w:tcPr>
            <w:tcW w:w="80" w:type="dxa"/>
            <w:vAlign w:val="bottom"/>
          </w:tcPr>
          <w:p>
            <w:pPr>
              <w:spacing w:after="0"/>
              <w:rPr>
                <w:sz w:val="10"/>
                <w:szCs w:val="10"/>
                <w:color w:val="auto"/>
              </w:rPr>
            </w:pPr>
          </w:p>
        </w:tc>
        <w:tc>
          <w:tcPr>
            <w:tcW w:w="122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Combination Term</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of Total Class of</w:t>
            </w:r>
          </w:p>
        </w:tc>
        <w:tc>
          <w:tcPr>
            <w:tcW w:w="0" w:type="dxa"/>
            <w:vAlign w:val="bottom"/>
          </w:tcPr>
          <w:p>
            <w:pPr>
              <w:spacing w:after="0"/>
              <w:rPr>
                <w:sz w:val="1"/>
                <w:szCs w:val="1"/>
                <w:color w:val="auto"/>
              </w:rPr>
            </w:pPr>
          </w:p>
        </w:tc>
      </w:tr>
      <w:tr>
        <w:trPr>
          <w:trHeight w:val="127"/>
        </w:trPr>
        <w:tc>
          <w:tcPr>
            <w:tcW w:w="29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Extension &amp;</w:t>
            </w:r>
          </w:p>
        </w:tc>
        <w:tc>
          <w:tcPr>
            <w:tcW w:w="130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Extension &amp; Interest</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880" w:type="dxa"/>
            <w:vAlign w:val="bottom"/>
          </w:tcPr>
          <w:p>
            <w:pPr>
              <w:jc w:val="center"/>
              <w:ind w:left="141"/>
              <w:spacing w:after="0"/>
              <w:rPr>
                <w:sz w:val="20"/>
                <w:szCs w:val="20"/>
                <w:color w:val="auto"/>
              </w:rPr>
            </w:pPr>
            <w:r>
              <w:rPr>
                <w:rFonts w:ascii="Times New Roman" w:cs="Times New Roman" w:eastAsia="Times New Roman" w:hAnsi="Times New Roman"/>
                <w:sz w:val="13"/>
                <w:szCs w:val="13"/>
                <w:b w:val="1"/>
                <w:bCs w:val="1"/>
                <w:color w:val="auto"/>
                <w:w w:val="97"/>
              </w:rPr>
              <w:t>Forgiveness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Principal Forgiveness</w:t>
            </w: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Rate Reduction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Financing Receivable</w:t>
            </w:r>
          </w:p>
        </w:tc>
        <w:tc>
          <w:tcPr>
            <w:tcW w:w="0" w:type="dxa"/>
            <w:vAlign w:val="bottom"/>
          </w:tcPr>
          <w:p>
            <w:pPr>
              <w:spacing w:after="0"/>
              <w:rPr>
                <w:sz w:val="1"/>
                <w:szCs w:val="1"/>
                <w:color w:val="auto"/>
              </w:rPr>
            </w:pPr>
          </w:p>
        </w:tc>
      </w:tr>
      <w:tr>
        <w:trPr>
          <w:trHeight w:val="15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owner-occupied</w:t>
            </w:r>
          </w:p>
        </w:tc>
        <w:tc>
          <w:tcPr>
            <w:tcW w:w="880" w:type="dxa"/>
            <w:vAlign w:val="bottom"/>
          </w:tcPr>
          <w:p>
            <w:pPr>
              <w:jc w:val="right"/>
              <w:ind w:right="761"/>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0.15 %</w:t>
            </w:r>
          </w:p>
        </w:tc>
        <w:tc>
          <w:tcPr>
            <w:tcW w:w="0" w:type="dxa"/>
            <w:vAlign w:val="bottom"/>
          </w:tcPr>
          <w:p>
            <w:pPr>
              <w:spacing w:after="0"/>
              <w:rPr>
                <w:sz w:val="1"/>
                <w:szCs w:val="1"/>
                <w:color w:val="auto"/>
              </w:rPr>
            </w:pPr>
          </w:p>
        </w:tc>
      </w:tr>
      <w:tr>
        <w:trPr>
          <w:trHeight w:val="267"/>
        </w:trPr>
        <w:tc>
          <w:tcPr>
            <w:tcW w:w="290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1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 2024</w:t>
            </w:r>
          </w:p>
        </w:tc>
        <w:tc>
          <w:tcPr>
            <w:tcW w:w="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880" w:type="dxa"/>
            <w:vAlign w:val="bottom"/>
            <w:vMerge w:val="restart"/>
          </w:tcPr>
          <w:p>
            <w:pPr>
              <w:jc w:val="center"/>
              <w:ind w:left="161"/>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100" w:type="dxa"/>
            <w:vAlign w:val="bottom"/>
          </w:tcPr>
          <w:p>
            <w:pPr>
              <w:spacing w:after="0"/>
              <w:rPr>
                <w:sz w:val="10"/>
                <w:szCs w:val="10"/>
                <w:color w:val="auto"/>
              </w:rPr>
            </w:pPr>
          </w:p>
        </w:tc>
        <w:tc>
          <w:tcPr>
            <w:tcW w:w="122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Combination Term</w:t>
            </w:r>
          </w:p>
        </w:tc>
        <w:tc>
          <w:tcPr>
            <w:tcW w:w="80" w:type="dxa"/>
            <w:vAlign w:val="bottom"/>
          </w:tcPr>
          <w:p>
            <w:pPr>
              <w:spacing w:after="0"/>
              <w:rPr>
                <w:sz w:val="10"/>
                <w:szCs w:val="10"/>
                <w:color w:val="auto"/>
              </w:rPr>
            </w:pPr>
          </w:p>
        </w:tc>
        <w:tc>
          <w:tcPr>
            <w:tcW w:w="122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Combination Term</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of Total Class of</w:t>
            </w:r>
          </w:p>
        </w:tc>
        <w:tc>
          <w:tcPr>
            <w:tcW w:w="0" w:type="dxa"/>
            <w:vAlign w:val="bottom"/>
          </w:tcPr>
          <w:p>
            <w:pPr>
              <w:spacing w:after="0"/>
              <w:rPr>
                <w:sz w:val="1"/>
                <w:szCs w:val="1"/>
                <w:color w:val="auto"/>
              </w:rPr>
            </w:pPr>
          </w:p>
        </w:tc>
      </w:tr>
      <w:tr>
        <w:trPr>
          <w:trHeight w:val="127"/>
        </w:trPr>
        <w:tc>
          <w:tcPr>
            <w:tcW w:w="29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Extension &amp;</w:t>
            </w:r>
          </w:p>
        </w:tc>
        <w:tc>
          <w:tcPr>
            <w:tcW w:w="130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Extension &amp; Interest</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880" w:type="dxa"/>
            <w:vAlign w:val="bottom"/>
          </w:tcPr>
          <w:p>
            <w:pPr>
              <w:jc w:val="center"/>
              <w:ind w:left="141"/>
              <w:spacing w:after="0"/>
              <w:rPr>
                <w:sz w:val="20"/>
                <w:szCs w:val="20"/>
                <w:color w:val="auto"/>
              </w:rPr>
            </w:pPr>
            <w:r>
              <w:rPr>
                <w:rFonts w:ascii="Times New Roman" w:cs="Times New Roman" w:eastAsia="Times New Roman" w:hAnsi="Times New Roman"/>
                <w:sz w:val="13"/>
                <w:szCs w:val="13"/>
                <w:b w:val="1"/>
                <w:bCs w:val="1"/>
                <w:color w:val="auto"/>
                <w:w w:val="97"/>
              </w:rPr>
              <w:t>Forgiveness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Principal Forgiveness</w:t>
            </w: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Rate Reduction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Financing Receivable</w:t>
            </w:r>
          </w:p>
        </w:tc>
        <w:tc>
          <w:tcPr>
            <w:tcW w:w="0" w:type="dxa"/>
            <w:vAlign w:val="bottom"/>
          </w:tcPr>
          <w:p>
            <w:pPr>
              <w:spacing w:after="0"/>
              <w:rPr>
                <w:sz w:val="1"/>
                <w:szCs w:val="1"/>
                <w:color w:val="auto"/>
              </w:rPr>
            </w:pPr>
          </w:p>
        </w:tc>
      </w:tr>
      <w:tr>
        <w:trPr>
          <w:trHeight w:val="15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owner-occupied</w:t>
            </w:r>
          </w:p>
        </w:tc>
        <w:tc>
          <w:tcPr>
            <w:tcW w:w="880" w:type="dxa"/>
            <w:vAlign w:val="bottom"/>
          </w:tcPr>
          <w:p>
            <w:pPr>
              <w:jc w:val="right"/>
              <w:ind w:right="761"/>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0.15 %</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non-owner-occupied</w:t>
            </w:r>
          </w:p>
        </w:tc>
        <w:tc>
          <w:tcPr>
            <w:tcW w:w="8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0.11 %</w:t>
            </w: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1.02 %</w:t>
            </w:r>
          </w:p>
        </w:tc>
        <w:tc>
          <w:tcPr>
            <w:tcW w:w="0" w:type="dxa"/>
            <w:vAlign w:val="bottom"/>
          </w:tcPr>
          <w:p>
            <w:pPr>
              <w:spacing w:after="0"/>
              <w:rPr>
                <w:sz w:val="1"/>
                <w:szCs w:val="1"/>
                <w:color w:val="auto"/>
              </w:rPr>
            </w:pPr>
          </w:p>
        </w:tc>
      </w:tr>
      <w:tr>
        <w:trPr>
          <w:trHeight w:val="160"/>
        </w:trPr>
        <w:tc>
          <w:tcPr>
            <w:tcW w:w="29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tcBorders>
              <w:top w:val="single" w:sz="8" w:color="auto"/>
              <w:bottom w:val="single" w:sz="8" w:color="auto"/>
            </w:tcBorders>
          </w:tcPr>
          <w:p>
            <w:pPr>
              <w:jc w:val="right"/>
              <w:ind w:right="761"/>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3,768</w:t>
            </w: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0.10 %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following table presents loans that had a payment default during the periods indicated that had previously been modified within the prior twelve months. For purposes of this table, a loan is considered to be in default when it becomes 30 days contractually past due under the modified terms.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900" w:type="dxa"/>
            <w:vAlign w:val="bottom"/>
          </w:tcPr>
          <w:p>
            <w:pPr>
              <w:jc w:val="right"/>
              <w:ind w:right="36"/>
              <w:spacing w:after="0" w:line="120"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10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140" w:type="dxa"/>
            <w:vAlign w:val="bottom"/>
          </w:tcPr>
          <w:p>
            <w:pPr>
              <w:spacing w:after="0"/>
              <w:rPr>
                <w:sz w:val="10"/>
                <w:szCs w:val="10"/>
                <w:color w:val="auto"/>
              </w:rPr>
            </w:pPr>
          </w:p>
        </w:tc>
        <w:tc>
          <w:tcPr>
            <w:tcW w:w="980" w:type="dxa"/>
            <w:vAlign w:val="bottom"/>
          </w:tcPr>
          <w:p>
            <w:pPr>
              <w:jc w:val="center"/>
              <w:ind w:right="76"/>
              <w:spacing w:after="0" w:line="120" w:lineRule="exact"/>
              <w:rPr>
                <w:sz w:val="20"/>
                <w:szCs w:val="20"/>
                <w:color w:val="auto"/>
              </w:rPr>
            </w:pPr>
            <w:r>
              <w:rPr>
                <w:rFonts w:ascii="Times New Roman" w:cs="Times New Roman" w:eastAsia="Times New Roman" w:hAnsi="Times New Roman"/>
                <w:sz w:val="13"/>
                <w:szCs w:val="13"/>
                <w:b w:val="1"/>
                <w:bCs w:val="1"/>
                <w:color w:val="auto"/>
                <w:w w:val="99"/>
              </w:rPr>
              <w:t>Interest Rate</w:t>
            </w: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Forgiveness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7"/>
              </w:rPr>
              <w:t>Adjustment</w:t>
            </w:r>
          </w:p>
        </w:tc>
        <w:tc>
          <w:tcPr>
            <w:tcW w:w="0" w:type="dxa"/>
            <w:vAlign w:val="bottom"/>
          </w:tcPr>
          <w:p>
            <w:pPr>
              <w:spacing w:after="0"/>
              <w:rPr>
                <w:sz w:val="1"/>
                <w:szCs w:val="1"/>
                <w:color w:val="auto"/>
              </w:rPr>
            </w:pPr>
          </w:p>
        </w:tc>
      </w:tr>
      <w:tr>
        <w:trPr>
          <w:trHeight w:val="151"/>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non-owner-occupied</w:t>
            </w: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90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6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0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900" w:type="dxa"/>
            <w:vAlign w:val="bottom"/>
          </w:tcPr>
          <w:p>
            <w:pPr>
              <w:jc w:val="right"/>
              <w:ind w:right="36"/>
              <w:spacing w:after="0" w:line="120"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10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140" w:type="dxa"/>
            <w:vAlign w:val="bottom"/>
          </w:tcPr>
          <w:p>
            <w:pPr>
              <w:spacing w:after="0"/>
              <w:rPr>
                <w:sz w:val="10"/>
                <w:szCs w:val="10"/>
                <w:color w:val="auto"/>
              </w:rPr>
            </w:pPr>
          </w:p>
        </w:tc>
        <w:tc>
          <w:tcPr>
            <w:tcW w:w="980" w:type="dxa"/>
            <w:vAlign w:val="bottom"/>
          </w:tcPr>
          <w:p>
            <w:pPr>
              <w:jc w:val="center"/>
              <w:ind w:right="76"/>
              <w:spacing w:after="0" w:line="120" w:lineRule="exact"/>
              <w:rPr>
                <w:sz w:val="20"/>
                <w:szCs w:val="20"/>
                <w:color w:val="auto"/>
              </w:rPr>
            </w:pPr>
            <w:r>
              <w:rPr>
                <w:rFonts w:ascii="Times New Roman" w:cs="Times New Roman" w:eastAsia="Times New Roman" w:hAnsi="Times New Roman"/>
                <w:sz w:val="13"/>
                <w:szCs w:val="13"/>
                <w:b w:val="1"/>
                <w:bCs w:val="1"/>
                <w:color w:val="auto"/>
                <w:w w:val="99"/>
              </w:rPr>
              <w:t>Interest Rate</w:t>
            </w: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Forgiveness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7"/>
              </w:rPr>
              <w:t>Adjustment</w:t>
            </w:r>
          </w:p>
        </w:tc>
        <w:tc>
          <w:tcPr>
            <w:tcW w:w="0" w:type="dxa"/>
            <w:vAlign w:val="bottom"/>
          </w:tcPr>
          <w:p>
            <w:pPr>
              <w:spacing w:after="0"/>
              <w:rPr>
                <w:sz w:val="1"/>
                <w:szCs w:val="1"/>
                <w:color w:val="auto"/>
              </w:rPr>
            </w:pPr>
          </w:p>
        </w:tc>
      </w:tr>
      <w:tr>
        <w:trPr>
          <w:trHeight w:val="151"/>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non-owner-occupied</w:t>
            </w: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90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6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0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Off-Balance Sheet Credit Exposure</w:t>
      </w:r>
    </w:p>
    <w:p>
      <w:pPr>
        <w:spacing w:after="0" w:line="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 Company maintains a separate reserve for credit losses on off-balance sheet credit exposures, including unfunded loan commitments, which is included in other liabilities on the consolidated balance sheet. The reserve for credit losses on off-balance 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 sheet credit exposures that are unconditionally cancellable by the Company or for undrawn amounts under such arrangements that may be drawn prior to the cancellation of the arrangement. At September 30, 2024 and December 31, 2023, the ACL on off-balance sheet credit exposures included in other liabilities was $2,552 and $2,587, respectively.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7. Deposit Accounts</w:t>
            </w: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8"/>
        </w:trPr>
        <w:tc>
          <w:tcPr>
            <w:tcW w:w="7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Deposit accounts at the dates indicated consist of the following:</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3"/>
        </w:trPr>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Pr>
          <w:p>
            <w:pPr>
              <w:spacing w:after="0"/>
              <w:rPr>
                <w:sz w:val="15"/>
                <w:szCs w:val="15"/>
                <w:color w:val="auto"/>
              </w:rPr>
            </w:pPr>
          </w:p>
        </w:tc>
        <w:tc>
          <w:tcPr>
            <w:tcW w:w="1560" w:type="dxa"/>
            <w:vAlign w:val="bottom"/>
            <w:gridSpan w:val="3"/>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3"/>
        </w:trPr>
        <w:tc>
          <w:tcPr>
            <w:tcW w:w="7640" w:type="dxa"/>
            <w:vAlign w:val="bottom"/>
            <w:tcBorders>
              <w:top w:val="single" w:sz="8" w:color="CCEEFF"/>
            </w:tcBorders>
            <w:gridSpan w:val="3"/>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Noninterest-bearing accounts</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684,501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784,950</w:t>
            </w:r>
          </w:p>
        </w:tc>
      </w:tr>
      <w:tr>
        <w:trPr>
          <w:trHeight w:val="168"/>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NOW accounts</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534,517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591,270</w:t>
            </w:r>
          </w:p>
        </w:tc>
      </w:tr>
      <w:tr>
        <w:trPr>
          <w:trHeight w:val="172"/>
        </w:trPr>
        <w:tc>
          <w:tcPr>
            <w:tcW w:w="7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market accounts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1,345,289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1,246,807</w:t>
            </w:r>
          </w:p>
        </w:tc>
      </w:tr>
      <w:tr>
        <w:trPr>
          <w:trHeight w:val="168"/>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Savings accounts</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179,762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194,486</w:t>
            </w:r>
          </w:p>
        </w:tc>
      </w:tr>
      <w:tr>
        <w:trPr>
          <w:trHeight w:val="172"/>
        </w:trPr>
        <w:tc>
          <w:tcPr>
            <w:tcW w:w="7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Certificates of deposit</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1,017,519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843,860</w:t>
            </w:r>
          </w:p>
        </w:tc>
      </w:tr>
      <w:tr>
        <w:trPr>
          <w:trHeight w:val="158"/>
        </w:trPr>
        <w:tc>
          <w:tcPr>
            <w:tcW w:w="76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3,761,588</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3,661,373</w:t>
            </w:r>
          </w:p>
        </w:tc>
      </w:tr>
      <w:tr>
        <w:trPr>
          <w:trHeight w:val="20"/>
        </w:trPr>
        <w:tc>
          <w:tcPr>
            <w:tcW w:w="7640" w:type="dxa"/>
            <w:vAlign w:val="bottom"/>
            <w:gridSpan w:val="3"/>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5"/>
        </w:trPr>
        <w:tc>
          <w:tcPr>
            <w:tcW w:w="95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Deposits from executive officers and directors and their associates totaled approximately $522 and $1,555 at September 30, 2024 and December 31, 2023, respectively.</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91"/>
        </w:trPr>
        <w:tc>
          <w:tcPr>
            <w:tcW w:w="7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As of September 30, 2024, scheduled maturities of certificates of deposit were as follows:</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
        </w:trPr>
        <w:tc>
          <w:tcPr>
            <w:tcW w:w="76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0"/>
        </w:trPr>
        <w:tc>
          <w:tcPr>
            <w:tcW w:w="76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Remainder of 2024</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323,770</w:t>
            </w:r>
          </w:p>
        </w:tc>
      </w:tr>
      <w:tr>
        <w:trPr>
          <w:trHeight w:val="165"/>
        </w:trPr>
        <w:tc>
          <w:tcPr>
            <w:tcW w:w="10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2025</w:t>
            </w:r>
          </w:p>
        </w:tc>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675,894</w:t>
            </w:r>
          </w:p>
        </w:tc>
      </w:tr>
      <w:tr>
        <w:trPr>
          <w:trHeight w:val="174"/>
        </w:trPr>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2026</w:t>
            </w:r>
          </w:p>
        </w:tc>
        <w:tc>
          <w:tcPr>
            <w:tcW w:w="6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11,266</w:t>
            </w:r>
          </w:p>
        </w:tc>
      </w:tr>
      <w:tr>
        <w:trPr>
          <w:trHeight w:val="165"/>
        </w:trPr>
        <w:tc>
          <w:tcPr>
            <w:tcW w:w="10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2027</w:t>
            </w:r>
          </w:p>
        </w:tc>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4,586</w:t>
            </w:r>
          </w:p>
        </w:tc>
      </w:tr>
      <w:tr>
        <w:trPr>
          <w:trHeight w:val="174"/>
        </w:trPr>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2028</w:t>
            </w:r>
          </w:p>
        </w:tc>
        <w:tc>
          <w:tcPr>
            <w:tcW w:w="6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w:t>
            </w:r>
          </w:p>
        </w:tc>
      </w:tr>
      <w:tr>
        <w:trPr>
          <w:trHeight w:val="168"/>
        </w:trPr>
        <w:tc>
          <w:tcPr>
            <w:tcW w:w="764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3"/>
                <w:szCs w:val="13"/>
                <w:color w:val="auto"/>
              </w:rPr>
              <w:t>Thereafter</w:t>
            </w:r>
          </w:p>
        </w:tc>
        <w:tc>
          <w:tcPr>
            <w:tcW w:w="22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674</w:t>
            </w:r>
          </w:p>
        </w:tc>
      </w:tr>
      <w:tr>
        <w:trPr>
          <w:trHeight w:val="185"/>
        </w:trPr>
        <w:tc>
          <w:tcPr>
            <w:tcW w:w="140" w:type="dxa"/>
            <w:vAlign w:val="bottom"/>
            <w:tcBorders>
              <w:bottom w:val="single" w:sz="8" w:color="CCEEFF"/>
            </w:tcBorders>
            <w:shd w:val="clear" w:color="auto" w:fill="CCEEFF"/>
          </w:tcPr>
          <w:p>
            <w:pPr>
              <w:spacing w:after="0"/>
              <w:rPr>
                <w:sz w:val="15"/>
                <w:szCs w:val="15"/>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1,017,519</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Certificates of deposit with balances of $250 or greater totaled $158,523 and $118,035 at September 30, 2024 and December 31, 2023, respectively. Generally, deposit amounts in excess of $250 are not federally insured.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6" w:lineRule="exact"/>
        <w:rPr>
          <w:sz w:val="20"/>
          <w:szCs w:val="20"/>
          <w:color w:val="auto"/>
        </w:rPr>
      </w:pPr>
    </w:p>
    <w:p>
      <w:pPr>
        <w:ind w:left="140" w:hanging="135"/>
        <w:spacing w:after="0"/>
        <w:tabs>
          <w:tab w:leader="none" w:pos="140" w:val="left"/>
        </w:tabs>
        <w:numPr>
          <w:ilvl w:val="0"/>
          <w:numId w:val="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Borrowings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Junior Subordinated Debentures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On February 21, 2007, Quantum formed a Connecticut statutory trust, Quantum Capital Statutory Trust II (the "Trust"), which issued $11,000 of trust preferred securities that were designed to qualify as Tier I capital under Federal Reserve Board guidelines. All of the common securities of the Trust were owned by Quantum. The proceeds from the issuance of the common securities and the trust preferred securities were used by the Trust to purchase $11,341 of junior subordinated debentures of Quantum. As a result of its merger with Quantum on February 12, 2023, HomeTrust became the 100% successor owner of the Trust.</w:t>
      </w:r>
    </w:p>
    <w:p>
      <w:pPr>
        <w:spacing w:after="0" w:line="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trust preferred securities accrue and pay quarterly distributions at a floating rate of 3-month Term SOFR plus 2.20%, which was 6.79% at September 30, 2024. The Company has guaranteed distributions and other payments due on the trust preferred securities to the extent the Trust has insufficient funds with which to make the distributions and other payments. The net combined effect of all documents entered into in connection with the trust preferred securities is that the Company is liable to make the distributions and other payments required on the trust preferred securities.</w:t>
      </w:r>
    </w:p>
    <w:p>
      <w:pPr>
        <w:spacing w:after="0" w:line="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trust preferred securities are mandatorily redeemable upon maturity of the debentures on March 15, 2037, or upon earlier redemption as provided in the indenture. The Company has the right to redeem the debentures purchased by the Trust, in whole or in part, on or after March 15, 2012. As specified in the indenture, if the debentures are redeemed prior to maturity, the redemption price will be the principal amount and any accrued but unpaid interest.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Other Borrowings</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20" w:type="dxa"/>
            <w:vAlign w:val="bottom"/>
          </w:tcPr>
          <w:p>
            <w:pPr>
              <w:spacing w:after="0"/>
              <w:rPr>
                <w:sz w:val="20"/>
                <w:szCs w:val="20"/>
                <w:color w:val="auto"/>
              </w:rPr>
            </w:pPr>
            <w:r>
              <w:rPr>
                <w:rFonts w:ascii="Times New Roman" w:cs="Times New Roman" w:eastAsia="Times New Roman" w:hAnsi="Times New Roman"/>
                <w:sz w:val="13"/>
                <w:szCs w:val="13"/>
                <w:color w:val="auto"/>
              </w:rPr>
              <w:t>Borrowings, outside of junior subordinated debt, consist of the following at the dates indicated:</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4"/>
          </w:tcPr>
          <w:p>
            <w:pPr>
              <w:ind w:left="6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60" w:type="dxa"/>
            <w:vAlign w:val="bottom"/>
          </w:tcPr>
          <w:p>
            <w:pPr>
              <w:spacing w:after="0"/>
              <w:rPr>
                <w:sz w:val="15"/>
                <w:szCs w:val="15"/>
                <w:color w:val="auto"/>
              </w:rPr>
            </w:pPr>
          </w:p>
        </w:tc>
        <w:tc>
          <w:tcPr>
            <w:tcW w:w="2620" w:type="dxa"/>
            <w:vAlign w:val="bottom"/>
            <w:gridSpan w:val="3"/>
          </w:tcPr>
          <w:p>
            <w:pPr>
              <w:ind w:left="6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20"/>
        </w:trPr>
        <w:tc>
          <w:tcPr>
            <w:tcW w:w="54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460" w:type="dxa"/>
            <w:vAlign w:val="bottom"/>
            <w:tcBorders>
              <w:top w:val="single" w:sz="8" w:color="auto"/>
            </w:tcBorders>
          </w:tcPr>
          <w:p>
            <w:pPr>
              <w:ind w:left="460"/>
              <w:spacing w:after="0" w:line="120"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460" w:type="dxa"/>
            <w:vAlign w:val="bottom"/>
            <w:tcBorders>
              <w:top w:val="single" w:sz="8" w:color="auto"/>
            </w:tcBorders>
          </w:tcPr>
          <w:p>
            <w:pPr>
              <w:ind w:left="480"/>
              <w:spacing w:after="0" w:line="120"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Average Rate</w:t>
            </w: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6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Average Rate</w:t>
            </w:r>
          </w:p>
        </w:tc>
        <w:tc>
          <w:tcPr>
            <w:tcW w:w="0" w:type="dxa"/>
            <w:vAlign w:val="bottom"/>
          </w:tcPr>
          <w:p>
            <w:pPr>
              <w:spacing w:after="0"/>
              <w:rPr>
                <w:sz w:val="1"/>
                <w:szCs w:val="1"/>
                <w:color w:val="auto"/>
              </w:rPr>
            </w:pPr>
          </w:p>
        </w:tc>
      </w:tr>
      <w:tr>
        <w:trPr>
          <w:trHeight w:val="162"/>
        </w:trPr>
        <w:tc>
          <w:tcPr>
            <w:tcW w:w="54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FHLB advances (short-term)</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w w:val="97"/>
              </w:rPr>
              <w:t>5.07 %</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105,000</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w w:val="97"/>
              </w:rPr>
              <w:t>5.44 %</w:t>
            </w:r>
          </w:p>
        </w:tc>
        <w:tc>
          <w:tcPr>
            <w:tcW w:w="0" w:type="dxa"/>
            <w:vAlign w:val="bottom"/>
          </w:tcPr>
          <w:p>
            <w:pPr>
              <w:spacing w:after="0"/>
              <w:rPr>
                <w:sz w:val="1"/>
                <w:szCs w:val="1"/>
                <w:color w:val="auto"/>
              </w:rPr>
            </w:pPr>
          </w:p>
        </w:tc>
      </w:tr>
      <w:tr>
        <w:trPr>
          <w:trHeight w:val="168"/>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FRB advances (short-term)</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154,000</w:t>
            </w:r>
          </w:p>
        </w:tc>
        <w:tc>
          <w:tcPr>
            <w:tcW w:w="80" w:type="dxa"/>
            <w:vAlign w:val="bottom"/>
          </w:tcPr>
          <w:p>
            <w:pPr>
              <w:spacing w:after="0"/>
              <w:rPr>
                <w:sz w:val="14"/>
                <w:szCs w:val="14"/>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310,000</w:t>
            </w:r>
          </w:p>
        </w:tc>
        <w:tc>
          <w:tcPr>
            <w:tcW w:w="80" w:type="dxa"/>
            <w:vAlign w:val="bottom"/>
          </w:tcPr>
          <w:p>
            <w:pPr>
              <w:spacing w:after="0"/>
              <w:rPr>
                <w:sz w:val="14"/>
                <w:szCs w:val="14"/>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5.50</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Revolving lines of credit</w:t>
            </w: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6,013</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18,763</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58"/>
        </w:trPr>
        <w:tc>
          <w:tcPr>
            <w:tcW w:w="54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other borrowings</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260,013</w:t>
            </w:r>
          </w:p>
        </w:tc>
        <w:tc>
          <w:tcPr>
            <w:tcW w:w="80" w:type="dxa"/>
            <w:vAlign w:val="bottom"/>
          </w:tcPr>
          <w:p>
            <w:pPr>
              <w:spacing w:after="0"/>
              <w:rPr>
                <w:sz w:val="13"/>
                <w:szCs w:val="13"/>
                <w:color w:val="auto"/>
              </w:rPr>
            </w:pPr>
          </w:p>
        </w:tc>
        <w:tc>
          <w:tcPr>
            <w:tcW w:w="14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3"/>
                <w:szCs w:val="13"/>
                <w:color w:val="auto"/>
                <w:w w:val="97"/>
              </w:rPr>
              <w:t>5.11 %</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433,763</w:t>
            </w:r>
          </w:p>
        </w:tc>
        <w:tc>
          <w:tcPr>
            <w:tcW w:w="80" w:type="dxa"/>
            <w:vAlign w:val="bottom"/>
          </w:tcPr>
          <w:p>
            <w:pPr>
              <w:spacing w:after="0"/>
              <w:rPr>
                <w:sz w:val="13"/>
                <w:szCs w:val="13"/>
                <w:color w:val="auto"/>
              </w:rPr>
            </w:pPr>
          </w:p>
        </w:tc>
        <w:tc>
          <w:tcPr>
            <w:tcW w:w="14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3"/>
                <w:szCs w:val="13"/>
                <w:color w:val="auto"/>
                <w:w w:val="97"/>
              </w:rPr>
              <w:t>5.64 %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All qualifying one-to-four family loans, HELOCs, commercial real estate loans, multifamily loans and FHLB of Atlanta stock are pledged as collateral to secure outstanding FHLB advances while commercial construction, indirect auto, and equipment and municipal leases are pledged as collateral to secure outstanding FRB advances. At September 30, 2024 and December 31, 2023, the Company had the ability to borrow $162,189 and $72,766, respectively, through additional FHLB advances and $170,507 and $55,254, respectively, through the unused portion of a line of credit with the FRB.</w:t>
      </w:r>
    </w:p>
    <w:p>
      <w:pPr>
        <w:spacing w:after="0" w:line="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 xml:space="preserve">At September 30, 2024 and December 31, 2023, the Company maintained revolving lines of credit with three unaffiliated banks, the unused portions of which totaled $158,987 and $146,237, respectively. At September 30, 2024 and December 31, 2023, HomeTrust had drawn $6,013 and $18,763, respectively, on a $40,000 revolving line of credit which bears interest at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prime rate plus 50 basis points, maturing on January 28, 2025, although the term may be extended for an additional year if no events of default have occurred.</w:t>
      </w:r>
    </w:p>
    <w:p>
      <w:pPr>
        <w:spacing w:after="0" w:line="91" w:lineRule="exact"/>
        <w:rPr>
          <w:sz w:val="20"/>
          <w:szCs w:val="20"/>
          <w:color w:val="auto"/>
        </w:rPr>
      </w:pPr>
    </w:p>
    <w:p>
      <w:pPr>
        <w:ind w:left="220" w:hanging="215"/>
        <w:spacing w:after="0"/>
        <w:tabs>
          <w:tab w:leader="none" w:pos="220"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Leases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Lessee - Operating Leases</w:t>
      </w:r>
    </w:p>
    <w:p>
      <w:pPr>
        <w:spacing w:after="0" w:line="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our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 The Company recognizes lease expenses for these leases over the lease term.</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supplemental balance sheet information related to operating leases. ROU assets are included in other assets and lease liabilities are included in other liabilities.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60" w:type="dxa"/>
            <w:vAlign w:val="bottom"/>
          </w:tcPr>
          <w:p>
            <w:pPr>
              <w:spacing w:after="0"/>
              <w:rPr>
                <w:sz w:val="14"/>
                <w:szCs w:val="14"/>
                <w:color w:val="auto"/>
              </w:rPr>
            </w:pPr>
          </w:p>
        </w:tc>
        <w:tc>
          <w:tcPr>
            <w:tcW w:w="162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2"/>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balance sheet information</w:t>
            </w:r>
          </w:p>
        </w:tc>
        <w:tc>
          <w:tcPr>
            <w:tcW w:w="24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r>
      <w:tr>
        <w:trPr>
          <w:trHeight w:val="168"/>
        </w:trPr>
        <w:tc>
          <w:tcPr>
            <w:tcW w:w="7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ROU assets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8,373</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9,259</w:t>
            </w:r>
          </w:p>
        </w:tc>
      </w:tr>
      <w:tr>
        <w:trPr>
          <w:trHeight w:val="172"/>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Lease liabilities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9,917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10,975</w:t>
            </w:r>
          </w:p>
        </w:tc>
      </w:tr>
      <w:tr>
        <w:trPr>
          <w:trHeight w:val="168"/>
        </w:trPr>
        <w:tc>
          <w:tcPr>
            <w:tcW w:w="7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Weighted-average remaining lease terms (years)</w:t>
            </w:r>
          </w:p>
        </w:tc>
        <w:tc>
          <w:tcPr>
            <w:tcW w:w="240" w:type="dxa"/>
            <w:vAlign w:val="bottom"/>
          </w:tcPr>
          <w:p>
            <w:pPr>
              <w:spacing w:after="0"/>
              <w:rPr>
                <w:sz w:val="14"/>
                <w:szCs w:val="14"/>
                <w:color w:val="auto"/>
              </w:rPr>
            </w:pPr>
          </w:p>
        </w:tc>
        <w:tc>
          <w:tcPr>
            <w:tcW w:w="162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right"/>
              <w:ind w:right="856"/>
              <w:spacing w:after="0"/>
              <w:rPr>
                <w:sz w:val="20"/>
                <w:szCs w:val="20"/>
                <w:color w:val="auto"/>
              </w:rPr>
            </w:pPr>
            <w:r>
              <w:rPr>
                <w:rFonts w:ascii="Times New Roman" w:cs="Times New Roman" w:eastAsia="Times New Roman" w:hAnsi="Times New Roman"/>
                <w:sz w:val="13"/>
                <w:szCs w:val="13"/>
                <w:color w:val="auto"/>
              </w:rPr>
              <w:t>8.8</w:t>
            </w:r>
          </w:p>
        </w:tc>
      </w:tr>
      <w:tr>
        <w:trPr>
          <w:trHeight w:val="172"/>
        </w:trPr>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3.41 %</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3680" w:type="dxa"/>
            <w:vAlign w:val="bottom"/>
            <w:gridSpan w:val="4"/>
          </w:tcPr>
          <w:p>
            <w:pPr>
              <w:jc w:val="center"/>
              <w:ind w:left="476"/>
              <w:spacing w:after="0"/>
              <w:rPr>
                <w:sz w:val="20"/>
                <w:szCs w:val="20"/>
                <w:color w:val="auto"/>
              </w:rPr>
            </w:pPr>
            <w:r>
              <w:rPr>
                <w:rFonts w:ascii="Times New Roman" w:cs="Times New Roman" w:eastAsia="Times New Roman" w:hAnsi="Times New Roman"/>
                <w:sz w:val="13"/>
                <w:szCs w:val="13"/>
                <w:color w:val="auto"/>
                <w:w w:val="97"/>
              </w:rPr>
              <w:t>HOMETRUST BANCSHARES, INC. AND SUBSIDIARY</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40" w:type="dxa"/>
            <w:vAlign w:val="bottom"/>
          </w:tcPr>
          <w:p>
            <w:pPr>
              <w:spacing w:after="0"/>
              <w:rPr>
                <w:sz w:val="13"/>
                <w:szCs w:val="13"/>
                <w:color w:val="auto"/>
              </w:rPr>
            </w:pPr>
          </w:p>
        </w:tc>
        <w:tc>
          <w:tcPr>
            <w:tcW w:w="3280" w:type="dxa"/>
            <w:vAlign w:val="bottom"/>
            <w:gridSpan w:val="2"/>
          </w:tcPr>
          <w:p>
            <w:pPr>
              <w:jc w:val="center"/>
              <w:ind w:left="876"/>
              <w:spacing w:after="0"/>
              <w:rPr>
                <w:sz w:val="20"/>
                <w:szCs w:val="20"/>
                <w:color w:val="auto"/>
              </w:rPr>
            </w:pPr>
            <w:r>
              <w:rPr>
                <w:rFonts w:ascii="Times New Roman" w:cs="Times New Roman" w:eastAsia="Times New Roman" w:hAnsi="Times New Roman"/>
                <w:sz w:val="13"/>
                <w:szCs w:val="13"/>
                <w:color w:val="auto"/>
                <w:w w:val="97"/>
              </w:rPr>
              <w:t>Notes to Consolidated Financial Statements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280" w:type="dxa"/>
            <w:vAlign w:val="bottom"/>
            <w:gridSpan w:val="2"/>
          </w:tcPr>
          <w:p>
            <w:pPr>
              <w:jc w:val="center"/>
              <w:ind w:left="876"/>
              <w:spacing w:after="0"/>
              <w:rPr>
                <w:sz w:val="20"/>
                <w:szCs w:val="20"/>
                <w:color w:val="auto"/>
              </w:rPr>
            </w:pPr>
            <w:r>
              <w:rPr>
                <w:rFonts w:ascii="Times New Roman" w:cs="Times New Roman" w:eastAsia="Times New Roman" w:hAnsi="Times New Roman"/>
                <w:sz w:val="13"/>
                <w:szCs w:val="13"/>
                <w:color w:val="auto"/>
                <w:w w:val="97"/>
              </w:rPr>
              <w:t>Dollars in thousands, except per share data)</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1"/>
        </w:trPr>
        <w:tc>
          <w:tcPr>
            <w:tcW w:w="682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9"/>
              </w:rPr>
              <w:t>The following schedule summarizes aggregate future minimum lease payments under these operating leases at September 30, 2024:</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Remainder of 2024</w:t>
            </w:r>
          </w:p>
        </w:tc>
        <w:tc>
          <w:tcPr>
            <w:tcW w:w="2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0" w:type="dxa"/>
            <w:vAlign w:val="bottom"/>
          </w:tcPr>
          <w:p>
            <w:pPr>
              <w:spacing w:after="0"/>
              <w:rPr>
                <w:sz w:val="1"/>
                <w:szCs w:val="1"/>
                <w:color w:val="auto"/>
              </w:rPr>
            </w:pPr>
          </w:p>
        </w:tc>
      </w:tr>
      <w:tr>
        <w:trPr>
          <w:trHeight w:val="165"/>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2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1,716</w:t>
            </w:r>
          </w:p>
        </w:tc>
        <w:tc>
          <w:tcPr>
            <w:tcW w:w="0" w:type="dxa"/>
            <w:vAlign w:val="bottom"/>
          </w:tcPr>
          <w:p>
            <w:pPr>
              <w:spacing w:after="0"/>
              <w:rPr>
                <w:sz w:val="1"/>
                <w:szCs w:val="1"/>
                <w:color w:val="auto"/>
              </w:rPr>
            </w:pPr>
          </w:p>
        </w:tc>
      </w:tr>
      <w:tr>
        <w:trPr>
          <w:trHeight w:val="17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2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0" w:type="dxa"/>
            <w:vAlign w:val="bottom"/>
          </w:tcPr>
          <w:p>
            <w:pPr>
              <w:spacing w:after="0"/>
              <w:rPr>
                <w:sz w:val="1"/>
                <w:szCs w:val="1"/>
                <w:color w:val="auto"/>
              </w:rPr>
            </w:pPr>
          </w:p>
        </w:tc>
      </w:tr>
      <w:tr>
        <w:trPr>
          <w:trHeight w:val="165"/>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2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1,729</w:t>
            </w:r>
          </w:p>
        </w:tc>
        <w:tc>
          <w:tcPr>
            <w:tcW w:w="0" w:type="dxa"/>
            <w:vAlign w:val="bottom"/>
          </w:tcPr>
          <w:p>
            <w:pPr>
              <w:spacing w:after="0"/>
              <w:rPr>
                <w:sz w:val="1"/>
                <w:szCs w:val="1"/>
                <w:color w:val="auto"/>
              </w:rPr>
            </w:pPr>
          </w:p>
        </w:tc>
      </w:tr>
      <w:tr>
        <w:trPr>
          <w:trHeight w:val="17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2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w:t>
            </w:r>
          </w:p>
        </w:tc>
        <w:tc>
          <w:tcPr>
            <w:tcW w:w="0" w:type="dxa"/>
            <w:vAlign w:val="bottom"/>
          </w:tcPr>
          <w:p>
            <w:pPr>
              <w:spacing w:after="0"/>
              <w:rPr>
                <w:sz w:val="1"/>
                <w:szCs w:val="1"/>
                <w:color w:val="auto"/>
              </w:rPr>
            </w:pPr>
          </w:p>
        </w:tc>
      </w:tr>
      <w:tr>
        <w:trPr>
          <w:trHeight w:val="168"/>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22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4,413</w:t>
            </w:r>
          </w:p>
        </w:tc>
        <w:tc>
          <w:tcPr>
            <w:tcW w:w="0" w:type="dxa"/>
            <w:vAlign w:val="bottom"/>
          </w:tcPr>
          <w:p>
            <w:pPr>
              <w:spacing w:after="0"/>
              <w:rPr>
                <w:sz w:val="1"/>
                <w:szCs w:val="1"/>
                <w:color w:val="auto"/>
              </w:rPr>
            </w:pPr>
          </w:p>
        </w:tc>
      </w:tr>
      <w:tr>
        <w:trPr>
          <w:trHeight w:val="163"/>
        </w:trPr>
        <w:tc>
          <w:tcPr>
            <w:tcW w:w="354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Total undiscounted minimum lease payments</w:t>
            </w:r>
          </w:p>
        </w:tc>
        <w:tc>
          <w:tcPr>
            <w:tcW w:w="2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11,564</w:t>
            </w:r>
          </w:p>
        </w:tc>
        <w:tc>
          <w:tcPr>
            <w:tcW w:w="0" w:type="dxa"/>
            <w:vAlign w:val="bottom"/>
          </w:tcPr>
          <w:p>
            <w:pPr>
              <w:spacing w:after="0"/>
              <w:rPr>
                <w:sz w:val="1"/>
                <w:szCs w:val="1"/>
                <w:color w:val="auto"/>
              </w:rPr>
            </w:pPr>
          </w:p>
        </w:tc>
      </w:tr>
      <w:tr>
        <w:trPr>
          <w:trHeight w:val="168"/>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amount representing interest</w:t>
            </w:r>
          </w:p>
        </w:tc>
        <w:tc>
          <w:tcPr>
            <w:tcW w:w="22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(1,647)</w:t>
            </w:r>
          </w:p>
        </w:tc>
        <w:tc>
          <w:tcPr>
            <w:tcW w:w="0" w:type="dxa"/>
            <w:vAlign w:val="bottom"/>
          </w:tcPr>
          <w:p>
            <w:pPr>
              <w:spacing w:after="0"/>
              <w:rPr>
                <w:sz w:val="1"/>
                <w:szCs w:val="1"/>
                <w:color w:val="auto"/>
              </w:rPr>
            </w:pPr>
          </w:p>
        </w:tc>
      </w:tr>
      <w:tr>
        <w:trPr>
          <w:trHeight w:val="185"/>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lease liability</w:t>
            </w:r>
          </w:p>
        </w:tc>
        <w:tc>
          <w:tcPr>
            <w:tcW w:w="2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3"/>
                <w:szCs w:val="13"/>
                <w:color w:val="auto"/>
              </w:rPr>
              <w:t>The following table presents components of operating lease expense for the periods indicated:</w:t>
            </w: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0" w:type="dxa"/>
            <w:vAlign w:val="bottom"/>
            <w:gridSpan w:val="6"/>
          </w:tcPr>
          <w:p>
            <w:pPr>
              <w:ind w:left="3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20" w:type="dxa"/>
            <w:vAlign w:val="bottom"/>
          </w:tcPr>
          <w:p>
            <w:pPr>
              <w:spacing w:after="0"/>
              <w:rPr>
                <w:sz w:val="15"/>
                <w:szCs w:val="15"/>
                <w:color w:val="auto"/>
              </w:rPr>
            </w:pPr>
          </w:p>
        </w:tc>
        <w:tc>
          <w:tcPr>
            <w:tcW w:w="2440" w:type="dxa"/>
            <w:vAlign w:val="bottom"/>
            <w:gridSpan w:val="5"/>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61"/>
        </w:trPr>
        <w:tc>
          <w:tcPr>
            <w:tcW w:w="354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Operating lease cost (included in occupancy expense, net)</w:t>
            </w:r>
          </w:p>
        </w:tc>
        <w:tc>
          <w:tcPr>
            <w:tcW w:w="2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w:t>
            </w:r>
          </w:p>
        </w:tc>
        <w:tc>
          <w:tcPr>
            <w:tcW w:w="0" w:type="dxa"/>
            <w:vAlign w:val="bottom"/>
          </w:tcPr>
          <w:p>
            <w:pPr>
              <w:spacing w:after="0"/>
              <w:rPr>
                <w:sz w:val="1"/>
                <w:szCs w:val="1"/>
                <w:color w:val="auto"/>
              </w:rPr>
            </w:pPr>
          </w:p>
        </w:tc>
      </w:tr>
      <w:tr>
        <w:trPr>
          <w:trHeight w:val="168"/>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Variable lease cost (included in occupancy expense, net)</w:t>
            </w:r>
          </w:p>
        </w:tc>
        <w:tc>
          <w:tcPr>
            <w:tcW w:w="2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Sublease income (included in other noninterest income)</w:t>
            </w:r>
          </w:p>
        </w:tc>
        <w:tc>
          <w:tcPr>
            <w:tcW w:w="22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58"/>
        </w:trPr>
        <w:tc>
          <w:tcPr>
            <w:tcW w:w="35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operating lease expense, net</w:t>
            </w:r>
          </w:p>
        </w:tc>
        <w:tc>
          <w:tcPr>
            <w:tcW w:w="2280" w:type="dxa"/>
            <w:vAlign w:val="bottom"/>
          </w:tcPr>
          <w:p>
            <w:pPr>
              <w:spacing w:after="0"/>
              <w:rPr>
                <w:sz w:val="13"/>
                <w:szCs w:val="13"/>
                <w:color w:val="auto"/>
              </w:rPr>
            </w:pPr>
          </w:p>
        </w:tc>
        <w:tc>
          <w:tcPr>
            <w:tcW w:w="100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Lessee - Finance Lease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quarter ended March 31, 2023, the Company purchased the property associated with the finance lease reported historically. The Company purchased the property for $1,249, terminating the existing land 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 to the purchase, interest expense on the lease liability totaled $15 for the three months ended March 31,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8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presents supplemental lease cash flow information for the periods indicated: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93"/>
        </w:trPr>
        <w:tc>
          <w:tcPr>
            <w:tcW w:w="858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360" w:type="dxa"/>
            <w:vAlign w:val="bottom"/>
            <w:tcBorders>
              <w:bottom w:val="single" w:sz="8" w:color="auto"/>
            </w:tcBorders>
          </w:tcPr>
          <w:p>
            <w:pPr>
              <w:spacing w:after="0"/>
              <w:rPr>
                <w:sz w:val="16"/>
                <w:szCs w:val="16"/>
                <w:color w:val="auto"/>
              </w:rPr>
            </w:pPr>
          </w:p>
        </w:tc>
      </w:tr>
      <w:tr>
        <w:trPr>
          <w:trHeight w:val="161"/>
        </w:trPr>
        <w:tc>
          <w:tcPr>
            <w:tcW w:w="858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6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360" w:type="dxa"/>
            <w:vAlign w:val="bottom"/>
          </w:tcPr>
          <w:p>
            <w:pPr>
              <w:spacing w:after="0"/>
              <w:rPr>
                <w:sz w:val="14"/>
                <w:szCs w:val="14"/>
                <w:color w:val="auto"/>
              </w:rPr>
            </w:pPr>
          </w:p>
        </w:tc>
      </w:tr>
      <w:tr>
        <w:trPr>
          <w:trHeight w:val="162"/>
        </w:trPr>
        <w:tc>
          <w:tcPr>
            <w:tcW w:w="8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ROU assets - noncash additions (operating leases)</w:t>
            </w: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3,956</w:t>
            </w:r>
          </w:p>
        </w:tc>
      </w:tr>
      <w:tr>
        <w:trPr>
          <w:trHeight w:val="168"/>
        </w:trPr>
        <w:tc>
          <w:tcPr>
            <w:tcW w:w="8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 (operating leases)</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w:t>
            </w:r>
          </w:p>
        </w:tc>
      </w:tr>
      <w:tr>
        <w:trPr>
          <w:trHeight w:val="172"/>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 (finance leases)</w:t>
            </w:r>
          </w:p>
        </w:tc>
        <w:tc>
          <w:tcPr>
            <w:tcW w:w="880" w:type="dxa"/>
            <w:vAlign w:val="bottom"/>
            <w:shd w:val="clear" w:color="auto" w:fill="CCEEFF"/>
          </w:tcPr>
          <w:p>
            <w:pPr>
              <w:spacing w:after="0"/>
              <w:rPr>
                <w:sz w:val="14"/>
                <w:szCs w:val="14"/>
                <w:color w:val="auto"/>
              </w:rPr>
            </w:pPr>
          </w:p>
        </w:tc>
        <w:tc>
          <w:tcPr>
            <w:tcW w:w="1460" w:type="dxa"/>
            <w:vAlign w:val="bottom"/>
            <w:gridSpan w:val="3"/>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Lessor - General</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fixed purchase option, and most of the leases that do not have a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Lessor - Operating Leases</w:t>
      </w:r>
    </w:p>
    <w:p>
      <w:pPr>
        <w:spacing w:after="0" w:line="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Operating lease income is recognized as a component of noninterest income on a straight-line basis over the lease term. Lease terms range from one to seven years. Assets related to operating leases are included in other assets and the corresponding depreciation expense is recorded on a straight-line basis as a component of other noninterest expense. The net book value of leased assets totaled $33,865 and $30,121 with a residual value of $14,140 and $14,958 as of September 30, 2024 and December 31, 2023, respectively.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9"/>
              </w:rPr>
              <w:t>The following table presents total equipment finance operating lease income and depreciation expense for the periods indicated: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3"/>
        </w:trPr>
        <w:tc>
          <w:tcPr>
            <w:tcW w:w="578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57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income</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1,785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5,087</w:t>
            </w:r>
          </w:p>
        </w:tc>
        <w:tc>
          <w:tcPr>
            <w:tcW w:w="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4,515</w:t>
            </w:r>
          </w:p>
        </w:tc>
      </w:tr>
      <w:tr>
        <w:trPr>
          <w:trHeight w:val="165"/>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expense</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1,393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3,924</w:t>
            </w:r>
          </w:p>
        </w:tc>
      </w:tr>
      <w:tr>
        <w:trPr>
          <w:trHeight w:val="276"/>
        </w:trPr>
        <w:tc>
          <w:tcPr>
            <w:tcW w:w="6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schedule summarizes aggregate future minimum lease payments to be received at September 30, 2024:</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6"/>
        </w:trPr>
        <w:tc>
          <w:tcPr>
            <w:tcW w:w="5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7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Remainder of 2024</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w:t>
            </w:r>
          </w:p>
        </w:tc>
      </w:tr>
      <w:tr>
        <w:trPr>
          <w:trHeight w:val="165"/>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7,924</w:t>
            </w:r>
          </w:p>
        </w:tc>
      </w:tr>
      <w:tr>
        <w:trPr>
          <w:trHeight w:val="17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6,001</w:t>
            </w:r>
          </w:p>
        </w:tc>
      </w:tr>
      <w:tr>
        <w:trPr>
          <w:trHeight w:val="165"/>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3,410</w:t>
            </w:r>
          </w:p>
        </w:tc>
      </w:tr>
      <w:tr>
        <w:trPr>
          <w:trHeight w:val="17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3,134</w:t>
            </w:r>
          </w:p>
        </w:tc>
      </w:tr>
      <w:tr>
        <w:trPr>
          <w:trHeight w:val="168"/>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8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4,045</w:t>
            </w:r>
          </w:p>
        </w:tc>
      </w:tr>
      <w:tr>
        <w:trPr>
          <w:trHeight w:val="185"/>
        </w:trPr>
        <w:tc>
          <w:tcPr>
            <w:tcW w:w="5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of future minimum payments</w:t>
            </w:r>
          </w:p>
        </w:tc>
        <w:tc>
          <w:tcPr>
            <w:tcW w:w="8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26,684</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9"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Lessor - Financing Leases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Finance lease income is recognized as a component of loan interest income over the lease term. The finance leases are included as a component of the equipment finance class of financing receivables under the commercial loan segment of the loan portfolio. For the three months ended September 30, 2024 and 2023, interest income on equipment finance leases totaled $1,181 and $995, respectively. For the nine months ended September 30, 2024 and 2023, interest income on equipment finance leases totaled $3,348 and $2,810,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lease receivable component of finance lease net investment included within the equipment finance class of financing receivables was $72,125 and $70,150 at September 30, 2024 and December 31, 2023, respectively.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98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schedule summarizes, as of September 30, 2024, aggregate future minimum finance lease payments to be received:</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6"/>
        </w:trPr>
        <w:tc>
          <w:tcPr>
            <w:tcW w:w="9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Remainder of 2024</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7,891</w:t>
            </w:r>
          </w:p>
        </w:tc>
      </w:tr>
      <w:tr>
        <w:trPr>
          <w:trHeight w:val="165"/>
        </w:trPr>
        <w:tc>
          <w:tcPr>
            <w:tcW w:w="9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24,024</w:t>
            </w:r>
          </w:p>
        </w:tc>
      </w:tr>
      <w:tr>
        <w:trPr>
          <w:trHeight w:val="174"/>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20,199</w:t>
            </w:r>
          </w:p>
        </w:tc>
      </w:tr>
      <w:tr>
        <w:trPr>
          <w:trHeight w:val="165"/>
        </w:trPr>
        <w:tc>
          <w:tcPr>
            <w:tcW w:w="9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15,546</w:t>
            </w:r>
          </w:p>
        </w:tc>
      </w:tr>
      <w:tr>
        <w:trPr>
          <w:trHeight w:val="174"/>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9,013</w:t>
            </w:r>
          </w:p>
        </w:tc>
      </w:tr>
      <w:tr>
        <w:trPr>
          <w:trHeight w:val="168"/>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6,627</w:t>
            </w:r>
          </w:p>
        </w:tc>
      </w:tr>
      <w:tr>
        <w:trPr>
          <w:trHeight w:val="163"/>
        </w:trPr>
        <w:tc>
          <w:tcPr>
            <w:tcW w:w="9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undiscounted minimum lease payments</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83,300</w:t>
            </w:r>
          </w:p>
        </w:tc>
      </w:tr>
      <w:tr>
        <w:trPr>
          <w:trHeight w:val="168"/>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amount representing interest</w:t>
            </w: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(11,175)</w:t>
            </w:r>
          </w:p>
        </w:tc>
      </w:tr>
      <w:tr>
        <w:trPr>
          <w:trHeight w:val="188"/>
        </w:trPr>
        <w:tc>
          <w:tcPr>
            <w:tcW w:w="99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lease receivable</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72,125</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00" w:hanging="295"/>
        <w:spacing w:after="0"/>
        <w:tabs>
          <w:tab w:leader="none" w:pos="300"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Equity Incentive Plan</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historically provided stock-based awards through the 2013 Omnibus Incentive Plan, which provided for awards of restricted stock, restricted stock units, stock options, stock appreciation rights and cash awards to directors, directors emeritus, officers, employees and advisory directors. On November 14, 2022, at the Company's annual meeting, stockholders approved the 2022 Omnibus Incentive Plan which provides for the same types of awards as described under the 2013 Omnibus Incentive Plan. Going forward, any future grants will be made under this plan.</w:t>
      </w:r>
    </w:p>
    <w:p>
      <w:pPr>
        <w:spacing w:after="0" w:line="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cost of equity-based awards under the 2022 Omnibus Incentive Plan generally is based on the fair value of the awards on their grant date. The maximum number of shares that may be utilized for awards under the plan is 1,000,000. Shares of common stock issued under the plan will be issued out of authorized but unissued shares, some or all of which may be repurchased shares.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table below presents share-based compensation expense and the estimated related tax benefit for stock options and restricted stock for the dates indicated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Borders>
              <w:bottom w:val="single" w:sz="8" w:color="auto"/>
            </w:tcBorders>
            <w:gridSpan w:val="5"/>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60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6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w:t>
            </w:r>
          </w:p>
        </w:tc>
      </w:tr>
      <w:tr>
        <w:trPr>
          <w:trHeight w:val="165"/>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benefit</w:t>
            </w:r>
          </w:p>
        </w:tc>
        <w:tc>
          <w:tcPr>
            <w:tcW w:w="9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table below presents stock option activity and related information for the nine months ended September 30, 2024 and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Weighted-Average Exercise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Remaining Contractual</w:t>
            </w:r>
          </w:p>
        </w:tc>
        <w:tc>
          <w:tcPr>
            <w:tcW w:w="280" w:type="dxa"/>
            <w:vAlign w:val="bottom"/>
          </w:tcPr>
          <w:p>
            <w:pPr>
              <w:spacing w:after="0"/>
              <w:rPr>
                <w:sz w:val="12"/>
                <w:szCs w:val="12"/>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27"/>
        </w:trPr>
        <w:tc>
          <w:tcPr>
            <w:tcW w:w="4920" w:type="dxa"/>
            <w:vAlign w:val="bottom"/>
          </w:tcPr>
          <w:p>
            <w:pPr>
              <w:spacing w:after="0"/>
              <w:rPr>
                <w:sz w:val="11"/>
                <w:szCs w:val="11"/>
                <w:color w:val="auto"/>
              </w:rPr>
            </w:pPr>
          </w:p>
        </w:tc>
        <w:tc>
          <w:tcPr>
            <w:tcW w:w="1000" w:type="dxa"/>
            <w:vAlign w:val="bottom"/>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6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Life</w:t>
            </w:r>
          </w:p>
        </w:tc>
        <w:tc>
          <w:tcPr>
            <w:tcW w:w="280" w:type="dxa"/>
            <w:vAlign w:val="bottom"/>
          </w:tcPr>
          <w:p>
            <w:pPr>
              <w:spacing w:after="0"/>
              <w:rPr>
                <w:sz w:val="11"/>
                <w:szCs w:val="11"/>
                <w:color w:val="auto"/>
              </w:rPr>
            </w:pPr>
          </w:p>
        </w:tc>
        <w:tc>
          <w:tcPr>
            <w:tcW w:w="1240" w:type="dxa"/>
            <w:vAlign w:val="bottom"/>
          </w:tcPr>
          <w:p>
            <w:pPr>
              <w:jc w:val="center"/>
              <w:ind w:right="216"/>
              <w:spacing w:after="0" w:line="128"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(Years)</w:t>
            </w:r>
          </w:p>
        </w:tc>
        <w:tc>
          <w:tcPr>
            <w:tcW w:w="280" w:type="dxa"/>
            <w:vAlign w:val="bottom"/>
          </w:tcPr>
          <w:p>
            <w:pPr>
              <w:spacing w:after="0"/>
              <w:rPr>
                <w:sz w:val="14"/>
                <w:szCs w:val="14"/>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62"/>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Options outstanding at December 31, 2022</w:t>
            </w:r>
          </w:p>
        </w:tc>
        <w:tc>
          <w:tcPr>
            <w:tcW w:w="10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849,623</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22.06</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2,958</w:t>
            </w:r>
          </w:p>
        </w:tc>
        <w:tc>
          <w:tcPr>
            <w:tcW w:w="0" w:type="dxa"/>
            <w:vAlign w:val="bottom"/>
          </w:tcPr>
          <w:p>
            <w:pPr>
              <w:spacing w:after="0"/>
              <w:rPr>
                <w:sz w:val="1"/>
                <w:szCs w:val="1"/>
                <w:color w:val="auto"/>
              </w:rPr>
            </w:pPr>
          </w:p>
        </w:tc>
      </w:tr>
      <w:tr>
        <w:trPr>
          <w:trHeight w:val="168"/>
        </w:trPr>
        <w:tc>
          <w:tcPr>
            <w:tcW w:w="59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Exercised</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(279,549)</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Forfeited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(27,724)</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25.39</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Options outstanding at September 30, 2023</w:t>
            </w:r>
          </w:p>
        </w:tc>
        <w:tc>
          <w:tcPr>
            <w:tcW w:w="10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542,350</w:t>
            </w:r>
          </w:p>
        </w:tc>
        <w:tc>
          <w:tcPr>
            <w:tcW w:w="80" w:type="dxa"/>
            <w:vAlign w:val="bottom"/>
          </w:tcPr>
          <w:p>
            <w:pPr>
              <w:spacing w:after="0"/>
              <w:rPr>
                <w:sz w:val="13"/>
                <w:szCs w:val="13"/>
                <w:color w:val="auto"/>
              </w:rPr>
            </w:pPr>
          </w:p>
        </w:tc>
        <w:tc>
          <w:tcPr>
            <w:tcW w:w="1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25.70</w:t>
            </w:r>
          </w:p>
        </w:tc>
        <w:tc>
          <w:tcPr>
            <w:tcW w:w="80" w:type="dxa"/>
            <w:vAlign w:val="bottom"/>
          </w:tcPr>
          <w:p>
            <w:pPr>
              <w:spacing w:after="0"/>
              <w:rPr>
                <w:sz w:val="13"/>
                <w:szCs w:val="13"/>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Exercisable at September 30, 2023</w:t>
            </w: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467,390</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25.40</w:t>
            </w:r>
          </w:p>
        </w:tc>
        <w:tc>
          <w:tcPr>
            <w:tcW w:w="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9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Non-vested at September 30, 2023</w:t>
            </w:r>
          </w:p>
        </w:tc>
        <w:tc>
          <w:tcPr>
            <w:tcW w:w="10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74,960</w:t>
            </w:r>
          </w:p>
        </w:tc>
        <w:tc>
          <w:tcPr>
            <w:tcW w:w="80" w:type="dxa"/>
            <w:vAlign w:val="bottom"/>
          </w:tcPr>
          <w:p>
            <w:pPr>
              <w:spacing w:after="0"/>
              <w:rPr>
                <w:sz w:val="11"/>
                <w:szCs w:val="11"/>
                <w:color w:val="auto"/>
              </w:rPr>
            </w:pPr>
          </w:p>
        </w:tc>
        <w:tc>
          <w:tcPr>
            <w:tcW w:w="1060" w:type="dxa"/>
            <w:vAlign w:val="bottom"/>
            <w:tcBorders>
              <w:top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27.58</w:t>
            </w:r>
          </w:p>
        </w:tc>
        <w:tc>
          <w:tcPr>
            <w:tcW w:w="80" w:type="dxa"/>
            <w:vAlign w:val="bottom"/>
          </w:tcPr>
          <w:p>
            <w:pPr>
              <w:spacing w:after="0"/>
              <w:rPr>
                <w:sz w:val="11"/>
                <w:szCs w:val="11"/>
                <w:color w:val="auto"/>
              </w:rPr>
            </w:pPr>
          </w:p>
        </w:tc>
        <w:tc>
          <w:tcPr>
            <w:tcW w:w="15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3"/>
        </w:trPr>
        <w:tc>
          <w:tcPr>
            <w:tcW w:w="492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9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Options outstanding at December 31, 2023</w:t>
            </w: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534,350</w:t>
            </w:r>
          </w:p>
        </w:tc>
        <w:tc>
          <w:tcPr>
            <w:tcW w:w="8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25.85</w:t>
            </w:r>
          </w:p>
        </w:tc>
        <w:tc>
          <w:tcPr>
            <w:tcW w:w="8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0" w:type="dxa"/>
            <w:vAlign w:val="bottom"/>
          </w:tcPr>
          <w:p>
            <w:pPr>
              <w:spacing w:after="0"/>
              <w:rPr>
                <w:sz w:val="1"/>
                <w:szCs w:val="1"/>
                <w:color w:val="auto"/>
              </w:rPr>
            </w:pPr>
          </w:p>
        </w:tc>
      </w:tr>
      <w:tr>
        <w:trPr>
          <w:trHeight w:val="171"/>
        </w:trPr>
        <w:tc>
          <w:tcPr>
            <w:tcW w:w="5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Exercised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(82,113)</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24.65</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(23,600)</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Options outstanding at September 30, 2024</w:t>
            </w: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428,637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9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Exercisable at September 30, 2024</w:t>
            </w:r>
          </w:p>
        </w:tc>
        <w:tc>
          <w:tcPr>
            <w:tcW w:w="10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379,667</w:t>
            </w:r>
          </w:p>
        </w:tc>
        <w:tc>
          <w:tcPr>
            <w:tcW w:w="80" w:type="dxa"/>
            <w:vAlign w:val="bottom"/>
          </w:tcPr>
          <w:p>
            <w:pPr>
              <w:spacing w:after="0"/>
              <w:rPr>
                <w:sz w:val="11"/>
                <w:szCs w:val="11"/>
                <w:color w:val="auto"/>
              </w:rPr>
            </w:pPr>
          </w:p>
        </w:tc>
        <w:tc>
          <w:tcPr>
            <w:tcW w:w="1060" w:type="dxa"/>
            <w:vAlign w:val="bottom"/>
            <w:tcBorders>
              <w:top w:val="single" w:sz="8" w:color="auto"/>
              <w:bottom w:val="single" w:sz="8" w:color="auto"/>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25.85</w:t>
            </w:r>
          </w:p>
        </w:tc>
        <w:tc>
          <w:tcPr>
            <w:tcW w:w="80" w:type="dxa"/>
            <w:vAlign w:val="bottom"/>
          </w:tcPr>
          <w:p>
            <w:pPr>
              <w:spacing w:after="0"/>
              <w:rPr>
                <w:sz w:val="11"/>
                <w:szCs w:val="11"/>
                <w:color w:val="auto"/>
              </w:rPr>
            </w:pPr>
          </w:p>
        </w:tc>
        <w:tc>
          <w:tcPr>
            <w:tcW w:w="15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3,124</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September 30, 2024</w:t>
            </w: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48,970</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27.77</w:t>
            </w:r>
          </w:p>
        </w:tc>
        <w:tc>
          <w:tcPr>
            <w:tcW w:w="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were no options granted during the nine months ended September 30, 2024 and 2023.</w:t>
      </w:r>
    </w:p>
    <w:p>
      <w:pPr>
        <w:spacing w:after="0" w:line="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At September 30, 2024, the Company had $261 of unrecognized compensation expense related to 48,970 stock options originally scheduled to vest over a five-year period. The weighted average period over which compensation cost related to non-vested awards is expected to be recognized was 1.1 years at September 30, 2024. At September 30, 2023, the Company had $428 of unrecognized compensation expense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related to 74,960 stock options originally scheduled to vest over a five-year period. The weighted average period over which compensation cost related to non-vested awards is expected to be recognized was 1.4 years at September 30, 2023.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60" w:type="dxa"/>
            <w:vAlign w:val="bottom"/>
          </w:tcPr>
          <w:p>
            <w:pPr>
              <w:spacing w:after="0"/>
              <w:rPr>
                <w:sz w:val="20"/>
                <w:szCs w:val="20"/>
                <w:color w:val="auto"/>
              </w:rPr>
            </w:pPr>
            <w:r>
              <w:rPr>
                <w:rFonts w:ascii="Times New Roman" w:cs="Times New Roman" w:eastAsia="Times New Roman" w:hAnsi="Times New Roman"/>
                <w:sz w:val="13"/>
                <w:szCs w:val="13"/>
                <w:color w:val="auto"/>
              </w:rPr>
              <w:t>The table below presents restricted stock award activity and related information:</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360" w:type="dxa"/>
            <w:vAlign w:val="bottom"/>
          </w:tcPr>
          <w:p>
            <w:pPr>
              <w:spacing w:after="0"/>
              <w:rPr>
                <w:sz w:val="13"/>
                <w:szCs w:val="13"/>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Performance-Based</w:t>
            </w:r>
          </w:p>
        </w:tc>
        <w:tc>
          <w:tcPr>
            <w:tcW w:w="22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220" w:type="dxa"/>
            <w:vAlign w:val="bottom"/>
          </w:tcPr>
          <w:p>
            <w:pPr>
              <w:spacing w:after="0"/>
              <w:rPr>
                <w:sz w:val="13"/>
                <w:szCs w:val="13"/>
                <w:color w:val="auto"/>
              </w:rPr>
            </w:pPr>
          </w:p>
        </w:tc>
        <w:tc>
          <w:tcPr>
            <w:tcW w:w="106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27"/>
        </w:trPr>
        <w:tc>
          <w:tcPr>
            <w:tcW w:w="53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7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Restricted</w:t>
            </w:r>
          </w:p>
        </w:tc>
        <w:tc>
          <w:tcPr>
            <w:tcW w:w="220" w:type="dxa"/>
            <w:vAlign w:val="bottom"/>
          </w:tcPr>
          <w:p>
            <w:pPr>
              <w:spacing w:after="0"/>
              <w:rPr>
                <w:sz w:val="11"/>
                <w:szCs w:val="11"/>
                <w:color w:val="auto"/>
              </w:rPr>
            </w:pPr>
          </w:p>
        </w:tc>
        <w:tc>
          <w:tcPr>
            <w:tcW w:w="138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Average Grant</w:t>
            </w:r>
          </w:p>
        </w:tc>
        <w:tc>
          <w:tcPr>
            <w:tcW w:w="220" w:type="dxa"/>
            <w:vAlign w:val="bottom"/>
          </w:tcPr>
          <w:p>
            <w:pPr>
              <w:spacing w:after="0"/>
              <w:rPr>
                <w:sz w:val="11"/>
                <w:szCs w:val="11"/>
                <w:color w:val="auto"/>
              </w:rPr>
            </w:pPr>
          </w:p>
        </w:tc>
        <w:tc>
          <w:tcPr>
            <w:tcW w:w="1060" w:type="dxa"/>
            <w:vAlign w:val="bottom"/>
          </w:tcPr>
          <w:p>
            <w:pPr>
              <w:jc w:val="center"/>
              <w:ind w:right="136"/>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0" w:type="dxa"/>
            <w:vAlign w:val="bottom"/>
          </w:tcPr>
          <w:p>
            <w:pPr>
              <w:spacing w:after="0"/>
              <w:rPr>
                <w:sz w:val="1"/>
                <w:szCs w:val="1"/>
                <w:color w:val="auto"/>
              </w:rPr>
            </w:pPr>
          </w:p>
        </w:tc>
      </w:tr>
      <w:tr>
        <w:trPr>
          <w:trHeight w:val="170"/>
        </w:trPr>
        <w:tc>
          <w:tcPr>
            <w:tcW w:w="5360" w:type="dxa"/>
            <w:vAlign w:val="bottom"/>
          </w:tcPr>
          <w:p>
            <w:pPr>
              <w:spacing w:after="0"/>
              <w:rPr>
                <w:sz w:val="14"/>
                <w:szCs w:val="14"/>
                <w:color w:val="auto"/>
              </w:rPr>
            </w:pPr>
          </w:p>
        </w:tc>
        <w:tc>
          <w:tcPr>
            <w:tcW w:w="1320" w:type="dxa"/>
            <w:vAlign w:val="bottom"/>
            <w:gridSpan w:val="2"/>
          </w:tcPr>
          <w:p>
            <w:pPr>
              <w:jc w:val="center"/>
              <w:ind w:right="80"/>
              <w:spacing w:after="0" w:line="170" w:lineRule="exact"/>
              <w:rPr>
                <w:sz w:val="20"/>
                <w:szCs w:val="20"/>
                <w:color w:val="auto"/>
              </w:rPr>
            </w:pPr>
            <w:r>
              <w:rPr>
                <w:rFonts w:ascii="Times New Roman" w:cs="Times New Roman" w:eastAsia="Times New Roman" w:hAnsi="Times New Roman"/>
                <w:sz w:val="13"/>
                <w:szCs w:val="13"/>
                <w:b w:val="1"/>
                <w:bCs w:val="1"/>
                <w:color w:val="auto"/>
                <w:w w:val="93"/>
              </w:rPr>
              <w:t>Stock Awards</w:t>
            </w:r>
            <w:r>
              <w:rPr>
                <w:rFonts w:ascii="Times New Roman" w:cs="Times New Roman" w:eastAsia="Times New Roman" w:hAnsi="Times New Roman"/>
                <w:sz w:val="16"/>
                <w:szCs w:val="16"/>
                <w:b w:val="1"/>
                <w:bCs w:val="1"/>
                <w:color w:val="auto"/>
                <w:w w:val="93"/>
                <w:vertAlign w:val="superscript"/>
              </w:rPr>
              <w:t>(1)</w:t>
            </w:r>
          </w:p>
        </w:tc>
        <w:tc>
          <w:tcPr>
            <w:tcW w:w="1720" w:type="dxa"/>
            <w:vAlign w:val="bottom"/>
            <w:gridSpan w:val="2"/>
          </w:tcPr>
          <w:p>
            <w:pPr>
              <w:jc w:val="center"/>
              <w:ind w:right="80"/>
              <w:spacing w:after="0" w:line="170" w:lineRule="exact"/>
              <w:rPr>
                <w:sz w:val="20"/>
                <w:szCs w:val="20"/>
                <w:color w:val="auto"/>
              </w:rPr>
            </w:pPr>
            <w:r>
              <w:rPr>
                <w:rFonts w:ascii="Times New Roman" w:cs="Times New Roman" w:eastAsia="Times New Roman" w:hAnsi="Times New Roman"/>
                <w:sz w:val="13"/>
                <w:szCs w:val="13"/>
                <w:b w:val="1"/>
                <w:bCs w:val="1"/>
                <w:color w:val="auto"/>
                <w:w w:val="94"/>
              </w:rPr>
              <w:t>Stock Units</w:t>
            </w:r>
            <w:r>
              <w:rPr>
                <w:rFonts w:ascii="Times New Roman" w:cs="Times New Roman" w:eastAsia="Times New Roman" w:hAnsi="Times New Roman"/>
                <w:sz w:val="16"/>
                <w:szCs w:val="16"/>
                <w:b w:val="1"/>
                <w:bCs w:val="1"/>
                <w:color w:val="auto"/>
                <w:w w:val="94"/>
                <w:vertAlign w:val="superscript"/>
              </w:rPr>
              <w:t>(2)</w:t>
            </w:r>
          </w:p>
        </w:tc>
        <w:tc>
          <w:tcPr>
            <w:tcW w:w="2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Date Fair Value</w:t>
            </w:r>
          </w:p>
        </w:tc>
        <w:tc>
          <w:tcPr>
            <w:tcW w:w="220" w:type="dxa"/>
            <w:vAlign w:val="bottom"/>
          </w:tcPr>
          <w:p>
            <w:pPr>
              <w:spacing w:after="0"/>
              <w:rPr>
                <w:sz w:val="14"/>
                <w:szCs w:val="14"/>
                <w:color w:val="auto"/>
              </w:rPr>
            </w:pPr>
          </w:p>
        </w:tc>
        <w:tc>
          <w:tcPr>
            <w:tcW w:w="106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60"/>
        </w:trPr>
        <w:tc>
          <w:tcPr>
            <w:tcW w:w="53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Non-vested at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100,992</w:t>
            </w: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22,843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0" w:type="dxa"/>
            <w:vAlign w:val="bottom"/>
          </w:tcPr>
          <w:p>
            <w:pPr>
              <w:spacing w:after="0"/>
              <w:rPr>
                <w:sz w:val="1"/>
                <w:szCs w:val="1"/>
                <w:color w:val="auto"/>
              </w:rPr>
            </w:pPr>
          </w:p>
        </w:tc>
      </w:tr>
      <w:tr>
        <w:trPr>
          <w:trHeight w:val="168"/>
        </w:trPr>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54,339</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(41,590)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(5,520)</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September 30,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108,221</w:t>
            </w:r>
          </w:p>
        </w:tc>
        <w:tc>
          <w:tcPr>
            <w:tcW w:w="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2,887</w:t>
            </w:r>
          </w:p>
        </w:tc>
        <w:tc>
          <w:tcPr>
            <w:tcW w:w="0" w:type="dxa"/>
            <w:vAlign w:val="bottom"/>
          </w:tcPr>
          <w:p>
            <w:pPr>
              <w:spacing w:after="0"/>
              <w:rPr>
                <w:sz w:val="1"/>
                <w:szCs w:val="1"/>
                <w:color w:val="auto"/>
              </w:rPr>
            </w:pPr>
          </w:p>
        </w:tc>
      </w:tr>
      <w:tr>
        <w:trPr>
          <w:trHeight w:val="29"/>
        </w:trPr>
        <w:tc>
          <w:tcPr>
            <w:tcW w:w="5360" w:type="dxa"/>
            <w:vAlign w:val="bottom"/>
            <w:tcBorders>
              <w:top w:val="single" w:sz="8" w:color="CCEEFF"/>
            </w:tcBorders>
          </w:tcPr>
          <w:p>
            <w:pPr>
              <w:spacing w:after="0"/>
              <w:rPr>
                <w:sz w:val="2"/>
                <w:szCs w:val="2"/>
                <w:color w:val="auto"/>
              </w:rPr>
            </w:pPr>
          </w:p>
        </w:tc>
        <w:tc>
          <w:tcPr>
            <w:tcW w:w="124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64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130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106,143</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0" w:type="dxa"/>
            <w:vAlign w:val="bottom"/>
          </w:tcPr>
          <w:p>
            <w:pPr>
              <w:spacing w:after="0"/>
              <w:rPr>
                <w:sz w:val="1"/>
                <w:szCs w:val="1"/>
                <w:color w:val="auto"/>
              </w:rPr>
            </w:pPr>
          </w:p>
        </w:tc>
      </w:tr>
      <w:tr>
        <w:trPr>
          <w:trHeight w:val="168"/>
        </w:trPr>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73,502</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(36,639)</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September 30,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140,795</w:t>
            </w:r>
          </w:p>
        </w:tc>
        <w:tc>
          <w:tcPr>
            <w:tcW w:w="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31,507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80" w:hanging="175"/>
        <w:spacing w:after="0"/>
        <w:tabs>
          <w:tab w:leader="none" w:pos="1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Restricted stock awards are scheduled to vest over 1.0 year for director awards and 5.0 years for employee awards.</w:t>
      </w:r>
    </w:p>
    <w:p>
      <w:pPr>
        <w:spacing w:after="0" w:line="32"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Performance-based restricted stock units are scheduled to vest over 3.0 years assuming the applicable financial goals are met.</w:t>
      </w:r>
    </w:p>
    <w:p>
      <w:pPr>
        <w:spacing w:after="0" w:line="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At September 30, 2024, unrecognized compensation expense was $3,523 related to 172,302 shares of restricted stock and restricted stock units. The weighted average period over which compensation cost related to non-vested awards was expected to be recognized was 1.7 years at September 30, 2024. At September 30, 2023, unrecognized compensation expense was $2,751 related to 133,222 shares of restricted stock and restricted stock units. The weighted average period over which compensation cost related to non-vested awards was expected to be recognized was 1.7 years at September 30, 2023.</w:t>
      </w:r>
    </w:p>
    <w:p>
      <w:pPr>
        <w:spacing w:after="0" w:line="87" w:lineRule="exact"/>
        <w:rPr>
          <w:sz w:val="20"/>
          <w:szCs w:val="20"/>
          <w:color w:val="auto"/>
        </w:rPr>
      </w:pPr>
    </w:p>
    <w:p>
      <w:pPr>
        <w:ind w:left="280" w:hanging="275"/>
        <w:spacing w:after="0"/>
        <w:tabs>
          <w:tab w:leader="none" w:pos="280"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Net Income per Share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is a reconciliation of the numerator and denominator of basic and diluted net income per common share as of the dates indicated: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60" w:type="dxa"/>
            <w:vAlign w:val="bottom"/>
          </w:tcPr>
          <w:p>
            <w:pPr>
              <w:spacing w:after="0"/>
              <w:rPr>
                <w:sz w:val="14"/>
                <w:szCs w:val="14"/>
                <w:color w:val="auto"/>
              </w:rPr>
            </w:pPr>
          </w:p>
        </w:tc>
        <w:tc>
          <w:tcPr>
            <w:tcW w:w="2500" w:type="dxa"/>
            <w:vAlign w:val="bottom"/>
            <w:gridSpan w:val="4"/>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56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5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13,112</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14,833</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40,597</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36,580</w:t>
            </w:r>
          </w:p>
        </w:tc>
      </w:tr>
      <w:tr>
        <w:trPr>
          <w:trHeight w:val="172"/>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Allocation of earnings to participating securities</w:t>
            </w: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r>
      <w:tr>
        <w:trPr>
          <w:trHeight w:val="139"/>
        </w:trPr>
        <w:tc>
          <w:tcPr>
            <w:tcW w:w="568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Numerator for basic and diluted EPS - net income available to common stockholders</w:t>
            </w:r>
          </w:p>
        </w:tc>
        <w:tc>
          <w:tcPr>
            <w:tcW w:w="240" w:type="dxa"/>
            <w:vAlign w:val="bottom"/>
            <w:tcBorders>
              <w:bottom w:val="single" w:sz="8" w:color="auto"/>
            </w:tcBorders>
          </w:tcPr>
          <w:p>
            <w:pPr>
              <w:jc w:val="right"/>
              <w:ind w:right="9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12,980</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14,716</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1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40,187</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36,288</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56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Denominator</w:t>
            </w: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66"/>
        </w:trPr>
        <w:tc>
          <w:tcPr>
            <w:tcW w:w="56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168"/>
        </w:trPr>
        <w:tc>
          <w:tcPr>
            <w:tcW w:w="5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Weighted-average common shares outstanding - basic</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16,931,793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16,792,177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16,891,619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16,532,335</w:t>
            </w:r>
          </w:p>
        </w:tc>
      </w:tr>
      <w:tr>
        <w:trPr>
          <w:trHeight w:val="170"/>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Dilutive effect of assumed exercise of stock options</w:t>
            </w: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96,031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46,709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20,984</w:t>
            </w:r>
          </w:p>
        </w:tc>
      </w:tr>
      <w:tr>
        <w:trPr>
          <w:trHeight w:val="163"/>
        </w:trPr>
        <w:tc>
          <w:tcPr>
            <w:tcW w:w="5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Weighted-average common shares outstanding - diluted</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17,027,824</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16,800,901</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16,938,328</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16,553,319</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2"/>
        </w:trPr>
        <w:tc>
          <w:tcPr>
            <w:tcW w:w="56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income per share - basic</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r>
      <w:tr>
        <w:trPr>
          <w:trHeight w:val="167"/>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per share - diluted</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0.76</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0.88</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r>
    </w:tbl>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Potential dilutive shares are excluded from the computation of earnings per share if their effect is anti-dilutive. There were 45,450 and 512,150 stock options that were anti-dilutive as of September 30, 2024 and 2023, respectively.</w:t>
      </w:r>
    </w:p>
    <w:p>
      <w:pPr>
        <w:spacing w:after="0" w:line="83" w:lineRule="exact"/>
        <w:rPr>
          <w:sz w:val="20"/>
          <w:szCs w:val="20"/>
          <w:color w:val="auto"/>
        </w:rPr>
      </w:pPr>
    </w:p>
    <w:p>
      <w:pPr>
        <w:ind w:left="300" w:hanging="295"/>
        <w:spacing w:after="0"/>
        <w:tabs>
          <w:tab w:leader="none" w:pos="300" w:val="left"/>
        </w:tabs>
        <w:numPr>
          <w:ilvl w:val="0"/>
          <w:numId w:val="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Commitments and Contingencies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u w:val="single" w:color="auto"/>
          <w:color w:val="auto"/>
        </w:rPr>
        <w:t>Loan Commitments</w:t>
      </w:r>
      <w:r>
        <w:rPr>
          <w:rFonts w:ascii="Times New Roman" w:cs="Times New Roman" w:eastAsia="Times New Roman" w:hAnsi="Times New Roman"/>
          <w:sz w:val="13"/>
          <w:szCs w:val="13"/>
          <w:color w:val="auto"/>
        </w:rPr>
        <w:t xml:space="preserve"> – 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The table below presents details of loan commitments outstanding as of the dates indicated:</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93"/>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Pr>
          <w:p>
            <w:pPr>
              <w:spacing w:after="0"/>
              <w:rPr>
                <w:sz w:val="16"/>
                <w:szCs w:val="16"/>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Variable rate commitments</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62,261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42,826</w:t>
            </w:r>
          </w:p>
        </w:tc>
      </w:tr>
      <w:tr>
        <w:trPr>
          <w:trHeight w:val="170"/>
        </w:trPr>
        <w:tc>
          <w:tcPr>
            <w:tcW w:w="764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Fixed rate commitments</w:t>
            </w:r>
            <w:r>
              <w:rPr>
                <w:rFonts w:ascii="Times New Roman" w:cs="Times New Roman" w:eastAsia="Times New Roman" w:hAnsi="Times New Roman"/>
                <w:sz w:val="16"/>
                <w:szCs w:val="16"/>
                <w:color w:val="auto"/>
                <w:vertAlign w:val="superscript"/>
              </w:rPr>
              <w:t>(1)</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32,157</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27,682</w:t>
            </w:r>
          </w:p>
        </w:tc>
      </w:tr>
      <w:tr>
        <w:trPr>
          <w:trHeight w:val="160"/>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loan commitments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94,418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70,508</w:t>
            </w:r>
          </w:p>
        </w:tc>
      </w:tr>
      <w:tr>
        <w:trPr>
          <w:trHeight w:val="165"/>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Range of fixed interest rates</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 - 16.40%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 - 11.25%</w:t>
            </w:r>
          </w:p>
        </w:tc>
      </w:tr>
      <w:tr>
        <w:trPr>
          <w:trHeight w:val="47"/>
        </w:trPr>
        <w:tc>
          <w:tcPr>
            <w:tcW w:w="7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0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Undisbursed portions of construction loans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152,434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170,425</w:t>
            </w:r>
          </w:p>
        </w:tc>
      </w:tr>
      <w:tr>
        <w:trPr>
          <w:trHeight w:val="219"/>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Pre-approved but unused lines of credit</w:t>
            </w:r>
            <w:r>
              <w:rPr>
                <w:rFonts w:ascii="Times New Roman" w:cs="Times New Roman" w:eastAsia="Times New Roman" w:hAnsi="Times New Roman"/>
                <w:sz w:val="16"/>
                <w:szCs w:val="16"/>
                <w:color w:val="auto"/>
                <w:vertAlign w:val="superscript"/>
              </w:rPr>
              <w:t>(2)</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689,013</w:t>
            </w:r>
          </w:p>
        </w:tc>
        <w:tc>
          <w:tcPr>
            <w:tcW w:w="80" w:type="dxa"/>
            <w:vAlign w:val="bottom"/>
          </w:tcPr>
          <w:p>
            <w:pPr>
              <w:spacing w:after="0"/>
              <w:rPr>
                <w:sz w:val="19"/>
                <w:szCs w:val="19"/>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690,566</w:t>
            </w:r>
          </w:p>
        </w:tc>
      </w:tr>
    </w:tbl>
    <w:p>
      <w:pPr>
        <w:spacing w:after="0" w:line="39" w:lineRule="exact"/>
        <w:rPr>
          <w:sz w:val="20"/>
          <w:szCs w:val="20"/>
          <w:color w:val="auto"/>
        </w:rPr>
      </w:pPr>
    </w:p>
    <w:p>
      <w:pPr>
        <w:ind w:left="180" w:hanging="175"/>
        <w:spacing w:after="0"/>
        <w:tabs>
          <w:tab w:leader="none" w:pos="18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Fixed rate commitments had terms ranging from three to 30 years as of each date presented.</w:t>
      </w:r>
    </w:p>
    <w:p>
      <w:pPr>
        <w:spacing w:after="0" w:line="32"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Principally second mortgage home equity loans and overdraft protection loans.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commitments presented in the above table represent the Company’s exposure to credit risk and, in the opinion of management, have no more than the normal lending risk that the Company commits to its borrowers.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such as TBAs, mandatory delivery commitments with investors, or best efforts forward sale commitments with investors. The fair value of these interest rate lock commitments was not material at September 30, 2024 or December 31, 2023.</w:t>
      </w:r>
    </w:p>
    <w:p>
      <w:pPr>
        <w:spacing w:after="0" w:line="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u w:val="single" w:color="auto"/>
          <w:color w:val="auto"/>
        </w:rPr>
        <w:t>SBIC Commitments</w:t>
      </w:r>
      <w:r>
        <w:rPr>
          <w:rFonts w:ascii="Times New Roman" w:cs="Times New Roman" w:eastAsia="Times New Roman" w:hAnsi="Times New Roman"/>
          <w:sz w:val="13"/>
          <w:szCs w:val="13"/>
          <w:color w:val="auto"/>
        </w:rPr>
        <w:t xml:space="preserve"> – As of September 30, 2024, the Company had committed $28,000 across nine SBIC investments with $8,598 remaining to be drawn, while as of December 31, 2023, the Company had committed $24,000 across eight SBIC investments with $7,984 remaining to be drawn. Although the remaining capital commitments may or may not be called in the future, under the terms of the associated limited partnership agreements, the Company's exposure will not extend beyond the amount of the original commitments.</w:t>
      </w:r>
    </w:p>
    <w:p>
      <w:pPr>
        <w:spacing w:after="0" w:line="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u w:val="single" w:color="auto"/>
          <w:color w:val="auto"/>
        </w:rPr>
        <w:t>Guarantees</w:t>
      </w:r>
      <w:r>
        <w:rPr>
          <w:rFonts w:ascii="Times New Roman" w:cs="Times New Roman" w:eastAsia="Times New Roman" w:hAnsi="Times New Roman"/>
          <w:sz w:val="13"/>
          <w:szCs w:val="13"/>
          <w:color w:val="auto"/>
        </w:rPr>
        <w:t xml:space="preserve"> – 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September 30, 2024 and December 31, 2023 were $52,686 and $50,897, respectively. There was no liability recorded for these letters of credit at September 30, 2024 or December 31, 2023.</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xml:space="preserve"> – 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Times New Roman" w:cs="Times New Roman" w:eastAsia="Times New Roman" w:hAnsi="Times New Roman"/>
          <w:sz w:val="13"/>
          <w:szCs w:val="13"/>
          <w:b w:val="1"/>
          <w:bCs w:val="1"/>
          <w:color w:val="auto"/>
        </w:rPr>
        <w:t>.</w:t>
      </w:r>
    </w:p>
    <w:p>
      <w:pPr>
        <w:spacing w:after="0" w:line="87" w:lineRule="exact"/>
        <w:rPr>
          <w:sz w:val="20"/>
          <w:szCs w:val="20"/>
          <w:color w:val="auto"/>
        </w:rPr>
      </w:pPr>
    </w:p>
    <w:p>
      <w:pPr>
        <w:ind w:left="300" w:hanging="295"/>
        <w:spacing w:after="0"/>
        <w:tabs>
          <w:tab w:leader="none" w:pos="300"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Fair Value of Financial Instruments</w:t>
      </w:r>
    </w:p>
    <w:p>
      <w:pPr>
        <w:spacing w:after="0" w:line="3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32"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2"/>
          <w:szCs w:val="12"/>
          <w:color w:val="auto"/>
        </w:rPr>
        <w:t>Quoted prices (unadjusted) for identical assets or liabilities in active markets that the entity has the ability to access as of the measurement date.</w:t>
      </w:r>
    </w:p>
    <w:p>
      <w:pPr>
        <w:spacing w:after="0" w:line="63" w:lineRule="exact"/>
        <w:rPr>
          <w:sz w:val="20"/>
          <w:szCs w:val="20"/>
          <w:color w:val="auto"/>
        </w:rPr>
      </w:pPr>
    </w:p>
    <w:p>
      <w:pPr>
        <w:ind w:left="640" w:hanging="572"/>
        <w:spacing w:after="0" w:line="264" w:lineRule="auto"/>
        <w:tabs>
          <w:tab w:leader="none" w:pos="620" w:val="left"/>
        </w:tabs>
        <w:rPr>
          <w:sz w:val="20"/>
          <w:szCs w:val="20"/>
          <w:color w:val="auto"/>
        </w:rPr>
      </w:pPr>
      <w:r>
        <w:rPr>
          <w:rFonts w:ascii="Times New Roman" w:cs="Times New Roman" w:eastAsia="Times New Roman" w:hAnsi="Times New Roman"/>
          <w:sz w:val="13"/>
          <w:szCs w:val="13"/>
          <w:color w:val="auto"/>
        </w:rPr>
        <w:t>Level 2:</w:t>
        <w:tab/>
        <w:t>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32"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2"/>
          <w:szCs w:val="12"/>
          <w:color w:val="auto"/>
        </w:rPr>
        <w:t>Significant unobservable inputs that reflect a company's own assumptions about the assumptions that market participants would use in pricing an asset or liability.</w:t>
      </w:r>
    </w:p>
    <w:p>
      <w:pPr>
        <w:spacing w:after="0" w:line="6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A financial instrument's level within the fair value hierarchy is based on the lowest level of any input that is significant to the fair value measurement. The following is a description of valuation methodologies used for assets recorded at fair value. As of both September 30, 2024 and December 31, 2023, the Company did not have any liabilities recorded at fair value.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methods of determining the fair value of assets and liabilities presented in this note are consistent with the methodologies disclosed in Note 20 of the 2023 Form 10-KT.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Financial Assets Recorded at Fair Value</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w w:val="99"/>
              </w:rPr>
              <w:t>The following table presents financial assets measured at fair value on a recurring basis at the dates indicated:</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center"/>
              <w:ind w:left="396"/>
              <w:spacing w:after="0"/>
              <w:rPr>
                <w:sz w:val="20"/>
                <w:szCs w:val="20"/>
                <w:color w:val="auto"/>
              </w:rPr>
            </w:pPr>
            <w:r>
              <w:rPr>
                <w:rFonts w:ascii="Times New Roman" w:cs="Times New Roman" w:eastAsia="Times New Roman" w:hAnsi="Times New Roman"/>
                <w:sz w:val="13"/>
                <w:szCs w:val="13"/>
                <w:b w:val="1"/>
                <w:bCs w:val="1"/>
                <w:color w:val="auto"/>
                <w:w w:val="97"/>
              </w:rPr>
              <w:t>September 30, 2024</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7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5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Debt securities available for sale</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MBS, residential</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132,756</w:t>
            </w:r>
          </w:p>
        </w:tc>
        <w:tc>
          <w:tcPr>
            <w:tcW w:w="80" w:type="dxa"/>
            <w:vAlign w:val="bottom"/>
          </w:tcPr>
          <w:p>
            <w:pPr>
              <w:spacing w:after="0"/>
              <w:rPr>
                <w:sz w:val="14"/>
                <w:szCs w:val="14"/>
                <w:color w:val="auto"/>
              </w:rPr>
            </w:pP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132,756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Municipal bonds</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3,424</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Corporate bonds</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4,372</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5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debt securities available for sale</w:t>
            </w:r>
          </w:p>
        </w:tc>
        <w:tc>
          <w:tcPr>
            <w:tcW w:w="84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140,552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140,552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Loans held for sale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00" w:type="dxa"/>
            <w:vAlign w:val="bottom"/>
            <w:vMerge w:val="continue"/>
          </w:tcPr>
          <w:p>
            <w:pPr>
              <w:spacing w:after="0"/>
              <w:rPr>
                <w:sz w:val="12"/>
                <w:szCs w:val="12"/>
                <w:color w:val="auto"/>
              </w:rPr>
            </w:pP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2,968</w:t>
            </w:r>
          </w:p>
        </w:tc>
        <w:tc>
          <w:tcPr>
            <w:tcW w:w="80" w:type="dxa"/>
            <w:vAlign w:val="bottom"/>
          </w:tcPr>
          <w:p>
            <w:pPr>
              <w:spacing w:after="0"/>
              <w:rPr>
                <w:sz w:val="12"/>
                <w:szCs w:val="12"/>
                <w:color w:val="auto"/>
              </w:rPr>
            </w:pP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2,968</w:t>
            </w:r>
          </w:p>
        </w:tc>
        <w:tc>
          <w:tcPr>
            <w:tcW w:w="80" w:type="dxa"/>
            <w:vAlign w:val="bottom"/>
          </w:tcPr>
          <w:p>
            <w:pPr>
              <w:spacing w:after="0"/>
              <w:rPr>
                <w:sz w:val="12"/>
                <w:szCs w:val="12"/>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9"/>
        </w:trPr>
        <w:tc>
          <w:tcPr>
            <w:tcW w:w="57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336"/>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7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5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Debt securities available for sale</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MBS, residential</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104,499</w:t>
            </w:r>
          </w:p>
        </w:tc>
        <w:tc>
          <w:tcPr>
            <w:tcW w:w="80" w:type="dxa"/>
            <w:vAlign w:val="bottom"/>
          </w:tcPr>
          <w:p>
            <w:pPr>
              <w:spacing w:after="0"/>
              <w:rPr>
                <w:sz w:val="14"/>
                <w:szCs w:val="14"/>
                <w:color w:val="auto"/>
              </w:rPr>
            </w:pP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104,499</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Municipal bonds</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Corporate bonds</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19,042</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5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debt securities available for sale</w:t>
            </w:r>
          </w:p>
        </w:tc>
        <w:tc>
          <w:tcPr>
            <w:tcW w:w="84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126,950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126,950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Loans held for sale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00" w:type="dxa"/>
            <w:vAlign w:val="bottom"/>
            <w:vMerge w:val="continue"/>
          </w:tcPr>
          <w:p>
            <w:pPr>
              <w:spacing w:after="0"/>
              <w:rPr>
                <w:sz w:val="12"/>
                <w:szCs w:val="12"/>
                <w:color w:val="auto"/>
              </w:rPr>
            </w:pP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80" w:type="dxa"/>
            <w:vAlign w:val="bottom"/>
          </w:tcPr>
          <w:p>
            <w:pPr>
              <w:spacing w:after="0"/>
              <w:rPr>
                <w:sz w:val="12"/>
                <w:szCs w:val="12"/>
                <w:color w:val="auto"/>
              </w:rPr>
            </w:pP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80" w:type="dxa"/>
            <w:vAlign w:val="bottom"/>
          </w:tcPr>
          <w:p>
            <w:pPr>
              <w:spacing w:after="0"/>
              <w:rPr>
                <w:sz w:val="12"/>
                <w:szCs w:val="12"/>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Debt securities available for sale are valued on a recurring basis at quoted market prices where available. If quoted market prices are not available, fair values are based on quoted prices of comparable securities. Level 1 securities include those traded on an active exchange, such as the New York Stock Exchange or U.S. Treasury securities that are traded by dealers or brokers in active over-the-counter markets and money market funds. Level 2 securities include MBS and debentures issued by GSEs, municipal bonds and corporate debt securities. The Company has no Level 3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Loans held for sale carried at fair value are valued at the individual loan level using quoted secondary market prices.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were no transfers between levels during the nine months ended September 30, 2024 or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financial assets measured at fair value on a non-recurring basis at the dates indicated: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61"/>
        </w:trPr>
        <w:tc>
          <w:tcPr>
            <w:tcW w:w="5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5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Collateral dependent loans</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69"/>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r>
      <w:tr>
        <w:trPr>
          <w:trHeight w:val="168"/>
        </w:trPr>
        <w:tc>
          <w:tcPr>
            <w:tcW w:w="5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w:t>
            </w:r>
          </w:p>
        </w:tc>
      </w:tr>
      <w:tr>
        <w:trPr>
          <w:trHeight w:val="172"/>
        </w:trPr>
        <w:tc>
          <w:tcPr>
            <w:tcW w:w="5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5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r>
      <w:tr>
        <w:trPr>
          <w:trHeight w:val="172"/>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Equipment finance</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w:t>
            </w:r>
          </w:p>
        </w:tc>
      </w:tr>
      <w:tr>
        <w:trPr>
          <w:trHeight w:val="160"/>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0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4,787</w:t>
            </w:r>
          </w:p>
        </w:tc>
        <w:tc>
          <w:tcPr>
            <w:tcW w:w="8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4,787</w:t>
            </w:r>
          </w:p>
        </w:tc>
      </w:tr>
      <w:tr>
        <w:trPr>
          <w:trHeight w:val="20"/>
        </w:trPr>
        <w:tc>
          <w:tcPr>
            <w:tcW w:w="5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61"/>
        </w:trPr>
        <w:tc>
          <w:tcPr>
            <w:tcW w:w="5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5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Collateral dependent loans</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69"/>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r>
      <w:tr>
        <w:trPr>
          <w:trHeight w:val="169"/>
        </w:trPr>
        <w:tc>
          <w:tcPr>
            <w:tcW w:w="57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68"/>
        </w:trPr>
        <w:tc>
          <w:tcPr>
            <w:tcW w:w="5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Equipment finance</w:t>
            </w: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w:t>
            </w:r>
          </w:p>
        </w:tc>
      </w:tr>
      <w:tr>
        <w:trPr>
          <w:trHeight w:val="188"/>
        </w:trPr>
        <w:tc>
          <w:tcPr>
            <w:tcW w:w="57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0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age of the appraisals. The unobservable inputs may vary depending on the individual asset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stated carrying value and estimated fair value amounts of financial instruments as of September 30, 2024 and December 31, 2023, are summarized below:</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September 30, 2024</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60" w:type="dxa"/>
            <w:vAlign w:val="bottom"/>
          </w:tcPr>
          <w:p>
            <w:pPr>
              <w:spacing w:after="0"/>
              <w:rPr>
                <w:sz w:val="10"/>
                <w:szCs w:val="10"/>
                <w:color w:val="auto"/>
              </w:rPr>
            </w:pPr>
          </w:p>
        </w:tc>
        <w:tc>
          <w:tcPr>
            <w:tcW w:w="104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0"/>
                <w:szCs w:val="10"/>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Level 1</w:t>
            </w:r>
          </w:p>
        </w:tc>
        <w:tc>
          <w:tcPr>
            <w:tcW w:w="240" w:type="dxa"/>
            <w:vAlign w:val="bottom"/>
          </w:tcPr>
          <w:p>
            <w:pPr>
              <w:spacing w:after="0"/>
              <w:rPr>
                <w:sz w:val="10"/>
                <w:szCs w:val="10"/>
                <w:color w:val="auto"/>
              </w:rPr>
            </w:pPr>
          </w:p>
        </w:tc>
        <w:tc>
          <w:tcPr>
            <w:tcW w:w="1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0" w:type="dxa"/>
            <w:vAlign w:val="bottom"/>
            <w:vMerge w:val="restart"/>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6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293,477</w:t>
            </w:r>
          </w:p>
        </w:tc>
        <w:tc>
          <w:tcPr>
            <w:tcW w:w="10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293,477</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293,477</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Certificates of deposit in other banks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 at fair value</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140,552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FHLB and FRB stock</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N/A</w:t>
            </w: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8"/>
        </w:trPr>
        <w:tc>
          <w:tcPr>
            <w:tcW w:w="4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SBIC investments, at cost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15,489</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Loans held for sale, at fair value</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 held for sale, at the lower of cost or fair value</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189,722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191,792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191,792</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Loans, net</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3,650,761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3,568,832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3,568,832</w:t>
            </w:r>
          </w:p>
        </w:tc>
        <w:tc>
          <w:tcPr>
            <w:tcW w:w="0" w:type="dxa"/>
            <w:vAlign w:val="bottom"/>
          </w:tcPr>
          <w:p>
            <w:pPr>
              <w:spacing w:after="0"/>
              <w:rPr>
                <w:sz w:val="1"/>
                <w:szCs w:val="1"/>
                <w:color w:val="auto"/>
              </w:rPr>
            </w:pPr>
          </w:p>
        </w:tc>
      </w:tr>
      <w:tr>
        <w:trPr>
          <w:trHeight w:val="168"/>
        </w:trPr>
        <w:tc>
          <w:tcPr>
            <w:tcW w:w="4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16,679</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Noninterest-bearing and NOW deposits</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1,219,018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1,219,018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Money market accounts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1,345,289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1,345,289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1,345,289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Savings accounts</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179,762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179,762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179,762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Certificates of deposit</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1,017,519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1,018,102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1,018,102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260,185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260,185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interest payable</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80" w:type="dxa"/>
            <w:vAlign w:val="bottom"/>
          </w:tcPr>
          <w:p>
            <w:pPr>
              <w:spacing w:after="0"/>
              <w:rPr>
                <w:sz w:val="10"/>
                <w:szCs w:val="10"/>
                <w:color w:val="auto"/>
              </w:rPr>
            </w:pPr>
          </w:p>
        </w:tc>
        <w:tc>
          <w:tcPr>
            <w:tcW w:w="104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1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Level 1</w:t>
            </w:r>
          </w:p>
        </w:tc>
        <w:tc>
          <w:tcPr>
            <w:tcW w:w="240" w:type="dxa"/>
            <w:vAlign w:val="bottom"/>
          </w:tcPr>
          <w:p>
            <w:pPr>
              <w:spacing w:after="0"/>
              <w:rPr>
                <w:sz w:val="10"/>
                <w:szCs w:val="10"/>
                <w:color w:val="auto"/>
              </w:rPr>
            </w:pPr>
          </w:p>
        </w:tc>
        <w:tc>
          <w:tcPr>
            <w:tcW w:w="1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98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347,140</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347,140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347,140</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3"/>
          </w:tcPr>
          <w:p>
            <w:pPr>
              <w:ind w:left="800"/>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Certificates of deposit in other banks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 at fair value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126,950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FHLB and FRB stock</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N/A</w:t>
            </w: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SBIC investments, at cost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13,789</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Loans held for sale, at fair value</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 held for sale, at the lower of cost or fair value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198,433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200,869</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Loans, net</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3,591,381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3,472,491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3,472,491</w:t>
            </w: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16,139</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Noninterest-bearing and NOW deposits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1,376,220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1,376,220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1,376,220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Money market accounts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1,246,807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1,246,807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1,246,807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Savings accounts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194,486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Certificates of deposit</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843,860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839,501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839,501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433,763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433,747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interest payable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Company had off-balance sheet financial commitments, which included approximately $988,551 and $982,397 of commitments to originate loans, undisbursed portions of construction loans, unused lines of credit and standby letters of credit at September 30, 2024 and December 31, 2023, respectively (see "Note 12 – Commitments and Contingencies"). Since these commitments are based on current rates, the carrying amount approximates the fair value.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26" w:lineRule="exact"/>
        <w:rPr>
          <w:sz w:val="20"/>
          <w:szCs w:val="20"/>
          <w:color w:val="auto"/>
        </w:rPr>
      </w:pPr>
    </w:p>
    <w:p>
      <w:pPr>
        <w:ind w:left="300" w:hanging="295"/>
        <w:spacing w:after="0"/>
        <w:tabs>
          <w:tab w:leader="none" w:pos="300" w:val="left"/>
        </w:tabs>
        <w:numPr>
          <w:ilvl w:val="0"/>
          <w:numId w:val="1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Subsequent Event</w:t>
      </w:r>
    </w:p>
    <w:p>
      <w:pPr>
        <w:spacing w:after="0" w:line="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Hurricane Helene made landfall on September 26, 2024, causing significant property damage across certain parts of our market areas, particularly in Western North Carolina. This resulted in widespread disruptions in power, water, internet and cellular service. The Bank remained functionally operational throughout the storm and, as of November 8, 2024, all of our banking locations were open and most of the affected areas in our markets were recovering well. We do, however, expect to experience increased loan delinquencies and loan restructurings as a result of the storm, particularly in the short-term, as customers undertake recovery and clean-up efforts, including the submission of insurance claims. In order to assist our customers, we continue to offer payment deferrals of up to six months. Through November 8, 2024, customers with loan balances totaling approximately $120.0 million have accepted such a deferment.</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Based on our initial assessments of the potential credit impact and damage, during the quarter ended September 30, 2024, we recorded a qualitative allocation of $2.2 million in our allowance for credit losses for the potential impact of the storm upon our loan portfolio. Although the total impact of the storm will not be known for some time, through November 8, 2024, no concerns have been raised regarding the adequacy of the reserve established at September 30, 2024.</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Certain matters in this Form 10-Q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factors that could result in material differentiation include, but are not limited to:</w:t>
      </w:r>
    </w:p>
    <w:p>
      <w:pPr>
        <w:spacing w:after="0" w:line="13" w:lineRule="exact"/>
        <w:rPr>
          <w:sz w:val="20"/>
          <w:szCs w:val="20"/>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bank failures or adverse developments involving other banks and related negative press about the banking industry in general on investor and depositor sentiment;</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remaining effects of the COVID-19 pandemic on general economic and financial market conditions and on public health, both nationally and in our market areas;</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natural disasters, including the effects of Hurricane Helene;</w:t>
      </w:r>
    </w:p>
    <w:p>
      <w:pPr>
        <w:ind w:left="260" w:hanging="191"/>
        <w:spacing w:after="0" w:line="246" w:lineRule="auto"/>
        <w:tabs>
          <w:tab w:leader="none" w:pos="25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expected revenues, cost savings, synergies and other benefits from our merger and acquisition activities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w:t>
      </w:r>
    </w:p>
    <w:p>
      <w:pPr>
        <w:spacing w:after="0" w:line="1" w:lineRule="exact"/>
        <w:rPr>
          <w:rFonts w:ascii="Times New Roman" w:cs="Times New Roman" w:eastAsia="Times New Roman" w:hAnsi="Times New Roman"/>
          <w:sz w:val="13"/>
          <w:szCs w:val="13"/>
          <w:color w:val="auto"/>
        </w:rPr>
      </w:pPr>
    </w:p>
    <w:p>
      <w:pPr>
        <w:ind w:left="260" w:hanging="191"/>
        <w:spacing w:after="0" w:line="246" w:lineRule="auto"/>
        <w:tabs>
          <w:tab w:leader="none" w:pos="25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credit risks of lending activities, including changes in the level and trend of loan delinquencies and write offs and changes in our ACL and provision for credit losses that may be impacted by deterioration in the housing and commercial real estate markets;</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general economic conditions, both nationally and in our market areas;</w:t>
      </w:r>
    </w:p>
    <w:p>
      <w:pPr>
        <w:ind w:left="260" w:hanging="191"/>
        <w:spacing w:after="0" w:line="246" w:lineRule="auto"/>
        <w:tabs>
          <w:tab w:leader="none" w:pos="25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levels of general interest rates, and the relative differences between short and long term interest rates, deposit interest rates, our net interest margin and funding sources and the effects of inflation or a potential recession;</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the demand for loans, the number of unsold homes, land and other properties and fluctuations in real estate values in our market areas;</w:t>
      </w: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decreases in the secondary market for the sale of loans that we originate;</w:t>
      </w:r>
    </w:p>
    <w:p>
      <w:pPr>
        <w:spacing w:after="0" w:line="1" w:lineRule="exact"/>
        <w:rPr>
          <w:rFonts w:ascii="Times New Roman" w:cs="Times New Roman" w:eastAsia="Times New Roman" w:hAnsi="Times New Roman"/>
          <w:sz w:val="13"/>
          <w:szCs w:val="13"/>
          <w:color w:val="auto"/>
        </w:rPr>
      </w:pPr>
    </w:p>
    <w:p>
      <w:pPr>
        <w:ind w:left="260" w:hanging="191"/>
        <w:spacing w:after="0" w:line="246" w:lineRule="auto"/>
        <w:tabs>
          <w:tab w:leader="none" w:pos="25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results of examinations of us by the Federal Reserve, the NCCOB, or other regulatory authorities, including the possibility that any such regulatory authority may, among other things, require us to increase our ACL, write-down assets, change our regulatory capital position or affect our ability to borrow funds or maintain or increase deposits, which could adversely affect our liquidity and earnings;</w:t>
      </w:r>
    </w:p>
    <w:p>
      <w:pPr>
        <w:spacing w:after="0" w:line="1" w:lineRule="exact"/>
        <w:rPr>
          <w:rFonts w:ascii="Times New Roman" w:cs="Times New Roman" w:eastAsia="Times New Roman" w:hAnsi="Times New Roman"/>
          <w:sz w:val="13"/>
          <w:szCs w:val="13"/>
          <w:color w:val="auto"/>
        </w:rPr>
      </w:pPr>
    </w:p>
    <w:p>
      <w:pPr>
        <w:jc w:val="both"/>
        <w:ind w:left="260" w:hanging="191"/>
        <w:spacing w:after="0" w:line="244" w:lineRule="auto"/>
        <w:tabs>
          <w:tab w:leader="none" w:pos="25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legislative or regulatory changes that adversely affect our business including the effects of the Dodd-Frank Act, changes in laws or regulations, changes in regulatory policies and principles or the application or interpretation of laws and regulations by regulatory agencies and tax authorities, including changes in deferred tax asset and liability activity, and the interpretation of regulatory capital or other rules, including as a result of Basel III;</w:t>
      </w: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attract and retain deposits;</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access cost-effective funding and maintain sufficient liquidity;</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management's assumptions in determining the adequacy of the ACL;</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control operating costs and expenses, especially costs associated with our operation as a public company;</w:t>
      </w: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use of estimates in determining the fair value of certain assets, which estimates may prove to be incorrect and result in significant declines in valuation;</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in reducing risks associated with the loans on our balance sheet;</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staffing fluctuations in response to product demand or the implementation of corporate strategies that affect our workforce and potential associated charges;</w:t>
      </w:r>
    </w:p>
    <w:p>
      <w:pPr>
        <w:spacing w:after="0" w:line="1" w:lineRule="exact"/>
        <w:rPr>
          <w:rFonts w:ascii="Times New Roman" w:cs="Times New Roman" w:eastAsia="Times New Roman" w:hAnsi="Times New Roman"/>
          <w:sz w:val="13"/>
          <w:szCs w:val="13"/>
          <w:color w:val="auto"/>
        </w:rPr>
      </w:pPr>
    </w:p>
    <w:p>
      <w:pPr>
        <w:ind w:left="260" w:hanging="191"/>
        <w:spacing w:after="0" w:line="244" w:lineRule="auto"/>
        <w:tabs>
          <w:tab w:leader="none" w:pos="25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disruptions, security breaches, or other adverse events, failures or interruptions in, or attacks on, our information technology systems or on the third-party vendors who perform several of our critical processing functions;</w:t>
      </w: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retain key members of our senior management team;</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and effects of litigation, including settlements and judgments;</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competitive pressures among financial services companies;</w:t>
      </w: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consumer spending, borrowing and savings habits;</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of resources to address changes in laws, rules, or regulations or to respond to regulatory actions;</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changes in the securities markets;</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of key third-party providers to perform their obligations to us;</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accounting principles, policies or guidelines and practices, as may be adopted by the financial institution regulatory agencies, the Public Company Accounting Oversight Board or the FASB;</w:t>
      </w: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economic, competitive, governmental, regulatory, and technological factors affecting our operations, pricing, products and services; and</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risks detailed from time to time in documents we file with or furnish to the SEC, including this Form 10-Q.</w:t>
      </w:r>
    </w:p>
    <w:p>
      <w:pPr>
        <w:spacing w:after="0" w:line="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Any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As used throughout this report, the terms “we,” “our,” “us,” “HomeTrust Bancshares” or the “Company” refer to HomeTrust Bancshares, Inc. and its consolidated subsidiaries, including HomeTrust Bank (“HomeTrust” or "Bank") unless the context indicates otherwise.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HomeTrust Bancshares, Inc., a Maryland corporation, was formed for the purpose of becoming the holding company for HomeTrust Bank in connection with the Bank’s conversion from mutual to stock form, which was completed on July 10, 2012. As a bank holding company and financial holding company, we are regulated by the Federal Reserve. At September 30, 2024, the Company had consolidated total assets of $4.6 billion, total deposits of $3.8 billion and stockholders' equity of $540.0 million. The Company has not engaged in any significant activity other than holding the stock of the Bank. Accordingly, the information set forth in this Form 10-Q, including the consolidated unaudited financial statements and related data, relates primarily to the Bank and its subsidiary. As a North Carolina state-chartered bank, and member of the FRB, the Bank's primary regulators are the NCCOB and the Federal Reserve. The Bank's deposits are federally insured up to applicable limits by the FDIC. The Bank is a member of the FHLB of Atlanta, which is one of the 11 regional banks in the FHLB System. Our headquarters is located in Asheville, North Carolina.</w:t>
      </w:r>
    </w:p>
    <w:p>
      <w:pPr>
        <w:spacing w:after="0" w:line="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Bank has more than 30 locations across Georgia, North Carolina, South Carolina, Tennessee and Virginia, many of which are located in markets experiencing growth rates above the national average. Historically, our branches and facilities have primarily been located in small- to medium-sized communities, but in recent years we have implemented a strategy of expanding into larger, higher growth markets via business banking centers rather than retail-focused branches.</w:t>
      </w:r>
    </w:p>
    <w:p>
      <w:pPr>
        <w:spacing w:after="0" w:line="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Our principal business consists of attracting deposits from the general public and investing those funds, along with borrowed funds, in commercial real estate loans, construction and development loans, commercial and industrial loans, equipment finance leases, municipal leases, loans secured by first and second mortgages on one-to-four family residences including home equity and other consumer loans. We also originate one-to-four family loans, SBA loans and HELOCs to sell to third-parties. In addition, we invest in debt securities issued by United States Government agencies and GSEs, municipal bonds, corporate bonds, commercial paper and certificates of deposit insured by the FDIC. We offer a variety of deposit accounts for individuals, businesses and nonprofit organizations.</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Our primary source of pre-tax income is net interest income. Net interest income is the difference between interest income, which is the income that we earn on our loans and investments, and interest expense, which is the interest that we pay on our deposits and borrowings. Changes in levels of interest rates affect our net interest income. A secondary source of income is noninterest income, which includes revenue we receive from providing products and services including service charges and fees on deposit accounts, loan income and fees, gains on sale of loans held for sale, BOLI income and operating lease income.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 offset to net interest income is the provision for credit losses to establish the ACL at a level that provides for ECLs inherent in our loan portfolio, off balance sheet commitments and available for sale debt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"Note 1 – Summary of Significant Accounting Policies" in Item 1 of our 2023 Form 10-KT for further discussion.</w:t>
      </w:r>
    </w:p>
    <w:p>
      <w:pPr>
        <w:spacing w:after="0" w:line="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Our noninterest expenses consist primarily of salaries and employee benefits, occupancy expenses, marketing and computer services and FDIC deposit insurance premiums. Salaries and benefits consist primarily of the salaries and wages paid to our employees, payroll taxes, expenses for retirement and other employee benefits. Occupancy expenses, which are the fixed and variable costs of buildings and equipment, consist primarily of lease payments, property taxes, depreciation charges, maintenance and costs of utilities.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 The following represents our critical accounting policy:</w:t>
      </w:r>
    </w:p>
    <w:p>
      <w:pPr>
        <w:spacing w:after="0" w:line="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 xml:space="preserve">Allowance for Credit Losses, or ACL, on Loans. </w:t>
      </w:r>
      <w:r>
        <w:rPr>
          <w:rFonts w:ascii="Times New Roman" w:cs="Times New Roman" w:eastAsia="Times New Roman" w:hAnsi="Times New Roman"/>
          <w:sz w:val="13"/>
          <w:szCs w:val="13"/>
          <w:color w:val="auto"/>
        </w:rPr>
        <w:t>The ACL on loans held for investment reflects our estimate of credit losses that will result from the inability of our borrowers to make required loan payments. We charge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off loans against the ACL and subsequent recoveries, if any, increase the ACL when they are recognized. We use a systematic methodology to determine our ACL for loans held for investment and certain off-balance-sheet credit exposures. The ACL on loans held for investment is a valuation account that is deducted from the amortized cost basis to present the net amount expected to be collected on the loan portfolio. The estimate of our ACL on loans held for investment involves a high degree of judgment including consideration of the effects of past events, current conditions and reasonable and supportable forecasts on the collectability of the loan portfolio. We recognize in net income the amount needed to adjust the ACL on loans held for investment and certain off-balance-sheet credit exposures for management’s current estimate of ECLs. Our ACL on loans held for investment is calculated using collectively evaluated and individually evaluated loans.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Financial Highlights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quarter ended September 30, 2024 compared to the quarter ended June 30, 2024:</w:t>
      </w:r>
    </w:p>
    <w:p>
      <w:pPr>
        <w:spacing w:after="0" w:line="41" w:lineRule="exact"/>
        <w:rPr>
          <w:sz w:val="20"/>
          <w:szCs w:val="20"/>
          <w:color w:val="auto"/>
        </w:rPr>
      </w:pPr>
    </w:p>
    <w:p>
      <w:pPr>
        <w:ind w:left="260" w:hanging="191"/>
        <w:spacing w:after="0"/>
        <w:tabs>
          <w:tab w:leader="none" w:pos="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income was $13.1 million compared to $12.4 million;</w:t>
      </w:r>
    </w:p>
    <w:p>
      <w:pPr>
        <w:spacing w:after="0" w:line="13"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diluted EPS was $0.76 compared to $0.73;</w:t>
      </w:r>
    </w:p>
    <w:p>
      <w:pPr>
        <w:ind w:left="260" w:hanging="191"/>
        <w:spacing w:after="0"/>
        <w:tabs>
          <w:tab w:leader="none" w:pos="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annualized ROA was 1.17% compared to 1.13%;</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annualized ROE was 9.76% compared to 9.58%;</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interest margin was 4.00% compared to 4.08%;</w:t>
      </w:r>
    </w:p>
    <w:p>
      <w:pPr>
        <w:ind w:left="260" w:hanging="191"/>
        <w:spacing w:after="0"/>
        <w:tabs>
          <w:tab w:leader="none" w:pos="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 for credit losses was $3.0 million compared to $4.3 million; and</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quarterly cash dividends continued at $0.11 per share totaling $1.9 million for both periods.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color w:val="auto"/>
        </w:rPr>
        <w:t>For the nine months ended September 30, 2024 compared to the nine months ended September 30, 2023:</w:t>
      </w:r>
    </w:p>
    <w:p>
      <w:pPr>
        <w:spacing w:after="0" w:line="31" w:lineRule="exact"/>
        <w:rPr>
          <w:sz w:val="20"/>
          <w:szCs w:val="20"/>
          <w:color w:val="auto"/>
        </w:rPr>
      </w:pPr>
    </w:p>
    <w:p>
      <w:pPr>
        <w:ind w:left="260" w:hanging="191"/>
        <w:spacing w:after="0"/>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income was $40.6 million compared to $36.6 million;</w:t>
      </w:r>
    </w:p>
    <w:p>
      <w:pPr>
        <w:spacing w:after="0" w:line="13"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diluted EPS were $2.37 compared to $2.18;</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annualized ROA was 1.22% compared to 1.15%;</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annualized ROE was 10.39% compared to 10.56%;</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interest margin was 4.03% compared to 4.29%;</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 for credit losses was $8.4 million compared to $11.7 million;</w:t>
      </w:r>
    </w:p>
    <w:p>
      <w:pPr>
        <w:ind w:left="260" w:hanging="191"/>
        <w:spacing w:after="0"/>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tax-free death benefit proceeds from life insurance were $1.1 million for both periods; and</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dividends of $0.33 per share totaling $5.6 million compared to $0.30 per share totaling $5.1 million.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4"/>
          </w:tcPr>
          <w:p>
            <w:pPr>
              <w:jc w:val="right"/>
              <w:ind w:right="1216"/>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0"/>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20" w:type="dxa"/>
            <w:vAlign w:val="bottom"/>
          </w:tcPr>
          <w:p>
            <w:pPr>
              <w:spacing w:after="0"/>
              <w:rPr>
                <w:sz w:val="13"/>
                <w:szCs w:val="13"/>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20" w:type="dxa"/>
            <w:vAlign w:val="bottom"/>
          </w:tcPr>
          <w:p>
            <w:pPr>
              <w:spacing w:after="0"/>
              <w:rPr>
                <w:sz w:val="13"/>
                <w:szCs w:val="13"/>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Pr>
          <w:p>
            <w:pPr>
              <w:spacing w:after="0"/>
              <w:rPr>
                <w:sz w:val="13"/>
                <w:szCs w:val="13"/>
                <w:color w:val="auto"/>
              </w:rPr>
            </w:pPr>
          </w:p>
        </w:tc>
        <w:tc>
          <w:tcPr>
            <w:tcW w:w="1560" w:type="dxa"/>
            <w:vAlign w:val="bottom"/>
            <w:vMerge w:val="restart"/>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64"/>
        </w:trPr>
        <w:tc>
          <w:tcPr>
            <w:tcW w:w="4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2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and dividend income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66,649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65,414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195,418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171,662</w:t>
            </w:r>
          </w:p>
        </w:tc>
        <w:tc>
          <w:tcPr>
            <w:tcW w:w="0" w:type="dxa"/>
            <w:vAlign w:val="bottom"/>
          </w:tcPr>
          <w:p>
            <w:pPr>
              <w:spacing w:after="0"/>
              <w:rPr>
                <w:sz w:val="1"/>
                <w:szCs w:val="1"/>
                <w:color w:val="auto"/>
              </w:rPr>
            </w:pPr>
          </w:p>
        </w:tc>
      </w:tr>
      <w:tr>
        <w:trPr>
          <w:trHeight w:val="168"/>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24,575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23,248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69,948</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44,152</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42,166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125,470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127,510</w:t>
            </w:r>
          </w:p>
        </w:tc>
        <w:tc>
          <w:tcPr>
            <w:tcW w:w="0" w:type="dxa"/>
            <w:vAlign w:val="bottom"/>
          </w:tcPr>
          <w:p>
            <w:pPr>
              <w:spacing w:after="0"/>
              <w:rPr>
                <w:sz w:val="1"/>
                <w:szCs w:val="1"/>
                <w:color w:val="auto"/>
              </w:rPr>
            </w:pPr>
          </w:p>
        </w:tc>
      </w:tr>
      <w:tr>
        <w:trPr>
          <w:trHeight w:val="168"/>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8,400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11,735</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 after provision for credit losses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39,099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37,906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117,070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115,775</w:t>
            </w:r>
          </w:p>
        </w:tc>
        <w:tc>
          <w:tcPr>
            <w:tcW w:w="0" w:type="dxa"/>
            <w:vAlign w:val="bottom"/>
          </w:tcPr>
          <w:p>
            <w:pPr>
              <w:spacing w:after="0"/>
              <w:rPr>
                <w:sz w:val="1"/>
                <w:szCs w:val="1"/>
                <w:color w:val="auto"/>
              </w:rPr>
            </w:pPr>
          </w:p>
        </w:tc>
      </w:tr>
      <w:tr>
        <w:trPr>
          <w:trHeight w:val="168"/>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25,206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23,825</w:t>
            </w: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30,210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90,659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93,308</w:t>
            </w:r>
          </w:p>
        </w:tc>
        <w:tc>
          <w:tcPr>
            <w:tcW w:w="0" w:type="dxa"/>
            <w:vAlign w:val="bottom"/>
          </w:tcPr>
          <w:p>
            <w:pPr>
              <w:spacing w:after="0"/>
              <w:rPr>
                <w:sz w:val="1"/>
                <w:szCs w:val="1"/>
                <w:color w:val="auto"/>
              </w:rPr>
            </w:pPr>
          </w:p>
        </w:tc>
      </w:tr>
      <w:tr>
        <w:trPr>
          <w:trHeight w:val="158"/>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51,617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46,292</w:t>
            </w: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9,712</w:t>
            </w:r>
          </w:p>
        </w:tc>
        <w:tc>
          <w:tcPr>
            <w:tcW w:w="0" w:type="dxa"/>
            <w:vAlign w:val="bottom"/>
          </w:tcPr>
          <w:p>
            <w:pPr>
              <w:spacing w:after="0"/>
              <w:rPr>
                <w:sz w:val="1"/>
                <w:szCs w:val="1"/>
                <w:color w:val="auto"/>
              </w:rPr>
            </w:pPr>
          </w:p>
        </w:tc>
      </w:tr>
      <w:tr>
        <w:trPr>
          <w:trHeight w:val="163"/>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12,418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40,597</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36,580</w:t>
            </w:r>
          </w:p>
        </w:tc>
        <w:tc>
          <w:tcPr>
            <w:tcW w:w="0" w:type="dxa"/>
            <w:vAlign w:val="bottom"/>
          </w:tcPr>
          <w:p>
            <w:pPr>
              <w:spacing w:after="0"/>
              <w:rPr>
                <w:sz w:val="1"/>
                <w:szCs w:val="1"/>
                <w:color w:val="auto"/>
              </w:rPr>
            </w:pPr>
          </w:p>
        </w:tc>
      </w:tr>
      <w:tr>
        <w:trPr>
          <w:trHeight w:val="60"/>
        </w:trPr>
        <w:tc>
          <w:tcPr>
            <w:tcW w:w="4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per common share</w:t>
            </w:r>
            <w:r>
              <w:rPr>
                <w:rFonts w:ascii="Times New Roman" w:cs="Times New Roman" w:eastAsia="Times New Roman" w:hAnsi="Times New Roman"/>
                <w:sz w:val="16"/>
                <w:szCs w:val="16"/>
                <w:color w:val="auto"/>
                <w:vertAlign w:val="superscript"/>
              </w:rPr>
              <w:t>(1)</w:t>
            </w:r>
          </w:p>
        </w:tc>
        <w:tc>
          <w:tcPr>
            <w:tcW w:w="2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68"/>
        </w:trPr>
        <w:tc>
          <w:tcPr>
            <w:tcW w:w="4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 per common share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0" w:type="dxa"/>
            <w:vAlign w:val="bottom"/>
          </w:tcPr>
          <w:p>
            <w:pPr>
              <w:spacing w:after="0"/>
              <w:rPr>
                <w:sz w:val="1"/>
                <w:szCs w:val="1"/>
                <w:color w:val="auto"/>
              </w:rPr>
            </w:pPr>
          </w:p>
        </w:tc>
      </w:tr>
      <w:tr>
        <w:trPr>
          <w:trHeight w:val="168"/>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Book value per share at end of period</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27.87</w:t>
            </w: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Tangible book value per share at end of period</w:t>
            </w:r>
            <w:r>
              <w:rPr>
                <w:rFonts w:ascii="Times New Roman" w:cs="Times New Roman" w:eastAsia="Times New Roman" w:hAnsi="Times New Roman"/>
                <w:sz w:val="16"/>
                <w:szCs w:val="16"/>
                <w:color w:val="auto"/>
                <w:vertAlign w:val="superscript"/>
              </w:rPr>
              <w:t>(2)</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25.47</w:t>
            </w:r>
          </w:p>
        </w:tc>
        <w:tc>
          <w:tcPr>
            <w:tcW w:w="0" w:type="dxa"/>
            <w:vAlign w:val="bottom"/>
          </w:tcPr>
          <w:p>
            <w:pPr>
              <w:spacing w:after="0"/>
              <w:rPr>
                <w:sz w:val="1"/>
                <w:szCs w:val="1"/>
                <w:color w:val="auto"/>
              </w:rPr>
            </w:pPr>
          </w:p>
        </w:tc>
      </w:tr>
      <w:tr>
        <w:trPr>
          <w:trHeight w:val="165"/>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 price per share at end of period</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21.67</w:t>
            </w:r>
          </w:p>
        </w:tc>
        <w:tc>
          <w:tcPr>
            <w:tcW w:w="0" w:type="dxa"/>
            <w:vAlign w:val="bottom"/>
          </w:tcPr>
          <w:p>
            <w:pPr>
              <w:spacing w:after="0"/>
              <w:rPr>
                <w:sz w:val="1"/>
                <w:szCs w:val="1"/>
                <w:color w:val="auto"/>
              </w:rPr>
            </w:pPr>
          </w:p>
        </w:tc>
      </w:tr>
      <w:tr>
        <w:trPr>
          <w:trHeight w:val="229"/>
        </w:trPr>
        <w:tc>
          <w:tcPr>
            <w:tcW w:w="610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(1) Basic and diluted net income per common share have been prepared in accordance with the two-class method.</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4240" w:type="dxa"/>
            <w:vAlign w:val="bottom"/>
          </w:tcPr>
          <w:p>
            <w:pPr>
              <w:spacing w:after="0"/>
              <w:rPr>
                <w:sz w:val="20"/>
                <w:szCs w:val="20"/>
                <w:color w:val="auto"/>
              </w:rPr>
            </w:pPr>
            <w:r>
              <w:rPr>
                <w:rFonts w:ascii="Times New Roman" w:cs="Times New Roman" w:eastAsia="Times New Roman" w:hAnsi="Times New Roman"/>
                <w:sz w:val="11"/>
                <w:szCs w:val="11"/>
                <w:color w:val="auto"/>
              </w:rPr>
              <w:t>(2) See Non-GAAP reconciliations below for adjustments.</w:t>
            </w: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GAAP Reconciliation of Non-GAAP Financial Measures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believe the non-GAAP financial measures included within this report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 financial measures.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60" w:type="dxa"/>
            <w:vAlign w:val="bottom"/>
          </w:tcPr>
          <w:p>
            <w:pPr>
              <w:spacing w:after="0"/>
              <w:rPr>
                <w:sz w:val="20"/>
                <w:szCs w:val="20"/>
                <w:color w:val="auto"/>
              </w:rPr>
            </w:pPr>
            <w:r>
              <w:rPr>
                <w:rFonts w:ascii="Times New Roman" w:cs="Times New Roman" w:eastAsia="Times New Roman" w:hAnsi="Times New Roman"/>
                <w:sz w:val="13"/>
                <w:szCs w:val="13"/>
                <w:color w:val="auto"/>
              </w:rPr>
              <w:t>Set forth below is a reconciliation to US GAAP of tangible book value and tangible book value per share:</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 except per share data)</w:t>
            </w:r>
          </w:p>
        </w:tc>
        <w:tc>
          <w:tcPr>
            <w:tcW w:w="22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30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220" w:type="dxa"/>
            <w:vAlign w:val="bottom"/>
          </w:tcPr>
          <w:p>
            <w:pPr>
              <w:spacing w:after="0"/>
              <w:rPr>
                <w:sz w:val="14"/>
                <w:szCs w:val="14"/>
                <w:color w:val="auto"/>
              </w:rPr>
            </w:pPr>
          </w:p>
        </w:tc>
        <w:tc>
          <w:tcPr>
            <w:tcW w:w="15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162"/>
        </w:trPr>
        <w:tc>
          <w:tcPr>
            <w:tcW w:w="57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stockholders' equity</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540,004</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523,628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484,411</w:t>
            </w:r>
          </w:p>
        </w:tc>
        <w:tc>
          <w:tcPr>
            <w:tcW w:w="0" w:type="dxa"/>
            <w:vAlign w:val="bottom"/>
          </w:tcPr>
          <w:p>
            <w:pPr>
              <w:spacing w:after="0"/>
              <w:rPr>
                <w:sz w:val="1"/>
                <w:szCs w:val="1"/>
                <w:color w:val="auto"/>
              </w:rPr>
            </w:pPr>
          </w:p>
        </w:tc>
      </w:tr>
      <w:tr>
        <w:trPr>
          <w:trHeight w:val="168"/>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goodwill, core deposit intangibles, net of taxes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39,626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40,063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41,748</w:t>
            </w:r>
          </w:p>
        </w:tc>
        <w:tc>
          <w:tcPr>
            <w:tcW w:w="0" w:type="dxa"/>
            <w:vAlign w:val="bottom"/>
          </w:tcPr>
          <w:p>
            <w:pPr>
              <w:spacing w:after="0"/>
              <w:rPr>
                <w:sz w:val="1"/>
                <w:szCs w:val="1"/>
                <w:color w:val="auto"/>
              </w:rPr>
            </w:pPr>
          </w:p>
        </w:tc>
      </w:tr>
      <w:tr>
        <w:trPr>
          <w:trHeight w:val="185"/>
        </w:trPr>
        <w:tc>
          <w:tcPr>
            <w:tcW w:w="576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Tangible book value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500,378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483,565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442,663</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Common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17,514,922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17,437,326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17,380,307</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Book value per share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27.87</w:t>
            </w:r>
          </w:p>
        </w:tc>
        <w:tc>
          <w:tcPr>
            <w:tcW w:w="0" w:type="dxa"/>
            <w:vAlign w:val="bottom"/>
          </w:tcPr>
          <w:p>
            <w:pPr>
              <w:spacing w:after="0"/>
              <w:rPr>
                <w:sz w:val="1"/>
                <w:szCs w:val="1"/>
                <w:color w:val="auto"/>
              </w:rPr>
            </w:pPr>
          </w:p>
        </w:tc>
      </w:tr>
      <w:tr>
        <w:trPr>
          <w:trHeight w:val="165"/>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Tangible book value per share</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28.57</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25.47</w:t>
            </w:r>
          </w:p>
        </w:tc>
        <w:tc>
          <w:tcPr>
            <w:tcW w:w="0" w:type="dxa"/>
            <w:vAlign w:val="bottom"/>
          </w:tcPr>
          <w:p>
            <w:pPr>
              <w:spacing w:after="0"/>
              <w:rPr>
                <w:sz w:val="1"/>
                <w:szCs w:val="1"/>
                <w:color w:val="auto"/>
              </w:rPr>
            </w:pPr>
          </w:p>
        </w:tc>
      </w:tr>
      <w:tr>
        <w:trPr>
          <w:trHeight w:val="286"/>
        </w:trPr>
        <w:tc>
          <w:tcPr>
            <w:tcW w:w="5760" w:type="dxa"/>
            <w:vAlign w:val="bottom"/>
          </w:tcPr>
          <w:p>
            <w:pPr>
              <w:spacing w:after="0"/>
              <w:rPr>
                <w:sz w:val="20"/>
                <w:szCs w:val="20"/>
                <w:color w:val="auto"/>
              </w:rPr>
            </w:pPr>
            <w:r>
              <w:rPr>
                <w:rFonts w:ascii="Times New Roman" w:cs="Times New Roman" w:eastAsia="Times New Roman" w:hAnsi="Times New Roman"/>
                <w:sz w:val="13"/>
                <w:szCs w:val="13"/>
                <w:color w:val="auto"/>
              </w:rPr>
              <w:t>Set forth below is a reconciliation to US GAAP of tangible equity to tangible assets: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2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30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220" w:type="dxa"/>
            <w:vAlign w:val="bottom"/>
          </w:tcPr>
          <w:p>
            <w:pPr>
              <w:spacing w:after="0"/>
              <w:rPr>
                <w:sz w:val="14"/>
                <w:szCs w:val="14"/>
                <w:color w:val="auto"/>
              </w:rPr>
            </w:pPr>
          </w:p>
        </w:tc>
        <w:tc>
          <w:tcPr>
            <w:tcW w:w="15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162"/>
        </w:trPr>
        <w:tc>
          <w:tcPr>
            <w:tcW w:w="576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Tangible equity</w:t>
            </w:r>
            <w:r>
              <w:rPr>
                <w:rFonts w:ascii="Times New Roman" w:cs="Times New Roman" w:eastAsia="Times New Roman" w:hAnsi="Times New Roman"/>
                <w:sz w:val="16"/>
                <w:szCs w:val="16"/>
                <w:color w:val="auto"/>
                <w:vertAlign w:val="superscript"/>
              </w:rPr>
              <w:t>(1)</w:t>
            </w: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500,378</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483,565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442,663</w:t>
            </w:r>
          </w:p>
        </w:tc>
        <w:tc>
          <w:tcPr>
            <w:tcW w:w="0" w:type="dxa"/>
            <w:vAlign w:val="bottom"/>
          </w:tcPr>
          <w:p>
            <w:pPr>
              <w:spacing w:after="0"/>
              <w:rPr>
                <w:sz w:val="1"/>
                <w:szCs w:val="1"/>
                <w:color w:val="auto"/>
              </w:rPr>
            </w:pPr>
          </w:p>
        </w:tc>
      </w:tr>
      <w:tr>
        <w:trPr>
          <w:trHeight w:val="158"/>
        </w:trPr>
        <w:tc>
          <w:tcPr>
            <w:tcW w:w="57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4,637,293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4,670,864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4,651,997</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goodwill, core deposit intangibles, net of taxes</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39,626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40,063</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41,748</w:t>
            </w:r>
          </w:p>
        </w:tc>
        <w:tc>
          <w:tcPr>
            <w:tcW w:w="0" w:type="dxa"/>
            <w:vAlign w:val="bottom"/>
          </w:tcPr>
          <w:p>
            <w:pPr>
              <w:spacing w:after="0"/>
              <w:rPr>
                <w:sz w:val="1"/>
                <w:szCs w:val="1"/>
                <w:color w:val="auto"/>
              </w:rPr>
            </w:pPr>
          </w:p>
        </w:tc>
      </w:tr>
      <w:tr>
        <w:trPr>
          <w:trHeight w:val="158"/>
        </w:trPr>
        <w:tc>
          <w:tcPr>
            <w:tcW w:w="57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tangible assets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4,597,667</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4,630,801</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4,610,249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5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Tangible equity to tangible assets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10.88 %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10.44 %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9.60 %</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Tangible equity (or tangible book value) is equal to total stockholders' equity less goodwill and core deposit intangibles, net of related deferred tax liabilities.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color w:val="auto"/>
        </w:rPr>
        <w:t xml:space="preserve">Comparison of Results of Operations for the Three Months Ended September 30, 2024 and </w:t>
      </w:r>
      <w:r>
        <w:rPr>
          <w:rFonts w:ascii="Times New Roman" w:cs="Times New Roman" w:eastAsia="Times New Roman" w:hAnsi="Times New Roman"/>
          <w:sz w:val="14"/>
          <w:szCs w:val="14"/>
          <w:b w:val="1"/>
          <w:bCs w:val="1"/>
          <w:color w:val="auto"/>
        </w:rPr>
        <w:t>June 30, 2024</w:t>
      </w:r>
    </w:p>
    <w:p>
      <w:pPr>
        <w:spacing w:after="0" w:line="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Net Income. </w:t>
      </w:r>
      <w:r>
        <w:rPr>
          <w:rFonts w:ascii="Times New Roman" w:cs="Times New Roman" w:eastAsia="Times New Roman" w:hAnsi="Times New Roman"/>
          <w:sz w:val="13"/>
          <w:szCs w:val="13"/>
          <w:color w:val="auto"/>
        </w:rPr>
        <w:t>Net income totaled $13.1 million, or $0.76 per diluted share, for the three months ended September 30, 2024 compared to $12.4 million, or $0.73 per diluted share, for the three months ended June 30, 2024,</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 increase of $694,000, or 5.6%. Results for the three months ended September 30, 2024 were positively impacted by a decrease of $1.3 million in the provision for credit losses. Details of the changes in the various components of net income are further discussed below.</w:t>
      </w:r>
    </w:p>
    <w:p>
      <w:pPr>
        <w:spacing w:after="0" w:line="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b w:val="1"/>
          <w:bCs w:val="1"/>
          <w:i w:val="1"/>
          <w:iCs w:val="1"/>
          <w:color w:val="auto"/>
        </w:rPr>
        <w:t xml:space="preserve">Net Interest Income. </w:t>
      </w:r>
      <w:r>
        <w:rPr>
          <w:rFonts w:ascii="Times New Roman" w:cs="Times New Roman" w:eastAsia="Times New Roman" w:hAnsi="Times New Roman"/>
          <w:sz w:val="13"/>
          <w:szCs w:val="13"/>
          <w:color w:val="auto"/>
        </w:rPr>
        <w:t>The following table presents the distribution of average assets, liabilities and equity, as well as interest income earned on average interest-earning assets and interest expense paid on average interest-bearing liabilities. All average balances are daily average balances. Nonaccruing loans have been included in the table as loans carrying a zero yield.</w:t>
      </w: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9"/>
              </w:rPr>
              <w:t>September 30, 2024</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00" w:type="dxa"/>
            <w:vAlign w:val="bottom"/>
          </w:tcPr>
          <w:p>
            <w:pPr>
              <w:spacing w:after="0"/>
              <w:rPr>
                <w:sz w:val="10"/>
                <w:szCs w:val="10"/>
                <w:color w:val="auto"/>
              </w:rPr>
            </w:pPr>
          </w:p>
        </w:tc>
        <w:tc>
          <w:tcPr>
            <w:tcW w:w="900" w:type="dxa"/>
            <w:vAlign w:val="bottom"/>
          </w:tcPr>
          <w:p>
            <w:pPr>
              <w:jc w:val="center"/>
              <w:ind w:right="136"/>
              <w:spacing w:after="0" w:line="120"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0"/>
                <w:szCs w:val="10"/>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Yield /</w:t>
            </w:r>
          </w:p>
        </w:tc>
        <w:tc>
          <w:tcPr>
            <w:tcW w:w="180" w:type="dxa"/>
            <w:vAlign w:val="bottom"/>
          </w:tcPr>
          <w:p>
            <w:pPr>
              <w:spacing w:after="0"/>
              <w:rPr>
                <w:sz w:val="10"/>
                <w:szCs w:val="10"/>
                <w:color w:val="auto"/>
              </w:rPr>
            </w:pPr>
          </w:p>
        </w:tc>
        <w:tc>
          <w:tcPr>
            <w:tcW w:w="116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20" w:type="dxa"/>
            <w:vAlign w:val="bottom"/>
          </w:tcPr>
          <w:p>
            <w:pPr>
              <w:spacing w:after="0"/>
              <w:rPr>
                <w:sz w:val="10"/>
                <w:szCs w:val="10"/>
                <w:color w:val="auto"/>
              </w:rPr>
            </w:pPr>
          </w:p>
        </w:tc>
        <w:tc>
          <w:tcPr>
            <w:tcW w:w="980" w:type="dxa"/>
            <w:vAlign w:val="bottom"/>
          </w:tcPr>
          <w:p>
            <w:pPr>
              <w:jc w:val="center"/>
              <w:ind w:right="56"/>
              <w:spacing w:after="0" w:line="120"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Yield /</w:t>
            </w:r>
          </w:p>
        </w:tc>
        <w:tc>
          <w:tcPr>
            <w:tcW w:w="0" w:type="dxa"/>
            <w:vAlign w:val="bottom"/>
          </w:tcPr>
          <w:p>
            <w:pPr>
              <w:spacing w:after="0"/>
              <w:rPr>
                <w:sz w:val="1"/>
                <w:szCs w:val="1"/>
                <w:color w:val="auto"/>
              </w:rPr>
            </w:pPr>
          </w:p>
        </w:tc>
      </w:tr>
      <w:tr>
        <w:trPr>
          <w:trHeight w:val="12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9"/>
              </w:rPr>
              <w:t>Balance</w:t>
            </w:r>
          </w:p>
        </w:tc>
        <w:tc>
          <w:tcPr>
            <w:tcW w:w="200" w:type="dxa"/>
            <w:vAlign w:val="bottom"/>
          </w:tcPr>
          <w:p>
            <w:pPr>
              <w:spacing w:after="0"/>
              <w:rPr>
                <w:sz w:val="11"/>
                <w:szCs w:val="11"/>
                <w:color w:val="auto"/>
              </w:rPr>
            </w:pPr>
          </w:p>
        </w:tc>
        <w:tc>
          <w:tcPr>
            <w:tcW w:w="900" w:type="dxa"/>
            <w:vAlign w:val="bottom"/>
          </w:tcPr>
          <w:p>
            <w:pPr>
              <w:jc w:val="center"/>
              <w:ind w:right="136"/>
              <w:spacing w:after="0" w:line="128" w:lineRule="exact"/>
              <w:rPr>
                <w:sz w:val="20"/>
                <w:szCs w:val="20"/>
                <w:color w:val="auto"/>
              </w:rPr>
            </w:pPr>
            <w:r>
              <w:rPr>
                <w:rFonts w:ascii="Times New Roman" w:cs="Times New Roman" w:eastAsia="Times New Roman" w:hAnsi="Times New Roman"/>
                <w:sz w:val="13"/>
                <w:szCs w:val="13"/>
                <w:b w:val="1"/>
                <w:bCs w:val="1"/>
                <w:color w:val="auto"/>
                <w:w w:val="95"/>
              </w:rPr>
              <w:t>Earned /</w:t>
            </w: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Balance</w:t>
            </w:r>
          </w:p>
        </w:tc>
        <w:tc>
          <w:tcPr>
            <w:tcW w:w="120" w:type="dxa"/>
            <w:vAlign w:val="bottom"/>
          </w:tcPr>
          <w:p>
            <w:pPr>
              <w:spacing w:after="0"/>
              <w:rPr>
                <w:sz w:val="11"/>
                <w:szCs w:val="11"/>
                <w:color w:val="auto"/>
              </w:rPr>
            </w:pPr>
          </w:p>
        </w:tc>
        <w:tc>
          <w:tcPr>
            <w:tcW w:w="980" w:type="dxa"/>
            <w:vAlign w:val="bottom"/>
          </w:tcPr>
          <w:p>
            <w:pPr>
              <w:jc w:val="center"/>
              <w:ind w:right="56"/>
              <w:spacing w:after="0" w:line="128" w:lineRule="exact"/>
              <w:rPr>
                <w:sz w:val="20"/>
                <w:szCs w:val="20"/>
                <w:color w:val="auto"/>
              </w:rPr>
            </w:pPr>
            <w:r>
              <w:rPr>
                <w:rFonts w:ascii="Times New Roman" w:cs="Times New Roman" w:eastAsia="Times New Roman" w:hAnsi="Times New Roman"/>
                <w:sz w:val="13"/>
                <w:szCs w:val="13"/>
                <w:b w:val="1"/>
                <w:bCs w:val="1"/>
                <w:color w:val="auto"/>
                <w:w w:val="95"/>
              </w:rPr>
              <w:t>Earned /</w:t>
            </w: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4"/>
                <w:szCs w:val="14"/>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rPr>
              <w:t>Paid</w:t>
            </w:r>
          </w:p>
        </w:tc>
        <w:tc>
          <w:tcPr>
            <w:tcW w:w="10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Paid</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0" w:type="dxa"/>
            <w:vAlign w:val="bottom"/>
          </w:tcPr>
          <w:p>
            <w:pPr>
              <w:spacing w:after="0"/>
              <w:rPr>
                <w:sz w:val="1"/>
                <w:szCs w:val="1"/>
                <w:color w:val="auto"/>
              </w:rPr>
            </w:pPr>
          </w:p>
        </w:tc>
      </w:tr>
      <w:tr>
        <w:trPr>
          <w:trHeight w:val="15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Interest-earning assets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Loans receivable</w:t>
            </w:r>
            <w:r>
              <w:rPr>
                <w:rFonts w:ascii="Times New Roman" w:cs="Times New Roman" w:eastAsia="Times New Roman" w:hAnsi="Times New Roman"/>
                <w:sz w:val="16"/>
                <w:szCs w:val="16"/>
                <w:color w:val="auto"/>
                <w:vertAlign w:val="superscript"/>
              </w:rPr>
              <w:t>(1)</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3,899,460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63,305</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6.46 %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3,885,222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62,161</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6.43 %</w:t>
            </w:r>
          </w:p>
        </w:tc>
        <w:tc>
          <w:tcPr>
            <w:tcW w:w="0" w:type="dxa"/>
            <w:vAlign w:val="bottom"/>
          </w:tcPr>
          <w:p>
            <w:pPr>
              <w:spacing w:after="0"/>
              <w:rPr>
                <w:sz w:val="1"/>
                <w:szCs w:val="1"/>
                <w:color w:val="auto"/>
              </w:rPr>
            </w:pPr>
          </w:p>
        </w:tc>
      </w:tr>
      <w:tr>
        <w:trPr>
          <w:trHeight w:val="168"/>
        </w:trPr>
        <w:tc>
          <w:tcPr>
            <w:tcW w:w="3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w:t>
            </w:r>
          </w:p>
        </w:tc>
        <w:tc>
          <w:tcPr>
            <w:tcW w:w="180" w:type="dxa"/>
            <w:vAlign w:val="bottom"/>
          </w:tcPr>
          <w:p>
            <w:pPr>
              <w:spacing w:after="0"/>
              <w:rPr>
                <w:sz w:val="14"/>
                <w:szCs w:val="14"/>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140,246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4.58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134,334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4.48</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Other interest-earning assets</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144,931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4.74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140,376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5.04</w:t>
            </w:r>
          </w:p>
        </w:tc>
        <w:tc>
          <w:tcPr>
            <w:tcW w:w="0" w:type="dxa"/>
            <w:vAlign w:val="bottom"/>
          </w:tcPr>
          <w:p>
            <w:pPr>
              <w:spacing w:after="0"/>
              <w:rPr>
                <w:sz w:val="1"/>
                <w:szCs w:val="1"/>
                <w:color w:val="auto"/>
              </w:rPr>
            </w:pPr>
          </w:p>
        </w:tc>
      </w:tr>
      <w:tr>
        <w:trPr>
          <w:trHeight w:val="158"/>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interest-earning assets</w:t>
            </w:r>
          </w:p>
        </w:tc>
        <w:tc>
          <w:tcPr>
            <w:tcW w:w="180" w:type="dxa"/>
            <w:vAlign w:val="bottom"/>
            <w:tcBorders>
              <w:top w:val="single" w:sz="8" w:color="auto"/>
              <w:bottom w:val="single" w:sz="8" w:color="CCEEFF"/>
            </w:tcBorders>
          </w:tcPr>
          <w:p>
            <w:pPr>
              <w:spacing w:after="0"/>
              <w:rPr>
                <w:sz w:val="13"/>
                <w:szCs w:val="13"/>
                <w:color w:val="auto"/>
              </w:rPr>
            </w:pPr>
          </w:p>
        </w:tc>
        <w:tc>
          <w:tcPr>
            <w:tcW w:w="1060" w:type="dxa"/>
            <w:vAlign w:val="bottom"/>
            <w:tcBorders>
              <w:top w:val="single" w:sz="8" w:color="auto"/>
              <w:bottom w:val="single" w:sz="8" w:color="CCEEFF"/>
            </w:tcBorders>
          </w:tcPr>
          <w:p>
            <w:pPr>
              <w:jc w:val="right"/>
              <w:ind w:right="36"/>
              <w:spacing w:after="0"/>
              <w:rPr>
                <w:sz w:val="20"/>
                <w:szCs w:val="20"/>
                <w:color w:val="auto"/>
              </w:rPr>
            </w:pPr>
            <w:r>
              <w:rPr>
                <w:rFonts w:ascii="Times New Roman" w:cs="Times New Roman" w:eastAsia="Times New Roman" w:hAnsi="Times New Roman"/>
                <w:sz w:val="13"/>
                <w:szCs w:val="13"/>
                <w:color w:val="auto"/>
              </w:rPr>
              <w:t>4,184,637</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66,649</w:t>
            </w:r>
          </w:p>
        </w:tc>
        <w:tc>
          <w:tcPr>
            <w:tcW w:w="100" w:type="dxa"/>
            <w:vAlign w:val="bottom"/>
            <w:tcBorders>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060" w:type="dxa"/>
            <w:vAlign w:val="bottom"/>
            <w:tcBorders>
              <w:top w:val="single" w:sz="8" w:color="auto"/>
              <w:bottom w:val="single" w:sz="8" w:color="CCEEFF"/>
            </w:tcBorders>
          </w:tcPr>
          <w:p>
            <w:pPr>
              <w:jc w:val="right"/>
              <w:ind w:right="16"/>
              <w:spacing w:after="0"/>
              <w:rPr>
                <w:sz w:val="20"/>
                <w:szCs w:val="20"/>
                <w:color w:val="auto"/>
              </w:rPr>
            </w:pPr>
            <w:r>
              <w:rPr>
                <w:rFonts w:ascii="Times New Roman" w:cs="Times New Roman" w:eastAsia="Times New Roman" w:hAnsi="Times New Roman"/>
                <w:sz w:val="13"/>
                <w:szCs w:val="13"/>
                <w:color w:val="auto"/>
              </w:rPr>
              <w:t>4,159,932</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65,414</w:t>
            </w:r>
          </w:p>
        </w:tc>
        <w:tc>
          <w:tcPr>
            <w:tcW w:w="100" w:type="dxa"/>
            <w:vAlign w:val="bottom"/>
            <w:tcBorders>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6.32</w:t>
            </w:r>
          </w:p>
        </w:tc>
        <w:tc>
          <w:tcPr>
            <w:tcW w:w="0" w:type="dxa"/>
            <w:vAlign w:val="bottom"/>
          </w:tcPr>
          <w:p>
            <w:pPr>
              <w:spacing w:after="0"/>
              <w:rPr>
                <w:sz w:val="1"/>
                <w:szCs w:val="1"/>
                <w:color w:val="auto"/>
              </w:rPr>
            </w:pPr>
          </w:p>
        </w:tc>
      </w:tr>
      <w:tr>
        <w:trPr>
          <w:trHeight w:val="150"/>
        </w:trPr>
        <w:tc>
          <w:tcPr>
            <w:tcW w:w="37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6"/>
              <w:spacing w:after="0" w:line="147" w:lineRule="exact"/>
              <w:rPr>
                <w:sz w:val="20"/>
                <w:szCs w:val="20"/>
                <w:color w:val="auto"/>
              </w:rPr>
            </w:pPr>
            <w:r>
              <w:rPr>
                <w:rFonts w:ascii="Times New Roman" w:cs="Times New Roman" w:eastAsia="Times New Roman" w:hAnsi="Times New Roman"/>
                <w:sz w:val="13"/>
                <w:szCs w:val="13"/>
                <w:color w:val="auto"/>
              </w:rPr>
              <w:t>264,579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6"/>
              <w:spacing w:after="0" w:line="147" w:lineRule="exact"/>
              <w:rPr>
                <w:sz w:val="20"/>
                <w:szCs w:val="20"/>
                <w:color w:val="auto"/>
              </w:rPr>
            </w:pPr>
            <w:r>
              <w:rPr>
                <w:rFonts w:ascii="Times New Roman" w:cs="Times New Roman" w:eastAsia="Times New Roman" w:hAnsi="Times New Roman"/>
                <w:sz w:val="13"/>
                <w:szCs w:val="13"/>
                <w:color w:val="auto"/>
              </w:rPr>
              <w:t>266,983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7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4,449,216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4,426,915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74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Interest-bearing liabilities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Interest-bearing checking accounts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548,024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0.93 %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586,396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0.99 %</w:t>
            </w:r>
          </w:p>
        </w:tc>
        <w:tc>
          <w:tcPr>
            <w:tcW w:w="0" w:type="dxa"/>
            <w:vAlign w:val="bottom"/>
          </w:tcPr>
          <w:p>
            <w:pPr>
              <w:spacing w:after="0"/>
              <w:rPr>
                <w:sz w:val="1"/>
                <w:szCs w:val="1"/>
                <w:color w:val="auto"/>
              </w:rPr>
            </w:pPr>
          </w:p>
        </w:tc>
      </w:tr>
      <w:tr>
        <w:trPr>
          <w:trHeight w:val="168"/>
        </w:trPr>
        <w:tc>
          <w:tcPr>
            <w:tcW w:w="3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Money market accounts</w:t>
            </w:r>
          </w:p>
        </w:tc>
        <w:tc>
          <w:tcPr>
            <w:tcW w:w="180" w:type="dxa"/>
            <w:vAlign w:val="bottom"/>
          </w:tcPr>
          <w:p>
            <w:pPr>
              <w:spacing w:after="0"/>
              <w:rPr>
                <w:sz w:val="14"/>
                <w:szCs w:val="14"/>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1,335,798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10,757</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1,298,177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10,221</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3.17</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Savings accounts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182,618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0.09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188,028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168"/>
        </w:trPr>
        <w:tc>
          <w:tcPr>
            <w:tcW w:w="3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Certificate accounts</w:t>
            </w:r>
          </w:p>
        </w:tc>
        <w:tc>
          <w:tcPr>
            <w:tcW w:w="180" w:type="dxa"/>
            <w:vAlign w:val="bottom"/>
          </w:tcPr>
          <w:p>
            <w:pPr>
              <w:spacing w:after="0"/>
              <w:rPr>
                <w:sz w:val="14"/>
                <w:szCs w:val="14"/>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1,012,765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11,617</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4.56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902,864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9,976</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4.44</w:t>
            </w:r>
          </w:p>
        </w:tc>
        <w:tc>
          <w:tcPr>
            <w:tcW w:w="0" w:type="dxa"/>
            <w:vAlign w:val="bottom"/>
          </w:tcPr>
          <w:p>
            <w:pPr>
              <w:spacing w:after="0"/>
              <w:rPr>
                <w:sz w:val="1"/>
                <w:szCs w:val="1"/>
                <w:color w:val="auto"/>
              </w:rPr>
            </w:pPr>
          </w:p>
        </w:tc>
      </w:tr>
      <w:tr>
        <w:trPr>
          <w:trHeight w:val="163"/>
        </w:trPr>
        <w:tc>
          <w:tcPr>
            <w:tcW w:w="3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interest-bearing deposits</w:t>
            </w: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3,079,205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23,692</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2,975,465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21,683</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2.93</w:t>
            </w:r>
          </w:p>
        </w:tc>
        <w:tc>
          <w:tcPr>
            <w:tcW w:w="0" w:type="dxa"/>
            <w:vAlign w:val="bottom"/>
          </w:tcPr>
          <w:p>
            <w:pPr>
              <w:spacing w:after="0"/>
              <w:rPr>
                <w:sz w:val="1"/>
                <w:szCs w:val="1"/>
                <w:color w:val="auto"/>
              </w:rPr>
            </w:pPr>
          </w:p>
        </w:tc>
      </w:tr>
      <w:tr>
        <w:trPr>
          <w:trHeight w:val="168"/>
        </w:trPr>
        <w:tc>
          <w:tcPr>
            <w:tcW w:w="3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180" w:type="dxa"/>
            <w:vAlign w:val="bottom"/>
          </w:tcPr>
          <w:p>
            <w:pPr>
              <w:spacing w:after="0"/>
              <w:rPr>
                <w:sz w:val="14"/>
                <w:szCs w:val="14"/>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10,079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9.28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10,054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9.36</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40,399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6.38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87,315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6.13</w:t>
            </w:r>
          </w:p>
        </w:tc>
        <w:tc>
          <w:tcPr>
            <w:tcW w:w="0" w:type="dxa"/>
            <w:vAlign w:val="bottom"/>
          </w:tcPr>
          <w:p>
            <w:pPr>
              <w:spacing w:after="0"/>
              <w:rPr>
                <w:sz w:val="1"/>
                <w:szCs w:val="1"/>
                <w:color w:val="auto"/>
              </w:rPr>
            </w:pPr>
          </w:p>
        </w:tc>
      </w:tr>
      <w:tr>
        <w:trPr>
          <w:trHeight w:val="158"/>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interest-bearing liabilities</w:t>
            </w:r>
          </w:p>
        </w:tc>
        <w:tc>
          <w:tcPr>
            <w:tcW w:w="180" w:type="dxa"/>
            <w:vAlign w:val="bottom"/>
            <w:tcBorders>
              <w:top w:val="single" w:sz="8" w:color="auto"/>
              <w:bottom w:val="single" w:sz="8" w:color="CCEEFF"/>
            </w:tcBorders>
          </w:tcPr>
          <w:p>
            <w:pPr>
              <w:spacing w:after="0"/>
              <w:rPr>
                <w:sz w:val="13"/>
                <w:szCs w:val="13"/>
                <w:color w:val="auto"/>
              </w:rPr>
            </w:pPr>
          </w:p>
        </w:tc>
        <w:tc>
          <w:tcPr>
            <w:tcW w:w="1060" w:type="dxa"/>
            <w:vAlign w:val="bottom"/>
            <w:tcBorders>
              <w:top w:val="single" w:sz="8" w:color="auto"/>
              <w:bottom w:val="single" w:sz="8" w:color="CCEEFF"/>
            </w:tcBorders>
          </w:tcPr>
          <w:p>
            <w:pPr>
              <w:jc w:val="right"/>
              <w:ind w:right="36"/>
              <w:spacing w:after="0"/>
              <w:rPr>
                <w:sz w:val="20"/>
                <w:szCs w:val="20"/>
                <w:color w:val="auto"/>
              </w:rPr>
            </w:pPr>
            <w:r>
              <w:rPr>
                <w:rFonts w:ascii="Times New Roman" w:cs="Times New Roman" w:eastAsia="Times New Roman" w:hAnsi="Times New Roman"/>
                <w:sz w:val="13"/>
                <w:szCs w:val="13"/>
                <w:color w:val="auto"/>
              </w:rPr>
              <w:t>3,129,683</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24,575</w:t>
            </w:r>
          </w:p>
        </w:tc>
        <w:tc>
          <w:tcPr>
            <w:tcW w:w="100" w:type="dxa"/>
            <w:vAlign w:val="bottom"/>
            <w:tcBorders>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060" w:type="dxa"/>
            <w:vAlign w:val="bottom"/>
            <w:tcBorders>
              <w:top w:val="single" w:sz="8" w:color="auto"/>
              <w:bottom w:val="single" w:sz="8" w:color="CCEEFF"/>
            </w:tcBorders>
          </w:tcPr>
          <w:p>
            <w:pPr>
              <w:jc w:val="right"/>
              <w:ind w:right="16"/>
              <w:spacing w:after="0"/>
              <w:rPr>
                <w:sz w:val="20"/>
                <w:szCs w:val="20"/>
                <w:color w:val="auto"/>
              </w:rPr>
            </w:pPr>
            <w:r>
              <w:rPr>
                <w:rFonts w:ascii="Times New Roman" w:cs="Times New Roman" w:eastAsia="Times New Roman" w:hAnsi="Times New Roman"/>
                <w:sz w:val="13"/>
                <w:szCs w:val="13"/>
                <w:color w:val="auto"/>
              </w:rPr>
              <w:t>3,072,834</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23,248</w:t>
            </w:r>
          </w:p>
        </w:tc>
        <w:tc>
          <w:tcPr>
            <w:tcW w:w="100" w:type="dxa"/>
            <w:vAlign w:val="bottom"/>
            <w:tcBorders>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3.04</w:t>
            </w:r>
          </w:p>
        </w:tc>
        <w:tc>
          <w:tcPr>
            <w:tcW w:w="0" w:type="dxa"/>
            <w:vAlign w:val="bottom"/>
          </w:tcPr>
          <w:p>
            <w:pPr>
              <w:spacing w:after="0"/>
              <w:rPr>
                <w:sz w:val="1"/>
                <w:szCs w:val="1"/>
                <w:color w:val="auto"/>
              </w:rPr>
            </w:pPr>
          </w:p>
        </w:tc>
      </w:tr>
      <w:tr>
        <w:trPr>
          <w:trHeight w:val="152"/>
        </w:trPr>
        <w:tc>
          <w:tcPr>
            <w:tcW w:w="37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Noninterest-bearing deposits</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6"/>
              <w:spacing w:after="0" w:line="147" w:lineRule="exact"/>
              <w:rPr>
                <w:sz w:val="20"/>
                <w:szCs w:val="20"/>
                <w:color w:val="auto"/>
              </w:rPr>
            </w:pPr>
            <w:r>
              <w:rPr>
                <w:rFonts w:ascii="Times New Roman" w:cs="Times New Roman" w:eastAsia="Times New Roman" w:hAnsi="Times New Roman"/>
                <w:sz w:val="13"/>
                <w:szCs w:val="13"/>
                <w:color w:val="auto"/>
              </w:rPr>
              <w:t>719,710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6"/>
              <w:spacing w:after="0" w:line="147" w:lineRule="exact"/>
              <w:rPr>
                <w:sz w:val="20"/>
                <w:szCs w:val="20"/>
                <w:color w:val="auto"/>
              </w:rPr>
            </w:pPr>
            <w:r>
              <w:rPr>
                <w:rFonts w:ascii="Times New Roman" w:cs="Times New Roman" w:eastAsia="Times New Roman" w:hAnsi="Times New Roman"/>
                <w:sz w:val="13"/>
                <w:szCs w:val="13"/>
                <w:color w:val="auto"/>
              </w:rPr>
              <w:t>769,016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65,097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63,503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3,914,490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3,905,353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534,726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521,562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40" w:type="dxa"/>
            <w:vAlign w:val="bottom"/>
            <w:tcBorders>
              <w:bottom w:val="single" w:sz="8" w:color="CCEEFF"/>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Times New Roman" w:cs="Times New Roman" w:eastAsia="Times New Roman" w:hAnsi="Times New Roman"/>
                <w:sz w:val="13"/>
                <w:szCs w:val="13"/>
                <w:color w:val="auto"/>
              </w:rPr>
              <w:t>4,449,216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ind w:right="16"/>
              <w:spacing w:after="0" w:line="141" w:lineRule="exact"/>
              <w:rPr>
                <w:sz w:val="20"/>
                <w:szCs w:val="20"/>
                <w:color w:val="auto"/>
              </w:rPr>
            </w:pPr>
            <w:r>
              <w:rPr>
                <w:rFonts w:ascii="Times New Roman" w:cs="Times New Roman" w:eastAsia="Times New Roman" w:hAnsi="Times New Roman"/>
                <w:sz w:val="13"/>
                <w:szCs w:val="13"/>
                <w:color w:val="auto"/>
              </w:rPr>
              <w:t>4,426,915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74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earning assets</w:t>
            </w:r>
          </w:p>
        </w:tc>
        <w:tc>
          <w:tcPr>
            <w:tcW w:w="180" w:type="dxa"/>
            <w:vAlign w:val="bottom"/>
            <w:tcBorders>
              <w:bottom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rPr>
              <w:t>1,054,954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rPr>
              <w:t>1,087,098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740" w:type="dxa"/>
            <w:vAlign w:val="bottom"/>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color w:val="auto"/>
              </w:rPr>
              <w:t>Average interest-earning assets to average interest-bearing liabilities</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133.71 %</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135.38 %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Non-tax-equivalent</w:t>
            </w: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42,074</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42,166</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3"/>
                <w:szCs w:val="13"/>
                <w:color w:val="auto"/>
              </w:rPr>
              <w:t>Interest rate spread</w:t>
            </w: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Times New Roman" w:cs="Times New Roman" w:eastAsia="Times New Roman" w:hAnsi="Times New Roman"/>
                <w:sz w:val="13"/>
                <w:szCs w:val="13"/>
                <w:color w:val="auto"/>
                <w:w w:val="97"/>
              </w:rPr>
              <w:t>3.22 %</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Times New Roman" w:cs="Times New Roman" w:eastAsia="Times New Roman" w:hAnsi="Times New Roman"/>
                <w:sz w:val="13"/>
                <w:szCs w:val="13"/>
                <w:color w:val="auto"/>
                <w:w w:val="97"/>
              </w:rPr>
              <w:t>3.28 %</w:t>
            </w:r>
          </w:p>
        </w:tc>
        <w:tc>
          <w:tcPr>
            <w:tcW w:w="0" w:type="dxa"/>
            <w:vAlign w:val="bottom"/>
          </w:tcPr>
          <w:p>
            <w:pPr>
              <w:spacing w:after="0" w:line="20" w:lineRule="exact"/>
              <w:rPr>
                <w:sz w:val="1"/>
                <w:szCs w:val="1"/>
                <w:color w:val="auto"/>
              </w:rPr>
            </w:pPr>
          </w:p>
        </w:tc>
      </w:tr>
      <w:tr>
        <w:trPr>
          <w:trHeight w:val="109"/>
        </w:trPr>
        <w:tc>
          <w:tcPr>
            <w:tcW w:w="3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Net interest margin</w:t>
            </w:r>
            <w:r>
              <w:rPr>
                <w:rFonts w:ascii="Times New Roman" w:cs="Times New Roman" w:eastAsia="Times New Roman" w:hAnsi="Times New Roman"/>
                <w:sz w:val="16"/>
                <w:szCs w:val="16"/>
                <w:color w:val="auto"/>
                <w:vertAlign w:val="superscript"/>
              </w:rPr>
              <w:t>(3)</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4.00 %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4.08 %</w:t>
            </w:r>
          </w:p>
        </w:tc>
        <w:tc>
          <w:tcPr>
            <w:tcW w:w="0" w:type="dxa"/>
            <w:vAlign w:val="bottom"/>
          </w:tcPr>
          <w:p>
            <w:pPr>
              <w:spacing w:after="0"/>
              <w:rPr>
                <w:sz w:val="1"/>
                <w:szCs w:val="1"/>
                <w:color w:val="auto"/>
              </w:rPr>
            </w:pPr>
          </w:p>
        </w:tc>
      </w:tr>
      <w:tr>
        <w:trPr>
          <w:trHeight w:val="170"/>
        </w:trPr>
        <w:tc>
          <w:tcPr>
            <w:tcW w:w="374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Tax-equivalent</w:t>
            </w:r>
            <w:r>
              <w:rPr>
                <w:rFonts w:ascii="Times New Roman" w:cs="Times New Roman" w:eastAsia="Times New Roman" w:hAnsi="Times New Roman"/>
                <w:sz w:val="16"/>
                <w:szCs w:val="16"/>
                <w:color w:val="auto"/>
                <w:vertAlign w:val="superscript"/>
              </w:rPr>
              <w:t>(4)</w:t>
            </w: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42,442</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42,520</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3"/>
                <w:szCs w:val="13"/>
                <w:color w:val="auto"/>
              </w:rPr>
              <w:t>Interest rate spread</w:t>
            </w: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Times New Roman" w:cs="Times New Roman" w:eastAsia="Times New Roman" w:hAnsi="Times New Roman"/>
                <w:sz w:val="13"/>
                <w:szCs w:val="13"/>
                <w:color w:val="auto"/>
                <w:w w:val="97"/>
              </w:rPr>
              <w:t>3.25 %</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Times New Roman" w:cs="Times New Roman" w:eastAsia="Times New Roman" w:hAnsi="Times New Roman"/>
                <w:sz w:val="13"/>
                <w:szCs w:val="13"/>
                <w:color w:val="auto"/>
                <w:w w:val="97"/>
              </w:rPr>
              <w:t>3.32 %</w:t>
            </w:r>
          </w:p>
        </w:tc>
        <w:tc>
          <w:tcPr>
            <w:tcW w:w="0" w:type="dxa"/>
            <w:vAlign w:val="bottom"/>
          </w:tcPr>
          <w:p>
            <w:pPr>
              <w:spacing w:after="0" w:line="20" w:lineRule="exact"/>
              <w:rPr>
                <w:sz w:val="1"/>
                <w:szCs w:val="1"/>
                <w:color w:val="auto"/>
              </w:rPr>
            </w:pPr>
          </w:p>
        </w:tc>
      </w:tr>
      <w:tr>
        <w:trPr>
          <w:trHeight w:val="109"/>
        </w:trPr>
        <w:tc>
          <w:tcPr>
            <w:tcW w:w="3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Net interest margin</w:t>
            </w:r>
            <w:r>
              <w:rPr>
                <w:rFonts w:ascii="Times New Roman" w:cs="Times New Roman" w:eastAsia="Times New Roman" w:hAnsi="Times New Roman"/>
                <w:sz w:val="16"/>
                <w:szCs w:val="16"/>
                <w:color w:val="auto"/>
                <w:vertAlign w:val="superscript"/>
              </w:rPr>
              <w:t>(3)</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4.03 %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4.11 %</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80" w:hanging="175"/>
        <w:spacing w:after="0"/>
        <w:tabs>
          <w:tab w:leader="none" w:pos="18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loans receivable balances include loans held for sale and nonaccruing loans.</w:t>
      </w:r>
    </w:p>
    <w:p>
      <w:pPr>
        <w:spacing w:after="0" w:line="12"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other interest-earning assets consist of FRB stock, FHLB stock, SBIC investments and deposits in other banks.</w:t>
      </w:r>
    </w:p>
    <w:p>
      <w:pPr>
        <w:ind w:left="180" w:hanging="175"/>
        <w:spacing w:after="0"/>
        <w:tabs>
          <w:tab w:leader="none" w:pos="18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income divided by average interest-earning assets.</w:t>
      </w:r>
    </w:p>
    <w:p>
      <w:pPr>
        <w:spacing w:after="0" w:line="8"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Tax-equivalent results include adjustments to interest income of $368 and $354 for the three months ended September 30, 2024 and June 30, 2024, respectively, calculated based on a combined federal and state tax rate of 24%.</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Total interest and dividend income for the three months ended September 30, 2024 increased $1.2 million, or 1.9%, compared to the three months ended June 30, 2024, which was driven by a $1.1 million, or 1.8%, increase in loan interest income primarily due to the difference in the number of days in each quarter. Accretion income on acquired loans of $640,000 and $678,000 was recognized during the same periods, respectively, and was included in interest income on loans.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38" w:name="page39"/>
    <w:bookmarkEnd w:id="38"/>
    <w:p>
      <w:pPr>
        <w:spacing w:after="0" w:line="264" w:lineRule="auto"/>
        <w:rPr>
          <w:sz w:val="20"/>
          <w:szCs w:val="20"/>
          <w:color w:val="auto"/>
        </w:rPr>
      </w:pPr>
      <w:r>
        <w:rPr>
          <w:rFonts w:ascii="Times New Roman" w:cs="Times New Roman" w:eastAsia="Times New Roman" w:hAnsi="Times New Roman"/>
          <w:sz w:val="13"/>
          <w:szCs w:val="13"/>
          <w:color w:val="auto"/>
        </w:rPr>
        <w:t>Total interest expense for the three months ended September 30, 2024 increased $1.3 million, or 5.7%, compared to the three months ended June 30, 2024. The increase was primarily the result of increases in the average balances of money market and certificate accounts, partially offset by a decline in average borrowings outstanding.</w:t>
      </w:r>
    </w:p>
    <w:p>
      <w:pPr>
        <w:spacing w:after="0" w:line="3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The following table shows the effects that changes in average balances (volume), including the difference in the number of days in the periods compared, and average interest rates (rate) had on the interest earned on interest-earning assets and interest paid on interest-bearing liabilities:</w:t>
      </w:r>
    </w:p>
    <w:tbl>
      <w:tblPr>
        <w:tblLayout w:type="fixed"/>
        <w:tblInd w:w="0" w:type="dxa"/>
        <w:tblCellMar>
          <w:top w:w="0" w:type="dxa"/>
          <w:left w:w="0" w:type="dxa"/>
          <w:bottom w:w="0" w:type="dxa"/>
          <w:right w:w="0" w:type="dxa"/>
        </w:tblCellMar>
      </w:tblPr>
      <w:tr>
        <w:trPr>
          <w:trHeight w:val="131"/>
        </w:trPr>
        <w:tc>
          <w:tcPr>
            <w:tcW w:w="7420" w:type="dxa"/>
            <w:vAlign w:val="bottom"/>
          </w:tcPr>
          <w:p>
            <w:pPr>
              <w:spacing w:after="0"/>
              <w:rPr>
                <w:sz w:val="11"/>
                <w:szCs w:val="11"/>
                <w:color w:val="auto"/>
              </w:rPr>
            </w:pPr>
          </w:p>
        </w:tc>
        <w:tc>
          <w:tcPr>
            <w:tcW w:w="2160" w:type="dxa"/>
            <w:vAlign w:val="bottom"/>
            <w:gridSpan w:val="4"/>
          </w:tcPr>
          <w:p>
            <w:pPr>
              <w:jc w:val="center"/>
              <w:ind w:left="336"/>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Increase / (Decrease)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3"/>
        </w:trPr>
        <w:tc>
          <w:tcPr>
            <w:tcW w:w="7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00" w:type="dxa"/>
            <w:vAlign w:val="bottom"/>
            <w:gridSpan w:val="3"/>
            <w:vMerge w:val="restart"/>
          </w:tcPr>
          <w:p>
            <w:pPr>
              <w:jc w:val="center"/>
              <w:ind w:right="396"/>
              <w:spacing w:after="0"/>
              <w:rPr>
                <w:sz w:val="20"/>
                <w:szCs w:val="20"/>
                <w:color w:val="auto"/>
              </w:rPr>
            </w:pPr>
            <w:r>
              <w:rPr>
                <w:rFonts w:ascii="Times New Roman" w:cs="Times New Roman" w:eastAsia="Times New Roman" w:hAnsi="Times New Roman"/>
                <w:sz w:val="13"/>
                <w:szCs w:val="13"/>
                <w:b w:val="1"/>
                <w:bCs w:val="1"/>
                <w:color w:val="auto"/>
                <w:w w:val="98"/>
              </w:rPr>
              <w:t>Due to</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742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right="137"/>
              <w:spacing w:after="0" w:line="107" w:lineRule="exact"/>
              <w:rPr>
                <w:sz w:val="20"/>
                <w:szCs w:val="20"/>
                <w:color w:val="auto"/>
              </w:rPr>
            </w:pPr>
            <w:r>
              <w:rPr>
                <w:rFonts w:ascii="Times New Roman" w:cs="Times New Roman" w:eastAsia="Times New Roman" w:hAnsi="Times New Roman"/>
                <w:sz w:val="12"/>
                <w:szCs w:val="12"/>
                <w:b w:val="1"/>
                <w:bCs w:val="1"/>
                <w:color w:val="auto"/>
              </w:rPr>
              <w:t>Increase /</w:t>
            </w:r>
          </w:p>
        </w:tc>
        <w:tc>
          <w:tcPr>
            <w:tcW w:w="0" w:type="dxa"/>
            <w:vAlign w:val="bottom"/>
          </w:tcPr>
          <w:p>
            <w:pPr>
              <w:spacing w:after="0"/>
              <w:rPr>
                <w:sz w:val="1"/>
                <w:szCs w:val="1"/>
                <w:color w:val="auto"/>
              </w:rPr>
            </w:pPr>
          </w:p>
        </w:tc>
      </w:tr>
      <w:tr>
        <w:trPr>
          <w:trHeight w:val="159"/>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Rate</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0" w:type="dxa"/>
            <w:vAlign w:val="bottom"/>
          </w:tcPr>
          <w:p>
            <w:pPr>
              <w:spacing w:after="0"/>
              <w:rPr>
                <w:sz w:val="1"/>
                <w:szCs w:val="1"/>
                <w:color w:val="auto"/>
              </w:rPr>
            </w:pPr>
          </w:p>
        </w:tc>
      </w:tr>
      <w:tr>
        <w:trPr>
          <w:trHeight w:val="15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Interest-earning assets</w:t>
            </w: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 receivable</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80" w:type="dxa"/>
            <w:vAlign w:val="bottom"/>
          </w:tcPr>
          <w:p>
            <w:pPr>
              <w:spacing w:after="0"/>
              <w:rPr>
                <w:sz w:val="14"/>
                <w:szCs w:val="14"/>
                <w:color w:val="auto"/>
              </w:rPr>
            </w:pP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w:t>
            </w:r>
          </w:p>
        </w:tc>
        <w:tc>
          <w:tcPr>
            <w:tcW w:w="0" w:type="dxa"/>
            <w:vAlign w:val="bottom"/>
          </w:tcPr>
          <w:p>
            <w:pPr>
              <w:spacing w:after="0"/>
              <w:rPr>
                <w:sz w:val="1"/>
                <w:szCs w:val="1"/>
                <w:color w:val="auto"/>
              </w:rPr>
            </w:pPr>
          </w:p>
        </w:tc>
      </w:tr>
      <w:tr>
        <w:trPr>
          <w:trHeight w:val="172"/>
        </w:trPr>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68"/>
        </w:trPr>
        <w:tc>
          <w:tcPr>
            <w:tcW w:w="74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 interest-earning assets</w:t>
            </w: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3"/>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interest-earning assets</w:t>
            </w:r>
          </w:p>
        </w:tc>
        <w:tc>
          <w:tcPr>
            <w:tcW w:w="8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0" w:type="dxa"/>
            <w:vAlign w:val="bottom"/>
          </w:tcPr>
          <w:p>
            <w:pPr>
              <w:spacing w:after="0"/>
              <w:rPr>
                <w:sz w:val="1"/>
                <w:szCs w:val="1"/>
                <w:color w:val="auto"/>
              </w:rPr>
            </w:pPr>
          </w:p>
        </w:tc>
      </w:tr>
      <w:tr>
        <w:trPr>
          <w:trHeight w:val="149"/>
        </w:trPr>
        <w:tc>
          <w:tcPr>
            <w:tcW w:w="74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Interest-bearing liabilities</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Interest-bearing checking accounts</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68"/>
        </w:trPr>
        <w:tc>
          <w:tcPr>
            <w:tcW w:w="7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Money market accounts</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0" w:type="dxa"/>
            <w:vAlign w:val="bottom"/>
          </w:tcPr>
          <w:p>
            <w:pPr>
              <w:spacing w:after="0"/>
              <w:rPr>
                <w:sz w:val="1"/>
                <w:szCs w:val="1"/>
                <w:color w:val="auto"/>
              </w:rPr>
            </w:pPr>
          </w:p>
        </w:tc>
      </w:tr>
      <w:tr>
        <w:trPr>
          <w:trHeight w:val="172"/>
        </w:trPr>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Savings accounts</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7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Certificate accounts</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0" w:type="dxa"/>
            <w:vAlign w:val="bottom"/>
          </w:tcPr>
          <w:p>
            <w:pPr>
              <w:spacing w:after="0"/>
              <w:rPr>
                <w:sz w:val="1"/>
                <w:szCs w:val="1"/>
                <w:color w:val="auto"/>
              </w:rPr>
            </w:pPr>
          </w:p>
        </w:tc>
      </w:tr>
      <w:tr>
        <w:trPr>
          <w:trHeight w:val="172"/>
        </w:trPr>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74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0" w:type="dxa"/>
            <w:vAlign w:val="bottom"/>
          </w:tcPr>
          <w:p>
            <w:pPr>
              <w:spacing w:after="0"/>
              <w:rPr>
                <w:sz w:val="1"/>
                <w:szCs w:val="1"/>
                <w:color w:val="auto"/>
              </w:rPr>
            </w:pPr>
          </w:p>
        </w:tc>
      </w:tr>
      <w:tr>
        <w:trPr>
          <w:trHeight w:val="160"/>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interest-bearing liabilities</w:t>
            </w:r>
          </w:p>
        </w:tc>
        <w:tc>
          <w:tcPr>
            <w:tcW w:w="8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8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0" w:type="dxa"/>
            <w:vAlign w:val="bottom"/>
          </w:tcPr>
          <w:p>
            <w:pPr>
              <w:spacing w:after="0"/>
              <w:rPr>
                <w:sz w:val="1"/>
                <w:szCs w:val="1"/>
                <w:color w:val="auto"/>
              </w:rPr>
            </w:pPr>
          </w:p>
        </w:tc>
      </w:tr>
      <w:tr>
        <w:trPr>
          <w:trHeight w:val="163"/>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Decrease in net interest income</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Provision for Credit Losses. </w:t>
      </w:r>
      <w:r>
        <w:rPr>
          <w:rFonts w:ascii="Times New Roman" w:cs="Times New Roman" w:eastAsia="Times New Roman" w:hAnsi="Times New Roman"/>
          <w:sz w:val="12"/>
          <w:szCs w:val="12"/>
          <w:color w:val="auto"/>
        </w:rPr>
        <w:t>The provision for credit losses is the amount of expense that, based on our judgment, is required to maintain the ACL at an appropriate level under the current expected credit losses model.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a breakdown of the components of the provision for credit losses: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32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2"/>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Provision for credit losses</w:t>
            </w:r>
          </w:p>
        </w:tc>
        <w:tc>
          <w:tcPr>
            <w:tcW w:w="14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w:t>
            </w:r>
          </w:p>
        </w:tc>
        <w:tc>
          <w:tcPr>
            <w:tcW w:w="1420" w:type="dxa"/>
            <w:vAlign w:val="bottom"/>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8"/>
              </w:rPr>
              <w:t>2,990</w:t>
            </w:r>
          </w:p>
        </w:tc>
        <w:tc>
          <w:tcPr>
            <w:tcW w:w="80" w:type="dxa"/>
            <w:vAlign w:val="bottom"/>
          </w:tcPr>
          <w:p>
            <w:pPr>
              <w:spacing w:after="0"/>
              <w:rPr>
                <w:sz w:val="14"/>
                <w:szCs w:val="14"/>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100" w:type="dxa"/>
            <w:vAlign w:val="bottom"/>
          </w:tcPr>
          <w:p>
            <w:pPr>
              <w:spacing w:after="0"/>
              <w:rPr>
                <w:sz w:val="14"/>
                <w:szCs w:val="14"/>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(1,310)</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2"/>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Off-balance-sheet credit exposure</w:t>
            </w:r>
          </w:p>
        </w:tc>
        <w:tc>
          <w:tcPr>
            <w:tcW w:w="14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63</w:t>
            </w:r>
          </w:p>
        </w:tc>
      </w:tr>
      <w:tr>
        <w:trPr>
          <w:trHeight w:val="158"/>
        </w:trPr>
        <w:tc>
          <w:tcPr>
            <w:tcW w:w="49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b w:val="1"/>
                <w:bCs w:val="1"/>
                <w:color w:val="auto"/>
              </w:rPr>
              <w:t>Total provision for credit losses</w:t>
            </w:r>
          </w:p>
        </w:tc>
        <w:tc>
          <w:tcPr>
            <w:tcW w:w="1420" w:type="dxa"/>
            <w:vAlign w:val="bottom"/>
            <w:tcBorders>
              <w:bottom w:val="single" w:sz="8" w:color="auto"/>
            </w:tcBorders>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8"/>
              </w:rPr>
              <w:t>2,975</w:t>
            </w:r>
          </w:p>
        </w:tc>
        <w:tc>
          <w:tcPr>
            <w:tcW w:w="80" w:type="dxa"/>
            <w:vAlign w:val="bottom"/>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4,260</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80" w:type="dxa"/>
            <w:vAlign w:val="bottom"/>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20"/>
        </w:trPr>
        <w:tc>
          <w:tcPr>
            <w:tcW w:w="49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quarter ended September 30, 2024, the "loans" portion of the provision for credit losses was the result of the following, offset by net charge-offs of $4.1 million during the quarter:</w:t>
      </w:r>
    </w:p>
    <w:p>
      <w:pPr>
        <w:spacing w:after="0" w:line="31" w:lineRule="exact"/>
        <w:rPr>
          <w:sz w:val="20"/>
          <w:szCs w:val="20"/>
          <w:color w:val="auto"/>
        </w:rPr>
      </w:pPr>
    </w:p>
    <w:p>
      <w:pPr>
        <w:ind w:left="260" w:hanging="191"/>
        <w:spacing w:after="0"/>
        <w:tabs>
          <w:tab w:leader="none" w:pos="2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$0.4 million benefit driven by changes in the loan mix.</w:t>
      </w:r>
    </w:p>
    <w:p>
      <w:pPr>
        <w:spacing w:after="0" w:line="13" w:lineRule="exact"/>
        <w:rPr>
          <w:rFonts w:ascii="Times New Roman" w:cs="Times New Roman" w:eastAsia="Times New Roman" w:hAnsi="Times New Roman"/>
          <w:sz w:val="13"/>
          <w:szCs w:val="13"/>
          <w:color w:val="auto"/>
        </w:rPr>
      </w:pPr>
    </w:p>
    <w:p>
      <w:pPr>
        <w:ind w:left="260" w:hanging="191"/>
        <w:spacing w:after="0" w:line="246" w:lineRule="auto"/>
        <w:tabs>
          <w:tab w:leader="none" w:pos="25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 million provision due to changes in the projected economic forecast, specifically the national unemployment rate, and changes in qualitative adjustments. Included in this change was the addition of a $2.2 million qualitative allocation for the potential impact of Hurricane Helene upon our loan portfolio.</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 million decrease in specific reserves on individually evaluated loans as we charged-off specific reserves which had previously been established.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quarter ended June 30, 2024, the "loans" portion of the provision for credit losses was the result of the following, in addition to net charge-offs of $2.6 million during the quarter:</w:t>
      </w:r>
    </w:p>
    <w:p>
      <w:pPr>
        <w:spacing w:after="0" w:line="31" w:lineRule="exact"/>
        <w:rPr>
          <w:sz w:val="20"/>
          <w:szCs w:val="20"/>
          <w:color w:val="auto"/>
        </w:rPr>
      </w:pPr>
    </w:p>
    <w:p>
      <w:pPr>
        <w:ind w:left="260" w:hanging="191"/>
        <w:spacing w:after="0"/>
        <w:tabs>
          <w:tab w:leader="none" w:pos="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$0.1 million provision driven by changes in the loan mix.</w:t>
      </w:r>
    </w:p>
    <w:p>
      <w:pPr>
        <w:spacing w:after="0" w:line="13"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$0.4 million benefit due to changes in the projected economic forecast and changes in qualitative adjustments.</w:t>
      </w:r>
    </w:p>
    <w:p>
      <w:pPr>
        <w:spacing w:after="0" w:line="1" w:lineRule="exact"/>
        <w:rPr>
          <w:rFonts w:ascii="Times New Roman" w:cs="Times New Roman" w:eastAsia="Times New Roman" w:hAnsi="Times New Roman"/>
          <w:sz w:val="13"/>
          <w:szCs w:val="13"/>
          <w:color w:val="auto"/>
        </w:rPr>
      </w:pPr>
    </w:p>
    <w:p>
      <w:pPr>
        <w:ind w:left="260" w:hanging="191"/>
        <w:spacing w:after="0" w:line="253" w:lineRule="auto"/>
        <w:tabs>
          <w:tab w:leader="none" w:pos="25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 million increase in specific reserves on individually evaluated loans which was proportional to the increase in the associated loan balances which increased from $8.3 million to $16.3 million quarter-over-quarter, concentrated in the equipment finance and SBA portfolios.</w:t>
      </w:r>
    </w:p>
    <w:p>
      <w:pPr>
        <w:spacing w:after="0" w:line="3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For the quarters ended September 30, 2024 and June 30, 2024, the amounts recorded for off-balance-sheet credit exposure were the result of changes in the balance of loan commitments, loan mix and projected economic forecast as outlined above.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9" w:name="page40"/>
    <w:bookmarkEnd w:id="39"/>
    <w:p>
      <w:pPr>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Noninterest Income. </w:t>
      </w:r>
      <w:r>
        <w:rPr>
          <w:rFonts w:ascii="Times New Roman" w:cs="Times New Roman" w:eastAsia="Times New Roman" w:hAnsi="Times New Roman"/>
          <w:sz w:val="13"/>
          <w:szCs w:val="13"/>
          <w:color w:val="auto"/>
        </w:rPr>
        <w:t>Noninterest income for the three months ended September 30, 2024 increased $169,000, or 2.1%, when compared to the quarter ended June 30, 2024. Changes in the components of noninterest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income are discussed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32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2"/>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14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Service charges and fees on deposit accounts</w:t>
            </w:r>
          </w:p>
        </w:tc>
        <w:tc>
          <w:tcPr>
            <w:tcW w:w="1420" w:type="dxa"/>
            <w:vAlign w:val="bottom"/>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8"/>
              </w:rPr>
              <w:t>2,336</w:t>
            </w:r>
          </w:p>
        </w:tc>
        <w:tc>
          <w:tcPr>
            <w:tcW w:w="80" w:type="dxa"/>
            <w:vAlign w:val="bottom"/>
          </w:tcPr>
          <w:p>
            <w:pPr>
              <w:spacing w:after="0"/>
              <w:rPr>
                <w:sz w:val="14"/>
                <w:szCs w:val="14"/>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100" w:type="dxa"/>
            <w:vAlign w:val="bottom"/>
          </w:tcPr>
          <w:p>
            <w:pPr>
              <w:spacing w:after="0"/>
              <w:rPr>
                <w:sz w:val="14"/>
                <w:szCs w:val="14"/>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320" w:type="dxa"/>
            <w:vAlign w:val="bottom"/>
          </w:tcPr>
          <w:p>
            <w:pPr>
              <w:ind w:left="1040"/>
              <w:spacing w:after="0"/>
              <w:rPr>
                <w:sz w:val="20"/>
                <w:szCs w:val="20"/>
                <w:color w:val="auto"/>
              </w:rPr>
            </w:pPr>
            <w:r>
              <w:rPr>
                <w:rFonts w:ascii="Times New Roman" w:cs="Times New Roman" w:eastAsia="Times New Roman" w:hAnsi="Times New Roman"/>
                <w:sz w:val="13"/>
                <w:szCs w:val="13"/>
                <w:color w:val="auto"/>
                <w:w w:val="99"/>
              </w:rPr>
              <w:t>(1)%</w:t>
            </w:r>
          </w:p>
        </w:tc>
      </w:tr>
      <w:tr>
        <w:trPr>
          <w:trHeight w:val="172"/>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 income and fees</w:t>
            </w:r>
          </w:p>
        </w:tc>
        <w:tc>
          <w:tcPr>
            <w:tcW w:w="14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Gain on sale of loans held for sale</w:t>
            </w:r>
          </w:p>
        </w:tc>
        <w:tc>
          <w:tcPr>
            <w:tcW w:w="1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8"/>
              </w:rPr>
              <w:t>1,900</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4"/>
                <w:szCs w:val="14"/>
                <w:color w:val="auto"/>
              </w:rPr>
            </w:pPr>
          </w:p>
        </w:tc>
        <w:tc>
          <w:tcPr>
            <w:tcW w:w="132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BOLI income</w:t>
            </w:r>
          </w:p>
        </w:tc>
        <w:tc>
          <w:tcPr>
            <w:tcW w:w="14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lease income</w:t>
            </w:r>
          </w:p>
        </w:tc>
        <w:tc>
          <w:tcPr>
            <w:tcW w:w="1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8"/>
              </w:rPr>
              <w:t>1,637</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132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3</w:t>
            </w:r>
          </w:p>
        </w:tc>
      </w:tr>
      <w:tr>
        <w:trPr>
          <w:trHeight w:val="170"/>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14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49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noninterest income</w:t>
            </w:r>
          </w:p>
        </w:tc>
        <w:tc>
          <w:tcPr>
            <w:tcW w:w="1420" w:type="dxa"/>
            <w:vAlign w:val="bottom"/>
            <w:tcBorders>
              <w:bottom w:val="single" w:sz="8" w:color="auto"/>
            </w:tcBorders>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8"/>
              </w:rPr>
              <w:t>8,282</w:t>
            </w:r>
          </w:p>
        </w:tc>
        <w:tc>
          <w:tcPr>
            <w:tcW w:w="80" w:type="dxa"/>
            <w:vAlign w:val="bottom"/>
          </w:tcPr>
          <w:p>
            <w:pPr>
              <w:spacing w:after="0"/>
              <w:rPr>
                <w:sz w:val="14"/>
                <w:szCs w:val="14"/>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8,113</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tcPr>
          <w:p>
            <w:pPr>
              <w:spacing w:after="0"/>
              <w:rPr>
                <w:sz w:val="14"/>
                <w:szCs w:val="14"/>
                <w:color w:val="auto"/>
              </w:rPr>
            </w:pPr>
          </w:p>
        </w:tc>
        <w:tc>
          <w:tcPr>
            <w:tcW w:w="13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3"/>
                <w:szCs w:val="13"/>
                <w:color w:val="auto"/>
                <w:w w:val="96"/>
              </w:rPr>
              <w:t>2 %</w:t>
            </w:r>
          </w:p>
        </w:tc>
      </w:tr>
      <w:tr>
        <w:trPr>
          <w:trHeight w:val="20"/>
        </w:trPr>
        <w:tc>
          <w:tcPr>
            <w:tcW w:w="49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jc w:val="both"/>
        <w:ind w:left="260" w:hanging="191"/>
        <w:spacing w:after="0" w:line="249" w:lineRule="auto"/>
        <w:tabs>
          <w:tab w:leader="none" w:pos="251" w:val="left"/>
        </w:tabs>
        <w:numPr>
          <w:ilvl w:val="0"/>
          <w:numId w:val="2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i w:val="1"/>
          <w:iCs w:val="1"/>
          <w:color w:val="auto"/>
        </w:rPr>
        <w:t xml:space="preserve">Gain on sale of loans held for sale: </w:t>
      </w:r>
      <w:r>
        <w:rPr>
          <w:rFonts w:ascii="Times New Roman" w:cs="Times New Roman" w:eastAsia="Times New Roman" w:hAnsi="Times New Roman"/>
          <w:sz w:val="13"/>
          <w:szCs w:val="13"/>
          <w:color w:val="auto"/>
        </w:rPr>
        <w:t>The increase was primarily driven by residential mortgage loans sold during the period. There were $21.7 million of residential mortgage loans originated for sale which were sold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during the current quarter with gains of $479,000 compared to $21.3 million sold with gains of $351,000 in the prior quarter, with the improvement in profitability due to movement in interest rates. There were $54.6 million of HELOCs sold for a gain of $414,000 compared to $32.9 million sold with gains of $457,000 in the prior quarter. There were $12.9 million in sales of the guaranteed portion of SBA commercial loans with gains of $1.0 million for the quarter compared to $12.7 million sold and gains of $1.1 million for the prior quarter. Our hedging of mandatory commitments on the residential mortgage loan pipeline resulted in a gain of $18,000 for the quarter ended September 30, 2024 versus a loss of $58,000 for the quarter ended June 30, 2024.</w:t>
      </w:r>
    </w:p>
    <w:p>
      <w:pPr>
        <w:spacing w:after="0" w:line="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Noninterest Expense. </w:t>
      </w:r>
      <w:r>
        <w:rPr>
          <w:rFonts w:ascii="Times New Roman" w:cs="Times New Roman" w:eastAsia="Times New Roman" w:hAnsi="Times New Roman"/>
          <w:sz w:val="13"/>
          <w:szCs w:val="13"/>
          <w:color w:val="auto"/>
        </w:rPr>
        <w:t>Noninterest expense for the three months ended September 30, 2024 increased $375,000, or 1.2%, when compared to the three months ended June 30, 2024. Changes in the components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noninterest expense are discussed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3"/>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32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2"/>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2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17,082</w:t>
            </w:r>
          </w:p>
        </w:tc>
        <w:tc>
          <w:tcPr>
            <w:tcW w:w="80" w:type="dxa"/>
            <w:vAlign w:val="bottom"/>
          </w:tcPr>
          <w:p>
            <w:pPr>
              <w:spacing w:after="0"/>
              <w:rPr>
                <w:sz w:val="14"/>
                <w:szCs w:val="14"/>
                <w:color w:val="auto"/>
              </w:rPr>
            </w:pPr>
          </w:p>
        </w:tc>
        <w:tc>
          <w:tcPr>
            <w:tcW w:w="1300" w:type="dxa"/>
            <w:vAlign w:val="bottom"/>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16,608</w:t>
            </w:r>
          </w:p>
        </w:tc>
        <w:tc>
          <w:tcPr>
            <w:tcW w:w="100" w:type="dxa"/>
            <w:vAlign w:val="bottom"/>
          </w:tcPr>
          <w:p>
            <w:pPr>
              <w:spacing w:after="0"/>
              <w:rPr>
                <w:sz w:val="14"/>
                <w:szCs w:val="14"/>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172"/>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Occupancy expense, net</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2,436</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Computer services</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Telephone, postage and supplies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Marketing and advertising</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8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(33)</w:t>
            </w:r>
          </w:p>
        </w:tc>
      </w:tr>
      <w:tr>
        <w:trPr>
          <w:trHeight w:val="172"/>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Deposit insurance premiums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Core deposit intangible amortization</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5,764</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5,783</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9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noninterest expense</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30,585</w:t>
            </w:r>
          </w:p>
        </w:tc>
        <w:tc>
          <w:tcPr>
            <w:tcW w:w="80" w:type="dxa"/>
            <w:vAlign w:val="bottom"/>
          </w:tcPr>
          <w:p>
            <w:pPr>
              <w:spacing w:after="0"/>
              <w:rPr>
                <w:sz w:val="14"/>
                <w:szCs w:val="14"/>
                <w:color w:val="auto"/>
              </w:rPr>
            </w:pPr>
          </w:p>
        </w:tc>
        <w:tc>
          <w:tcPr>
            <w:tcW w:w="1300" w:type="dxa"/>
            <w:vAlign w:val="bottom"/>
            <w:tcBorders>
              <w:bottom w:val="single" w:sz="8" w:color="auto"/>
            </w:tcBorders>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30,210</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260" w:hanging="191"/>
        <w:spacing w:after="0" w:line="253" w:lineRule="auto"/>
        <w:tabs>
          <w:tab w:leader="none" w:pos="251"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Salaries and employee benefits: </w:t>
      </w:r>
      <w:r>
        <w:rPr>
          <w:rFonts w:ascii="Times New Roman" w:cs="Times New Roman" w:eastAsia="Times New Roman" w:hAnsi="Times New Roman"/>
          <w:sz w:val="13"/>
          <w:szCs w:val="13"/>
          <w:color w:val="auto"/>
        </w:rPr>
        <w:t>The quarter-over-quarter increase was primarily the result of executive pay increases effective this quarter and additional stock incentive expense associated with the vesting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performance-based equity awards.</w:t>
      </w:r>
    </w:p>
    <w:p>
      <w:pPr>
        <w:ind w:left="260" w:hanging="191"/>
        <w:spacing w:after="0" w:line="253" w:lineRule="auto"/>
        <w:tabs>
          <w:tab w:leader="none" w:pos="251" w:val="left"/>
        </w:tabs>
        <w:numPr>
          <w:ilvl w:val="0"/>
          <w:numId w:val="26"/>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i w:val="1"/>
          <w:iCs w:val="1"/>
          <w:color w:val="auto"/>
        </w:rPr>
        <w:t xml:space="preserve">Marketing and advertising: </w:t>
      </w:r>
      <w:r>
        <w:rPr>
          <w:rFonts w:ascii="Times New Roman" w:cs="Times New Roman" w:eastAsia="Times New Roman" w:hAnsi="Times New Roman"/>
          <w:sz w:val="13"/>
          <w:szCs w:val="13"/>
          <w:color w:val="auto"/>
        </w:rPr>
        <w:t>The decrease in expense was the result of both differences in the timing of when expenses were incurred quarter-over-quarter as well as a reduction in traditional media advertising (print,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billboards, etc.) in favor of digital platforms at lower costs.</w:t>
      </w:r>
    </w:p>
    <w:p>
      <w:pPr>
        <w:spacing w:after="0" w:line="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Income Taxes. </w:t>
      </w:r>
      <w:r>
        <w:rPr>
          <w:rFonts w:ascii="Times New Roman" w:cs="Times New Roman" w:eastAsia="Times New Roman" w:hAnsi="Times New Roman"/>
          <w:sz w:val="13"/>
          <w:szCs w:val="13"/>
          <w:color w:val="auto"/>
        </w:rPr>
        <w:t>The amount of income tax expense is influenced by the amount of pre-tax income, tax-exempt income, changes in the statutory rate and the effect of changes in valuation allowances maintained against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deferred tax benefits. The effective tax rates for the three months ended September 30, 2024 and June 30, 2024 were 21.9% and 21.4%,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Comparison of Results of Operations for the Nine Months Ended September 30, 2024 and September 30, 2023</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 xml:space="preserve">Net Income. </w:t>
      </w:r>
      <w:r>
        <w:rPr>
          <w:rFonts w:ascii="Times New Roman" w:cs="Times New Roman" w:eastAsia="Times New Roman" w:hAnsi="Times New Roman"/>
          <w:sz w:val="13"/>
          <w:szCs w:val="13"/>
          <w:color w:val="auto"/>
        </w:rPr>
        <w:t>Net income totaled $40.6 million, or $2.37 per diluted share, for the nine months ended September 30, 2024 compared to $36.6 million, or $2.18 per diluted share, for the nine months ended September 30,</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2023, an increase of $4.0 million, or 11.0%. The results for the nine months ended September 30, 2024 were positively impacted by a decrease of $3.3 million in the provision for credit losses, a $1.4 million increase in noninterest income, and a $2.6 million decrease in noninterest expense, partially offset by a $2.0 million decrease in net interest income and a $1.3 million increase in income tax expense. Details of the changes in the various components of net income are further discussed below.</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40" w:name="page41"/>
    <w:bookmarkEnd w:id="40"/>
    <w:p>
      <w:pPr>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Net Interest Income. </w:t>
      </w:r>
      <w:r>
        <w:rPr>
          <w:rFonts w:ascii="Times New Roman" w:cs="Times New Roman" w:eastAsia="Times New Roman" w:hAnsi="Times New Roman"/>
          <w:sz w:val="13"/>
          <w:szCs w:val="13"/>
          <w:color w:val="auto"/>
        </w:rPr>
        <w:t>The following table presents the distribution of average assets, liabilities and equity, as well as interest income earned on average interest-earning assets and interest expense paid on average interest-bearing liabilities. All average balances are daily average balances. Nonaccruing loans have been included in the table as loans carrying a zero yield.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September 30, 2024</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September 30, 2023</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00" w:type="dxa"/>
            <w:vAlign w:val="bottom"/>
          </w:tcPr>
          <w:p>
            <w:pPr>
              <w:spacing w:after="0"/>
              <w:rPr>
                <w:sz w:val="10"/>
                <w:szCs w:val="10"/>
                <w:color w:val="auto"/>
              </w:rPr>
            </w:pPr>
          </w:p>
        </w:tc>
        <w:tc>
          <w:tcPr>
            <w:tcW w:w="900" w:type="dxa"/>
            <w:vAlign w:val="bottom"/>
          </w:tcPr>
          <w:p>
            <w:pPr>
              <w:jc w:val="center"/>
              <w:ind w:right="136"/>
              <w:spacing w:after="0" w:line="11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0"/>
                <w:szCs w:val="10"/>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Yield /</w:t>
            </w:r>
          </w:p>
        </w:tc>
        <w:tc>
          <w:tcPr>
            <w:tcW w:w="18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00" w:type="dxa"/>
            <w:vAlign w:val="bottom"/>
          </w:tcPr>
          <w:p>
            <w:pPr>
              <w:spacing w:after="0"/>
              <w:rPr>
                <w:sz w:val="10"/>
                <w:szCs w:val="10"/>
                <w:color w:val="auto"/>
              </w:rPr>
            </w:pPr>
          </w:p>
        </w:tc>
        <w:tc>
          <w:tcPr>
            <w:tcW w:w="920" w:type="dxa"/>
            <w:vAlign w:val="bottom"/>
          </w:tcPr>
          <w:p>
            <w:pPr>
              <w:jc w:val="center"/>
              <w:ind w:right="116"/>
              <w:spacing w:after="0" w:line="11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Yield /</w:t>
            </w:r>
          </w:p>
        </w:tc>
        <w:tc>
          <w:tcPr>
            <w:tcW w:w="0" w:type="dxa"/>
            <w:vAlign w:val="bottom"/>
          </w:tcPr>
          <w:p>
            <w:pPr>
              <w:spacing w:after="0"/>
              <w:rPr>
                <w:sz w:val="1"/>
                <w:szCs w:val="1"/>
                <w:color w:val="auto"/>
              </w:rPr>
            </w:pPr>
          </w:p>
        </w:tc>
      </w:tr>
      <w:tr>
        <w:trPr>
          <w:trHeight w:val="127"/>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9"/>
              </w:rPr>
              <w:t>Balance</w:t>
            </w:r>
          </w:p>
        </w:tc>
        <w:tc>
          <w:tcPr>
            <w:tcW w:w="200" w:type="dxa"/>
            <w:vAlign w:val="bottom"/>
          </w:tcPr>
          <w:p>
            <w:pPr>
              <w:spacing w:after="0"/>
              <w:rPr>
                <w:sz w:val="11"/>
                <w:szCs w:val="11"/>
                <w:color w:val="auto"/>
              </w:rPr>
            </w:pPr>
          </w:p>
        </w:tc>
        <w:tc>
          <w:tcPr>
            <w:tcW w:w="900" w:type="dxa"/>
            <w:vAlign w:val="bottom"/>
          </w:tcPr>
          <w:p>
            <w:pPr>
              <w:jc w:val="center"/>
              <w:ind w:right="116"/>
              <w:spacing w:after="0" w:line="128" w:lineRule="exact"/>
              <w:rPr>
                <w:sz w:val="20"/>
                <w:szCs w:val="20"/>
                <w:color w:val="auto"/>
              </w:rPr>
            </w:pPr>
            <w:r>
              <w:rPr>
                <w:rFonts w:ascii="Times New Roman" w:cs="Times New Roman" w:eastAsia="Times New Roman" w:hAnsi="Times New Roman"/>
                <w:sz w:val="13"/>
                <w:szCs w:val="13"/>
                <w:b w:val="1"/>
                <w:bCs w:val="1"/>
                <w:color w:val="auto"/>
                <w:w w:val="99"/>
              </w:rPr>
              <w:t>Earned /</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Balance</w:t>
            </w:r>
          </w:p>
        </w:tc>
        <w:tc>
          <w:tcPr>
            <w:tcW w:w="200" w:type="dxa"/>
            <w:vAlign w:val="bottom"/>
          </w:tcPr>
          <w:p>
            <w:pPr>
              <w:spacing w:after="0"/>
              <w:rPr>
                <w:sz w:val="11"/>
                <w:szCs w:val="11"/>
                <w:color w:val="auto"/>
              </w:rPr>
            </w:pPr>
          </w:p>
        </w:tc>
        <w:tc>
          <w:tcPr>
            <w:tcW w:w="920" w:type="dxa"/>
            <w:vAlign w:val="bottom"/>
          </w:tcPr>
          <w:p>
            <w:pPr>
              <w:jc w:val="center"/>
              <w:ind w:right="136"/>
              <w:spacing w:after="0" w:line="128" w:lineRule="exact"/>
              <w:rPr>
                <w:sz w:val="20"/>
                <w:szCs w:val="20"/>
                <w:color w:val="auto"/>
              </w:rPr>
            </w:pPr>
            <w:r>
              <w:rPr>
                <w:rFonts w:ascii="Times New Roman" w:cs="Times New Roman" w:eastAsia="Times New Roman" w:hAnsi="Times New Roman"/>
                <w:sz w:val="13"/>
                <w:szCs w:val="13"/>
                <w:b w:val="1"/>
                <w:bCs w:val="1"/>
                <w:color w:val="auto"/>
                <w:w w:val="99"/>
              </w:rPr>
              <w:t>Earned /</w:t>
            </w: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4"/>
                <w:szCs w:val="14"/>
                <w:color w:val="auto"/>
              </w:rPr>
            </w:pPr>
          </w:p>
        </w:tc>
        <w:tc>
          <w:tcPr>
            <w:tcW w:w="90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10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4"/>
                <w:szCs w:val="14"/>
                <w:color w:val="auto"/>
              </w:rPr>
            </w:pPr>
          </w:p>
        </w:tc>
        <w:tc>
          <w:tcPr>
            <w:tcW w:w="92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0" w:type="dxa"/>
            <w:vAlign w:val="bottom"/>
          </w:tcPr>
          <w:p>
            <w:pPr>
              <w:spacing w:after="0"/>
              <w:rPr>
                <w:sz w:val="1"/>
                <w:szCs w:val="1"/>
                <w:color w:val="auto"/>
              </w:rPr>
            </w:pPr>
          </w:p>
        </w:tc>
      </w:tr>
      <w:tr>
        <w:trPr>
          <w:trHeight w:val="151"/>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Interest-earning assets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Loans receivable</w:t>
            </w:r>
            <w:r>
              <w:rPr>
                <w:rFonts w:ascii="Times New Roman" w:cs="Times New Roman" w:eastAsia="Times New Roman" w:hAnsi="Times New Roman"/>
                <w:sz w:val="16"/>
                <w:szCs w:val="16"/>
                <w:color w:val="auto"/>
                <w:vertAlign w:val="superscript"/>
              </w:rPr>
              <w:t>(1)</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3,883,040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185,418</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6.38 %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3,684,518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162,526</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5.90 %</w:t>
            </w:r>
          </w:p>
        </w:tc>
        <w:tc>
          <w:tcPr>
            <w:tcW w:w="0" w:type="dxa"/>
            <w:vAlign w:val="bottom"/>
          </w:tcPr>
          <w:p>
            <w:pPr>
              <w:spacing w:after="0"/>
              <w:rPr>
                <w:sz w:val="1"/>
                <w:szCs w:val="1"/>
                <w:color w:val="auto"/>
              </w:rPr>
            </w:pPr>
          </w:p>
        </w:tc>
      </w:tr>
      <w:tr>
        <w:trPr>
          <w:trHeight w:val="168"/>
        </w:trPr>
        <w:tc>
          <w:tcPr>
            <w:tcW w:w="3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w:t>
            </w:r>
          </w:p>
        </w:tc>
        <w:tc>
          <w:tcPr>
            <w:tcW w:w="18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133,779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4,424</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155,884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3,780</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3.24</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Other interest-earning assets</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138,956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5,576</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5.36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137,065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5,356</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5.22</w:t>
            </w:r>
          </w:p>
        </w:tc>
        <w:tc>
          <w:tcPr>
            <w:tcW w:w="0" w:type="dxa"/>
            <w:vAlign w:val="bottom"/>
          </w:tcPr>
          <w:p>
            <w:pPr>
              <w:spacing w:after="0"/>
              <w:rPr>
                <w:sz w:val="1"/>
                <w:szCs w:val="1"/>
                <w:color w:val="auto"/>
              </w:rPr>
            </w:pPr>
          </w:p>
        </w:tc>
      </w:tr>
      <w:tr>
        <w:trPr>
          <w:trHeight w:val="158"/>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interest-earning assets</w:t>
            </w:r>
          </w:p>
        </w:tc>
        <w:tc>
          <w:tcPr>
            <w:tcW w:w="18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CCEEFF"/>
            </w:tcBorders>
          </w:tcPr>
          <w:p>
            <w:pPr>
              <w:jc w:val="right"/>
              <w:ind w:right="16"/>
              <w:spacing w:after="0"/>
              <w:rPr>
                <w:sz w:val="20"/>
                <w:szCs w:val="20"/>
                <w:color w:val="auto"/>
              </w:rPr>
            </w:pPr>
            <w:r>
              <w:rPr>
                <w:rFonts w:ascii="Times New Roman" w:cs="Times New Roman" w:eastAsia="Times New Roman" w:hAnsi="Times New Roman"/>
                <w:sz w:val="13"/>
                <w:szCs w:val="13"/>
                <w:color w:val="auto"/>
              </w:rPr>
              <w:t>4,155,775</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195,418</w:t>
            </w:r>
          </w:p>
        </w:tc>
        <w:tc>
          <w:tcPr>
            <w:tcW w:w="100" w:type="dxa"/>
            <w:vAlign w:val="bottom"/>
            <w:tcBorders>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6.28</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CCEEFF"/>
            </w:tcBorders>
          </w:tcPr>
          <w:p>
            <w:pPr>
              <w:jc w:val="right"/>
              <w:ind w:right="36"/>
              <w:spacing w:after="0"/>
              <w:rPr>
                <w:sz w:val="20"/>
                <w:szCs w:val="20"/>
                <w:color w:val="auto"/>
              </w:rPr>
            </w:pPr>
            <w:r>
              <w:rPr>
                <w:rFonts w:ascii="Times New Roman" w:cs="Times New Roman" w:eastAsia="Times New Roman" w:hAnsi="Times New Roman"/>
                <w:sz w:val="13"/>
                <w:szCs w:val="13"/>
                <w:color w:val="auto"/>
              </w:rPr>
              <w:t>3,977,467</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171,662</w:t>
            </w:r>
          </w:p>
        </w:tc>
        <w:tc>
          <w:tcPr>
            <w:tcW w:w="100" w:type="dxa"/>
            <w:vAlign w:val="bottom"/>
            <w:tcBorders>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5.77</w:t>
            </w:r>
          </w:p>
        </w:tc>
        <w:tc>
          <w:tcPr>
            <w:tcW w:w="0" w:type="dxa"/>
            <w:vAlign w:val="bottom"/>
          </w:tcPr>
          <w:p>
            <w:pPr>
              <w:spacing w:after="0"/>
              <w:rPr>
                <w:sz w:val="1"/>
                <w:szCs w:val="1"/>
                <w:color w:val="auto"/>
              </w:rPr>
            </w:pPr>
          </w:p>
        </w:tc>
      </w:tr>
      <w:tr>
        <w:trPr>
          <w:trHeight w:val="150"/>
        </w:trPr>
        <w:tc>
          <w:tcPr>
            <w:tcW w:w="37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6"/>
              <w:spacing w:after="0" w:line="147" w:lineRule="exact"/>
              <w:rPr>
                <w:sz w:val="20"/>
                <w:szCs w:val="20"/>
                <w:color w:val="auto"/>
              </w:rPr>
            </w:pPr>
            <w:r>
              <w:rPr>
                <w:rFonts w:ascii="Times New Roman" w:cs="Times New Roman" w:eastAsia="Times New Roman" w:hAnsi="Times New Roman"/>
                <w:sz w:val="13"/>
                <w:szCs w:val="13"/>
                <w:color w:val="auto"/>
              </w:rPr>
              <w:t>276,516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6"/>
              <w:spacing w:after="0" w:line="147" w:lineRule="exact"/>
              <w:rPr>
                <w:sz w:val="20"/>
                <w:szCs w:val="20"/>
                <w:color w:val="auto"/>
              </w:rPr>
            </w:pPr>
            <w:r>
              <w:rPr>
                <w:rFonts w:ascii="Times New Roman" w:cs="Times New Roman" w:eastAsia="Times New Roman" w:hAnsi="Times New Roman"/>
                <w:sz w:val="13"/>
                <w:szCs w:val="13"/>
                <w:color w:val="auto"/>
              </w:rPr>
              <w:t>266,867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7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4,432,291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4,244,334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7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Interest-bearing liabilities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Interest-bearing checking accounts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574,954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0.96 %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627,200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3,241</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0.69 %</w:t>
            </w:r>
          </w:p>
        </w:tc>
        <w:tc>
          <w:tcPr>
            <w:tcW w:w="0" w:type="dxa"/>
            <w:vAlign w:val="bottom"/>
          </w:tcPr>
          <w:p>
            <w:pPr>
              <w:spacing w:after="0"/>
              <w:rPr>
                <w:sz w:val="1"/>
                <w:szCs w:val="1"/>
                <w:color w:val="auto"/>
              </w:rPr>
            </w:pPr>
          </w:p>
        </w:tc>
      </w:tr>
      <w:tr>
        <w:trPr>
          <w:trHeight w:val="168"/>
        </w:trPr>
        <w:tc>
          <w:tcPr>
            <w:tcW w:w="3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Money market accounts</w:t>
            </w:r>
          </w:p>
        </w:tc>
        <w:tc>
          <w:tcPr>
            <w:tcW w:w="18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1,305,217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30,642</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1,206,119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18,604</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Savings accounts</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187,447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0.09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218,683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168"/>
        </w:trPr>
        <w:tc>
          <w:tcPr>
            <w:tcW w:w="3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Certificate accounts</w:t>
            </w:r>
          </w:p>
        </w:tc>
        <w:tc>
          <w:tcPr>
            <w:tcW w:w="18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934,702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30,778</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649,755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14,967</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3.08</w:t>
            </w:r>
          </w:p>
        </w:tc>
        <w:tc>
          <w:tcPr>
            <w:tcW w:w="0" w:type="dxa"/>
            <w:vAlign w:val="bottom"/>
          </w:tcPr>
          <w:p>
            <w:pPr>
              <w:spacing w:after="0"/>
              <w:rPr>
                <w:sz w:val="1"/>
                <w:szCs w:val="1"/>
                <w:color w:val="auto"/>
              </w:rPr>
            </w:pPr>
          </w:p>
        </w:tc>
      </w:tr>
      <w:tr>
        <w:trPr>
          <w:trHeight w:val="163"/>
        </w:trPr>
        <w:tc>
          <w:tcPr>
            <w:tcW w:w="37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interest-bearing deposits</w:t>
            </w: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3,002,320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65,693</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2,701,757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36,955</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1.83</w:t>
            </w:r>
          </w:p>
        </w:tc>
        <w:tc>
          <w:tcPr>
            <w:tcW w:w="0" w:type="dxa"/>
            <w:vAlign w:val="bottom"/>
          </w:tcPr>
          <w:p>
            <w:pPr>
              <w:spacing w:after="0"/>
              <w:rPr>
                <w:sz w:val="1"/>
                <w:szCs w:val="1"/>
                <w:color w:val="auto"/>
              </w:rPr>
            </w:pPr>
          </w:p>
        </w:tc>
      </w:tr>
      <w:tr>
        <w:trPr>
          <w:trHeight w:val="168"/>
        </w:trPr>
        <w:tc>
          <w:tcPr>
            <w:tcW w:w="3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18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10,054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9.37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8,428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8.93</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76,823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6.17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158,965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6,634</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5.58</w:t>
            </w:r>
          </w:p>
        </w:tc>
        <w:tc>
          <w:tcPr>
            <w:tcW w:w="0" w:type="dxa"/>
            <w:vAlign w:val="bottom"/>
          </w:tcPr>
          <w:p>
            <w:pPr>
              <w:spacing w:after="0"/>
              <w:rPr>
                <w:sz w:val="1"/>
                <w:szCs w:val="1"/>
                <w:color w:val="auto"/>
              </w:rPr>
            </w:pPr>
          </w:p>
        </w:tc>
      </w:tr>
      <w:tr>
        <w:trPr>
          <w:trHeight w:val="158"/>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interest-bearing liabilities</w:t>
            </w:r>
          </w:p>
        </w:tc>
        <w:tc>
          <w:tcPr>
            <w:tcW w:w="18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CCEEFF"/>
            </w:tcBorders>
          </w:tcPr>
          <w:p>
            <w:pPr>
              <w:jc w:val="right"/>
              <w:ind w:right="16"/>
              <w:spacing w:after="0"/>
              <w:rPr>
                <w:sz w:val="20"/>
                <w:szCs w:val="20"/>
                <w:color w:val="auto"/>
              </w:rPr>
            </w:pPr>
            <w:r>
              <w:rPr>
                <w:rFonts w:ascii="Times New Roman" w:cs="Times New Roman" w:eastAsia="Times New Roman" w:hAnsi="Times New Roman"/>
                <w:sz w:val="13"/>
                <w:szCs w:val="13"/>
                <w:color w:val="auto"/>
              </w:rPr>
              <w:t>3,089,197</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69,948</w:t>
            </w:r>
          </w:p>
        </w:tc>
        <w:tc>
          <w:tcPr>
            <w:tcW w:w="100" w:type="dxa"/>
            <w:vAlign w:val="bottom"/>
            <w:tcBorders>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CCEEFF"/>
            </w:tcBorders>
          </w:tcPr>
          <w:p>
            <w:pPr>
              <w:jc w:val="right"/>
              <w:ind w:right="36"/>
              <w:spacing w:after="0"/>
              <w:rPr>
                <w:sz w:val="20"/>
                <w:szCs w:val="20"/>
                <w:color w:val="auto"/>
              </w:rPr>
            </w:pPr>
            <w:r>
              <w:rPr>
                <w:rFonts w:ascii="Times New Roman" w:cs="Times New Roman" w:eastAsia="Times New Roman" w:hAnsi="Times New Roman"/>
                <w:sz w:val="13"/>
                <w:szCs w:val="13"/>
                <w:color w:val="auto"/>
              </w:rPr>
              <w:t>2,869,150</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44,152</w:t>
            </w:r>
          </w:p>
        </w:tc>
        <w:tc>
          <w:tcPr>
            <w:tcW w:w="100" w:type="dxa"/>
            <w:vAlign w:val="bottom"/>
            <w:tcBorders>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52"/>
        </w:trPr>
        <w:tc>
          <w:tcPr>
            <w:tcW w:w="37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Noninterest-bearing deposits</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6"/>
              <w:spacing w:after="0" w:line="147" w:lineRule="exact"/>
              <w:rPr>
                <w:sz w:val="20"/>
                <w:szCs w:val="20"/>
                <w:color w:val="auto"/>
              </w:rPr>
            </w:pPr>
            <w:r>
              <w:rPr>
                <w:rFonts w:ascii="Times New Roman" w:cs="Times New Roman" w:eastAsia="Times New Roman" w:hAnsi="Times New Roman"/>
                <w:sz w:val="13"/>
                <w:szCs w:val="13"/>
                <w:color w:val="auto"/>
              </w:rPr>
              <w:t>766,110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6"/>
              <w:spacing w:after="0" w:line="147" w:lineRule="exact"/>
              <w:rPr>
                <w:sz w:val="20"/>
                <w:szCs w:val="20"/>
                <w:color w:val="auto"/>
              </w:rPr>
            </w:pPr>
            <w:r>
              <w:rPr>
                <w:rFonts w:ascii="Times New Roman" w:cs="Times New Roman" w:eastAsia="Times New Roman" w:hAnsi="Times New Roman"/>
                <w:sz w:val="13"/>
                <w:szCs w:val="13"/>
                <w:color w:val="auto"/>
              </w:rPr>
              <w:t>857,315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55,217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54,513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3,910,524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3,780,978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521,767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463,356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Borders>
              <w:bottom w:val="single" w:sz="8" w:color="CCEEFF"/>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16"/>
              <w:spacing w:after="0" w:line="141" w:lineRule="exact"/>
              <w:rPr>
                <w:sz w:val="20"/>
                <w:szCs w:val="20"/>
                <w:color w:val="auto"/>
              </w:rPr>
            </w:pPr>
            <w:r>
              <w:rPr>
                <w:rFonts w:ascii="Times New Roman" w:cs="Times New Roman" w:eastAsia="Times New Roman" w:hAnsi="Times New Roman"/>
                <w:sz w:val="13"/>
                <w:szCs w:val="13"/>
                <w:color w:val="auto"/>
              </w:rPr>
              <w:t>4,432,291</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Times New Roman" w:cs="Times New Roman" w:eastAsia="Times New Roman" w:hAnsi="Times New Roman"/>
                <w:sz w:val="13"/>
                <w:szCs w:val="13"/>
                <w:color w:val="auto"/>
              </w:rPr>
              <w:t>4,244,334</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7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earning assets</w:t>
            </w:r>
          </w:p>
        </w:tc>
        <w:tc>
          <w:tcPr>
            <w:tcW w:w="180" w:type="dxa"/>
            <w:vAlign w:val="bottom"/>
            <w:tcBorders>
              <w:bottom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rPr>
              <w:t>1,066,578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rPr>
              <w:t>1,108,317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720" w:type="dxa"/>
            <w:vAlign w:val="bottom"/>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color w:val="auto"/>
              </w:rPr>
              <w:t>Average interest-earning assets to average interest-bearing liabilities</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134.53 %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138.63 %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Non-tax-equivalent</w:t>
            </w: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125,470</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127,510</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3"/>
                <w:szCs w:val="13"/>
                <w:color w:val="auto"/>
              </w:rPr>
              <w:t>Interest rate spread</w:t>
            </w: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Times New Roman" w:cs="Times New Roman" w:eastAsia="Times New Roman" w:hAnsi="Times New Roman"/>
                <w:sz w:val="13"/>
                <w:szCs w:val="13"/>
                <w:color w:val="auto"/>
                <w:w w:val="97"/>
              </w:rPr>
              <w:t>3.26 %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Times New Roman" w:cs="Times New Roman" w:eastAsia="Times New Roman" w:hAnsi="Times New Roman"/>
                <w:sz w:val="13"/>
                <w:szCs w:val="13"/>
                <w:color w:val="auto"/>
                <w:w w:val="97"/>
              </w:rPr>
              <w:t>3.71 %</w:t>
            </w:r>
          </w:p>
        </w:tc>
        <w:tc>
          <w:tcPr>
            <w:tcW w:w="0" w:type="dxa"/>
            <w:vAlign w:val="bottom"/>
          </w:tcPr>
          <w:p>
            <w:pPr>
              <w:spacing w:after="0" w:line="20" w:lineRule="exact"/>
              <w:rPr>
                <w:sz w:val="1"/>
                <w:szCs w:val="1"/>
                <w:color w:val="auto"/>
              </w:rPr>
            </w:pPr>
          </w:p>
        </w:tc>
      </w:tr>
      <w:tr>
        <w:trPr>
          <w:trHeight w:val="109"/>
        </w:trPr>
        <w:tc>
          <w:tcPr>
            <w:tcW w:w="3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Net interest margin</w:t>
            </w:r>
            <w:r>
              <w:rPr>
                <w:rFonts w:ascii="Times New Roman" w:cs="Times New Roman" w:eastAsia="Times New Roman" w:hAnsi="Times New Roman"/>
                <w:sz w:val="16"/>
                <w:szCs w:val="16"/>
                <w:color w:val="auto"/>
                <w:vertAlign w:val="superscript"/>
              </w:rPr>
              <w:t>(3)</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4.03 %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4.29 %</w:t>
            </w:r>
          </w:p>
        </w:tc>
        <w:tc>
          <w:tcPr>
            <w:tcW w:w="0" w:type="dxa"/>
            <w:vAlign w:val="bottom"/>
          </w:tcPr>
          <w:p>
            <w:pPr>
              <w:spacing w:after="0"/>
              <w:rPr>
                <w:sz w:val="1"/>
                <w:szCs w:val="1"/>
                <w:color w:val="auto"/>
              </w:rPr>
            </w:pPr>
          </w:p>
        </w:tc>
      </w:tr>
      <w:tr>
        <w:trPr>
          <w:trHeight w:val="168"/>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Tax-equivalent</w:t>
            </w: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126,542</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128,413</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3"/>
                <w:szCs w:val="13"/>
                <w:color w:val="auto"/>
              </w:rPr>
              <w:t>Interest rate spread</w:t>
            </w: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Times New Roman" w:cs="Times New Roman" w:eastAsia="Times New Roman" w:hAnsi="Times New Roman"/>
                <w:sz w:val="13"/>
                <w:szCs w:val="13"/>
                <w:color w:val="auto"/>
                <w:w w:val="97"/>
              </w:rPr>
              <w:t>3.30 %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Times New Roman" w:cs="Times New Roman" w:eastAsia="Times New Roman" w:hAnsi="Times New Roman"/>
                <w:sz w:val="13"/>
                <w:szCs w:val="13"/>
                <w:color w:val="auto"/>
                <w:w w:val="97"/>
              </w:rPr>
              <w:t>3.74 %</w:t>
            </w:r>
          </w:p>
        </w:tc>
        <w:tc>
          <w:tcPr>
            <w:tcW w:w="0" w:type="dxa"/>
            <w:vAlign w:val="bottom"/>
          </w:tcPr>
          <w:p>
            <w:pPr>
              <w:spacing w:after="0" w:line="20" w:lineRule="exact"/>
              <w:rPr>
                <w:sz w:val="1"/>
                <w:szCs w:val="1"/>
                <w:color w:val="auto"/>
              </w:rPr>
            </w:pPr>
          </w:p>
        </w:tc>
      </w:tr>
      <w:tr>
        <w:trPr>
          <w:trHeight w:val="109"/>
        </w:trPr>
        <w:tc>
          <w:tcPr>
            <w:tcW w:w="3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Net interest margin</w:t>
            </w:r>
            <w:r>
              <w:rPr>
                <w:rFonts w:ascii="Times New Roman" w:cs="Times New Roman" w:eastAsia="Times New Roman" w:hAnsi="Times New Roman"/>
                <w:sz w:val="16"/>
                <w:szCs w:val="16"/>
                <w:color w:val="auto"/>
                <w:vertAlign w:val="superscript"/>
              </w:rPr>
              <w:t>(3)</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4.07 %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7"/>
              </w:rPr>
              <w:t>4.32 %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80" w:hanging="175"/>
        <w:spacing w:after="0"/>
        <w:tabs>
          <w:tab w:leader="none" w:pos="18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loans receivable balances include loans held for sale and nonaccruing loans.</w:t>
      </w:r>
    </w:p>
    <w:p>
      <w:pPr>
        <w:spacing w:after="0" w:line="12"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other interest-earning assets consist of FRB stock, FHLB stock, SBIC investments and deposits in other banks.</w:t>
      </w:r>
    </w:p>
    <w:p>
      <w:pPr>
        <w:spacing w:after="0" w:line="8"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income divided by average interest-earning assets.</w:t>
      </w:r>
    </w:p>
    <w:p>
      <w:pPr>
        <w:spacing w:after="0" w:line="11"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Tax-equivalent results include adjustments to interest income of $1,072 and $903 for the nine months ended September 30, 2024 and September 30, 2023, respectively, calculated based on a combined federal and state tax rate of 24%.</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Total interest and dividend income for the nine months ended September 30, 2024 increased $23.8 million, or 13.8%, compared to the nine months ended September 30, 2023, which was driven by a $22.9 million, or 14.1%, increase in interest income on loans. Accretion income on acquired loans of $2.0 million and $1.7 million was recognized during the same periods, respectively, and was included in interest income on loans. The overall increase in average yield on interest-earning assets was the result of both higher average balances and rising interest rates.</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Total interest expense for the nine months ended September 30, 2024 increased $25.8 million, or 58.4%, compared to the nine months ended September 30, 2023. The change was primarily the result of increases in the cost of funds across all funding sources driven by higher market interest rates and increases in the average balances of money market and certificate accounts, partially offset by a decline in average borrowings outstanding.</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1" w:name="page42"/>
    <w:bookmarkEnd w:id="41"/>
    <w:p>
      <w:pPr>
        <w:spacing w:after="0" w:line="264" w:lineRule="auto"/>
        <w:rPr>
          <w:sz w:val="20"/>
          <w:szCs w:val="20"/>
          <w:color w:val="auto"/>
        </w:rPr>
      </w:pPr>
      <w:r>
        <w:rPr>
          <w:rFonts w:ascii="Times New Roman" w:cs="Times New Roman" w:eastAsia="Times New Roman" w:hAnsi="Times New Roman"/>
          <w:sz w:val="13"/>
          <w:szCs w:val="13"/>
          <w:color w:val="auto"/>
        </w:rPr>
        <w:t>The following table shows the effects that changes in average balances (volume), including the difference in the number of days in the periods compared, and average interest rates (rate) had on the interest earned on interest-earning assets and interest paid on interest-bearing liabilities: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gridSpan w:val="8"/>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Increase / (Decrease)</w:t>
            </w:r>
          </w:p>
        </w:tc>
        <w:tc>
          <w:tcPr>
            <w:tcW w:w="180" w:type="dxa"/>
            <w:vAlign w:val="bottom"/>
          </w:tcPr>
          <w:p>
            <w:pPr>
              <w:spacing w:after="0"/>
              <w:rPr>
                <w:sz w:val="12"/>
                <w:szCs w:val="12"/>
                <w:color w:val="auto"/>
              </w:rPr>
            </w:pPr>
          </w:p>
        </w:tc>
        <w:tc>
          <w:tcPr>
            <w:tcW w:w="1040" w:type="dxa"/>
            <w:vAlign w:val="bottom"/>
            <w:vMerge w:val="restart"/>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gridSpan w:val="4"/>
            <w:vMerge w:val="restart"/>
          </w:tcPr>
          <w:p>
            <w:pPr>
              <w:jc w:val="center"/>
              <w:ind w:left="736"/>
              <w:spacing w:after="0"/>
              <w:rPr>
                <w:sz w:val="20"/>
                <w:szCs w:val="20"/>
                <w:color w:val="auto"/>
              </w:rPr>
            </w:pPr>
            <w:r>
              <w:rPr>
                <w:rFonts w:ascii="Times New Roman" w:cs="Times New Roman" w:eastAsia="Times New Roman" w:hAnsi="Times New Roman"/>
                <w:sz w:val="13"/>
                <w:szCs w:val="13"/>
                <w:b w:val="1"/>
                <w:bCs w:val="1"/>
                <w:color w:val="auto"/>
                <w:w w:val="98"/>
              </w:rPr>
              <w:t>Due to</w:t>
            </w: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vMerge w:val="continue"/>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117"/>
              <w:spacing w:after="0" w:line="107" w:lineRule="exact"/>
              <w:rPr>
                <w:sz w:val="20"/>
                <w:szCs w:val="20"/>
                <w:color w:val="auto"/>
              </w:rPr>
            </w:pPr>
            <w:r>
              <w:rPr>
                <w:rFonts w:ascii="Times New Roman" w:cs="Times New Roman" w:eastAsia="Times New Roman" w:hAnsi="Times New Roman"/>
                <w:sz w:val="12"/>
                <w:szCs w:val="12"/>
                <w:b w:val="1"/>
                <w:bCs w:val="1"/>
                <w:color w:val="auto"/>
              </w:rPr>
              <w:t>Increase /</w:t>
            </w:r>
          </w:p>
        </w:tc>
        <w:tc>
          <w:tcPr>
            <w:tcW w:w="0" w:type="dxa"/>
            <w:vAlign w:val="bottom"/>
          </w:tcPr>
          <w:p>
            <w:pPr>
              <w:spacing w:after="0"/>
              <w:rPr>
                <w:sz w:val="1"/>
                <w:szCs w:val="1"/>
                <w:color w:val="auto"/>
              </w:rPr>
            </w:pPr>
          </w:p>
        </w:tc>
      </w:tr>
      <w:tr>
        <w:trPr>
          <w:trHeight w:val="159"/>
        </w:trPr>
        <w:tc>
          <w:tcPr>
            <w:tcW w:w="4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80" w:type="dxa"/>
            <w:vAlign w:val="bottom"/>
          </w:tcPr>
          <w:p>
            <w:pPr>
              <w:spacing w:after="0"/>
              <w:rPr>
                <w:sz w:val="13"/>
                <w:szCs w:val="13"/>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0" w:type="dxa"/>
            <w:vAlign w:val="bottom"/>
          </w:tcPr>
          <w:p>
            <w:pPr>
              <w:spacing w:after="0"/>
              <w:rPr>
                <w:sz w:val="1"/>
                <w:szCs w:val="1"/>
                <w:color w:val="auto"/>
              </w:rPr>
            </w:pPr>
          </w:p>
        </w:tc>
      </w:tr>
      <w:tr>
        <w:trPr>
          <w:trHeight w:val="151"/>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Interest-earning assets</w:t>
            </w:r>
          </w:p>
        </w:tc>
        <w:tc>
          <w:tcPr>
            <w:tcW w:w="14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 receivable</w:t>
            </w: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8,927</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13,965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22,892</w:t>
            </w: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w:t>
            </w:r>
          </w:p>
        </w:tc>
        <w:tc>
          <w:tcPr>
            <w:tcW w:w="1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1,176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 interest-earning assets</w:t>
            </w:r>
          </w:p>
        </w:tc>
        <w:tc>
          <w:tcPr>
            <w:tcW w:w="1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163"/>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interest-earning assets</w:t>
            </w:r>
          </w:p>
        </w:tc>
        <w:tc>
          <w:tcPr>
            <w:tcW w:w="1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8,474</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15,282</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23,756</w:t>
            </w:r>
          </w:p>
        </w:tc>
        <w:tc>
          <w:tcPr>
            <w:tcW w:w="0" w:type="dxa"/>
            <w:vAlign w:val="bottom"/>
          </w:tcPr>
          <w:p>
            <w:pPr>
              <w:spacing w:after="0"/>
              <w:rPr>
                <w:sz w:val="1"/>
                <w:szCs w:val="1"/>
                <w:color w:val="auto"/>
              </w:rPr>
            </w:pPr>
          </w:p>
        </w:tc>
      </w:tr>
      <w:tr>
        <w:trPr>
          <w:trHeight w:val="149"/>
        </w:trPr>
        <w:tc>
          <w:tcPr>
            <w:tcW w:w="49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Interest-bearing liabilities</w:t>
            </w:r>
          </w:p>
        </w:tc>
        <w:tc>
          <w:tcPr>
            <w:tcW w:w="1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Interest-bearing checking accounts</w:t>
            </w:r>
          </w:p>
        </w:tc>
        <w:tc>
          <w:tcPr>
            <w:tcW w:w="1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1,174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w:t>
            </w:r>
          </w:p>
        </w:tc>
        <w:tc>
          <w:tcPr>
            <w:tcW w:w="0" w:type="dxa"/>
            <w:vAlign w:val="bottom"/>
          </w:tcPr>
          <w:p>
            <w:pPr>
              <w:spacing w:after="0"/>
              <w:rPr>
                <w:sz w:val="1"/>
                <w:szCs w:val="1"/>
                <w:color w:val="auto"/>
              </w:rPr>
            </w:pPr>
          </w:p>
        </w:tc>
      </w:tr>
      <w:tr>
        <w:trPr>
          <w:trHeight w:val="168"/>
        </w:trPr>
        <w:tc>
          <w:tcPr>
            <w:tcW w:w="4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Money market accounts</w:t>
            </w: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1,557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10,481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12,038</w:t>
            </w: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Savings accounts</w:t>
            </w:r>
          </w:p>
        </w:tc>
        <w:tc>
          <w:tcPr>
            <w:tcW w:w="1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4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Certificate accounts</w:t>
            </w: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6,592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9,219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15,811</w:t>
            </w: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1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1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(3,425)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(3,084)</w:t>
            </w:r>
          </w:p>
        </w:tc>
        <w:tc>
          <w:tcPr>
            <w:tcW w:w="0" w:type="dxa"/>
            <w:vAlign w:val="bottom"/>
          </w:tcPr>
          <w:p>
            <w:pPr>
              <w:spacing w:after="0"/>
              <w:rPr>
                <w:sz w:val="1"/>
                <w:szCs w:val="1"/>
                <w:color w:val="auto"/>
              </w:rPr>
            </w:pPr>
          </w:p>
        </w:tc>
      </w:tr>
      <w:tr>
        <w:trPr>
          <w:trHeight w:val="16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interest-bearing liabilities</w:t>
            </w:r>
          </w:p>
        </w:tc>
        <w:tc>
          <w:tcPr>
            <w:tcW w:w="1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4,547</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21,249</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25,796</w:t>
            </w:r>
          </w:p>
        </w:tc>
        <w:tc>
          <w:tcPr>
            <w:tcW w:w="0" w:type="dxa"/>
            <w:vAlign w:val="bottom"/>
          </w:tcPr>
          <w:p>
            <w:pPr>
              <w:spacing w:after="0"/>
              <w:rPr>
                <w:sz w:val="1"/>
                <w:szCs w:val="1"/>
                <w:color w:val="auto"/>
              </w:rPr>
            </w:pPr>
          </w:p>
        </w:tc>
      </w:tr>
      <w:tr>
        <w:trPr>
          <w:trHeight w:val="163"/>
        </w:trPr>
        <w:tc>
          <w:tcPr>
            <w:tcW w:w="4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Decrease in net interest income</w:t>
            </w: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w w:val="98"/>
              </w:rPr>
              <w:t xml:space="preserve">Provision for Credit Losses. </w:t>
            </w:r>
            <w:r>
              <w:rPr>
                <w:rFonts w:ascii="Times New Roman" w:cs="Times New Roman" w:eastAsia="Times New Roman" w:hAnsi="Times New Roman"/>
                <w:sz w:val="13"/>
                <w:szCs w:val="13"/>
                <w:color w:val="auto"/>
                <w:w w:val="98"/>
              </w:rPr>
              <w:t>The following table presents a breakdown of the components of the provision for credit losses:</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36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3"/>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80" w:type="dxa"/>
            <w:vAlign w:val="bottom"/>
          </w:tcPr>
          <w:p>
            <w:pPr>
              <w:spacing w:after="0"/>
              <w:rPr>
                <w:sz w:val="14"/>
                <w:szCs w:val="14"/>
                <w:color w:val="auto"/>
              </w:rPr>
            </w:pPr>
          </w:p>
        </w:tc>
        <w:tc>
          <w:tcPr>
            <w:tcW w:w="104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51"/>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Provision for credit losses</w:t>
            </w:r>
          </w:p>
        </w:tc>
        <w:tc>
          <w:tcPr>
            <w:tcW w:w="14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w:t>
            </w:r>
          </w:p>
        </w:tc>
        <w:tc>
          <w:tcPr>
            <w:tcW w:w="1420" w:type="dxa"/>
            <w:vAlign w:val="bottom"/>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8,435</w:t>
            </w:r>
          </w:p>
        </w:tc>
        <w:tc>
          <w:tcPr>
            <w:tcW w:w="80" w:type="dxa"/>
            <w:vAlign w:val="bottom"/>
          </w:tcPr>
          <w:p>
            <w:pPr>
              <w:spacing w:after="0"/>
              <w:rPr>
                <w:sz w:val="14"/>
                <w:szCs w:val="14"/>
                <w:color w:val="auto"/>
              </w:rPr>
            </w:pPr>
          </w:p>
        </w:tc>
        <w:tc>
          <w:tcPr>
            <w:tcW w:w="620" w:type="dxa"/>
            <w:vAlign w:val="bottom"/>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12,120</w:t>
            </w:r>
          </w:p>
        </w:tc>
        <w:tc>
          <w:tcPr>
            <w:tcW w:w="10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4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Off-balance-sheet credit exposure</w:t>
            </w:r>
          </w:p>
        </w:tc>
        <w:tc>
          <w:tcPr>
            <w:tcW w:w="14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58"/>
        </w:trPr>
        <w:tc>
          <w:tcPr>
            <w:tcW w:w="494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b w:val="1"/>
                <w:bCs w:val="1"/>
                <w:color w:val="auto"/>
              </w:rPr>
              <w:t>Total provision for credit losses</w:t>
            </w:r>
          </w:p>
        </w:tc>
        <w:tc>
          <w:tcPr>
            <w:tcW w:w="1420" w:type="dxa"/>
            <w:vAlign w:val="bottom"/>
            <w:tcBorders>
              <w:bottom w:val="single" w:sz="8" w:color="auto"/>
            </w:tcBorders>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8,400</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11,735</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(3,335)</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For the nine months ended September 30, 2024, the "loans" portion of the provision for credit losses was the result of net charge-offs of $8.9 million during the period, partially offset by a $0.4 million benefit due to changes in the loan mix.</w:t>
      </w:r>
    </w:p>
    <w:p>
      <w:pPr>
        <w:spacing w:after="0"/>
        <w:rPr>
          <w:sz w:val="20"/>
          <w:szCs w:val="20"/>
          <w:color w:val="auto"/>
        </w:rPr>
      </w:pPr>
      <w:r>
        <w:rPr>
          <w:rFonts w:ascii="Times New Roman" w:cs="Times New Roman" w:eastAsia="Times New Roman" w:hAnsi="Times New Roman"/>
          <w:sz w:val="13"/>
          <w:szCs w:val="13"/>
          <w:color w:val="auto"/>
        </w:rPr>
        <w:t>For the nine months ended September 30, 2023, the "loans" portion of the provision for credit losses was the result of the following, in addition to net charge-offs of $3.9 million during the period:</w:t>
      </w:r>
    </w:p>
    <w:p>
      <w:pPr>
        <w:spacing w:after="0" w:line="31" w:lineRule="exact"/>
        <w:rPr>
          <w:sz w:val="20"/>
          <w:szCs w:val="20"/>
          <w:color w:val="auto"/>
        </w:rPr>
      </w:pPr>
    </w:p>
    <w:p>
      <w:pPr>
        <w:ind w:left="320" w:hanging="188"/>
        <w:spacing w:after="0"/>
        <w:tabs>
          <w:tab w:leader="none" w:pos="3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$4.9 million provision to establish an allowance on Quantum's loan portfolio.</w:t>
      </w:r>
    </w:p>
    <w:p>
      <w:pPr>
        <w:spacing w:after="0" w:line="15" w:lineRule="exact"/>
        <w:rPr>
          <w:rFonts w:ascii="Times New Roman" w:cs="Times New Roman" w:eastAsia="Times New Roman" w:hAnsi="Times New Roman"/>
          <w:sz w:val="13"/>
          <w:szCs w:val="13"/>
          <w:color w:val="auto"/>
        </w:rPr>
      </w:pPr>
    </w:p>
    <w:p>
      <w:pPr>
        <w:ind w:left="320" w:hanging="188"/>
        <w:spacing w:after="0"/>
        <w:tabs>
          <w:tab w:leader="none" w:pos="3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$3.0 million provision due to changes in the projected economic forecast, specifically the national unemployment rate, and changes in qualitative adjustments.</w:t>
      </w:r>
    </w:p>
    <w:p>
      <w:pPr>
        <w:spacing w:after="0" w:line="6" w:lineRule="exact"/>
        <w:rPr>
          <w:rFonts w:ascii="Times New Roman" w:cs="Times New Roman" w:eastAsia="Times New Roman" w:hAnsi="Times New Roman"/>
          <w:sz w:val="13"/>
          <w:szCs w:val="13"/>
          <w:color w:val="auto"/>
        </w:rPr>
      </w:pPr>
    </w:p>
    <w:p>
      <w:pPr>
        <w:ind w:left="320" w:hanging="188"/>
        <w:spacing w:after="0"/>
        <w:tabs>
          <w:tab w:leader="none" w:pos="3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 million increase in specific reserves on individually evaluated credits.</w:t>
      </w:r>
    </w:p>
    <w:p>
      <w:pPr>
        <w:spacing w:after="0" w:line="4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For the nine months ended September 30, 2024 and September 30, 2023, the amounts recorded for off-balance-sheet credit exposure were the result of changes in the balance of loan commitments, loan mix and projected economic forecast as outlined above.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2" w:name="page43"/>
    <w:bookmarkEnd w:id="42"/>
    <w:p>
      <w:pPr>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Noninterest Income. </w:t>
      </w:r>
      <w:r>
        <w:rPr>
          <w:rFonts w:ascii="Times New Roman" w:cs="Times New Roman" w:eastAsia="Times New Roman" w:hAnsi="Times New Roman"/>
          <w:sz w:val="13"/>
          <w:szCs w:val="13"/>
          <w:color w:val="auto"/>
        </w:rPr>
        <w:t>Noninterest income for the nine months ended September 30, 2024 increased $1.4 million, or 5.8%, when compared to the same period last year. Changes in the components of noninterest income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are discussed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gridSpan w:val="5"/>
          </w:tcPr>
          <w:p>
            <w:pPr>
              <w:ind w:left="10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4"/>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32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2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Service charges and fees on deposit accounts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6,839</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6,967</w:t>
            </w:r>
          </w:p>
        </w:tc>
        <w:tc>
          <w:tcPr>
            <w:tcW w:w="100" w:type="dxa"/>
            <w:vAlign w:val="bottom"/>
          </w:tcPr>
          <w:p>
            <w:pPr>
              <w:spacing w:after="0"/>
              <w:rPr>
                <w:sz w:val="14"/>
                <w:szCs w:val="14"/>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 income and fees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Gain on sale of loans held for sale</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BOLI income</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w:t>
            </w: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lease income</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Gain (loss) on sale of premises and equipment</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(101)</w:t>
            </w:r>
          </w:p>
        </w:tc>
      </w:tr>
      <w:tr>
        <w:trPr>
          <w:trHeight w:val="168"/>
        </w:trPr>
        <w:tc>
          <w:tcPr>
            <w:tcW w:w="4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w:t>
            </w:r>
          </w:p>
        </w:tc>
      </w:tr>
      <w:tr>
        <w:trPr>
          <w:trHeight w:val="188"/>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noninterest income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25,206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23,825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jc w:val="both"/>
        <w:ind w:left="320" w:hanging="188"/>
        <w:spacing w:after="0" w:line="249" w:lineRule="auto"/>
        <w:tabs>
          <w:tab w:leader="none" w:pos="311" w:val="left"/>
        </w:tabs>
        <w:numPr>
          <w:ilvl w:val="0"/>
          <w:numId w:val="2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i w:val="1"/>
          <w:iCs w:val="1"/>
          <w:color w:val="auto"/>
        </w:rPr>
        <w:t xml:space="preserve">Gain on sale of loans held for sale: </w:t>
      </w:r>
      <w:r>
        <w:rPr>
          <w:rFonts w:ascii="Times New Roman" w:cs="Times New Roman" w:eastAsia="Times New Roman" w:hAnsi="Times New Roman"/>
          <w:sz w:val="13"/>
          <w:szCs w:val="13"/>
          <w:color w:val="auto"/>
        </w:rPr>
        <w:t>The increase in the gain on sale of loans held for sale was primarily driven by residential mortgage and SBA loans sold during the period. During the nine months ended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September 30, 2024, there were $58.3 million of residential mortgage loans originated for sale which were sold with gains of $1.1 million compared to $48.7 million sold with gains of $633,000 for the corresponding period in the prior year, with the improvement in profitability due to movement in interest rates. There were $38.5 million of sales of the guaranteed portion of SBA commercial loans with gains of $3.1 million compared to $41.1 million sold and gains of $2.6 million for the corresponding period in the prior year. There were $95.4 million of HELOCs sold during the current period for a gain of $887,000 compared to $66.4 million sold and gains of $552,000 for the corresponding period in the prior year. Our hedging of mandatory commitments on the residential mortgage loan pipeline resulted in a gain of $15,000 for the nine months ended September 30, 2024 versus a gain of $426,000 for the nine months ended September 30, 2023.</w:t>
      </w:r>
    </w:p>
    <w:p>
      <w:pPr>
        <w:ind w:left="320" w:hanging="188"/>
        <w:spacing w:after="0"/>
        <w:tabs>
          <w:tab w:leader="none" w:pos="320" w:val="left"/>
        </w:tabs>
        <w:numPr>
          <w:ilvl w:val="0"/>
          <w:numId w:val="2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i w:val="1"/>
          <w:iCs w:val="1"/>
          <w:color w:val="auto"/>
        </w:rPr>
        <w:t xml:space="preserve">BOLI income: </w:t>
      </w:r>
      <w:r>
        <w:rPr>
          <w:rFonts w:ascii="Times New Roman" w:cs="Times New Roman" w:eastAsia="Times New Roman" w:hAnsi="Times New Roman"/>
          <w:sz w:val="13"/>
          <w:szCs w:val="13"/>
          <w:color w:val="auto"/>
        </w:rPr>
        <w:t>The increase was due to higher yielding policies as a result of restructuring the portfolio at the end of the prior calendar year.</w:t>
      </w:r>
    </w:p>
    <w:p>
      <w:pPr>
        <w:spacing w:after="0" w:line="6" w:lineRule="exact"/>
        <w:rPr>
          <w:rFonts w:ascii="Times New Roman" w:cs="Times New Roman" w:eastAsia="Times New Roman" w:hAnsi="Times New Roman"/>
          <w:sz w:val="13"/>
          <w:szCs w:val="13"/>
          <w:b w:val="1"/>
          <w:bCs w:val="1"/>
          <w:i w:val="1"/>
          <w:iCs w:val="1"/>
          <w:color w:val="auto"/>
        </w:rPr>
      </w:pPr>
    </w:p>
    <w:p>
      <w:pPr>
        <w:ind w:left="320" w:hanging="188"/>
        <w:spacing w:after="0" w:line="246" w:lineRule="auto"/>
        <w:tabs>
          <w:tab w:leader="none" w:pos="311"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Operating lease income: </w:t>
      </w:r>
      <w:r>
        <w:rPr>
          <w:rFonts w:ascii="Times New Roman" w:cs="Times New Roman" w:eastAsia="Times New Roman" w:hAnsi="Times New Roman"/>
          <w:sz w:val="13"/>
          <w:szCs w:val="13"/>
          <w:color w:val="auto"/>
        </w:rPr>
        <w:t>The increase in operating lease income was the result of $1.7 million in additional contractual earnings on a higher average outstanding balance of the associated contracts, partially offset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losses incurred on previously leased equipment, where we recognized a net loss of $1.3 million for the nine months ended September 30, 2024 versus a net loss of $210,000 in the same period last year.</w:t>
      </w:r>
    </w:p>
    <w:p>
      <w:pPr>
        <w:spacing w:after="0" w:line="1" w:lineRule="exact"/>
        <w:rPr>
          <w:rFonts w:ascii="Times New Roman" w:cs="Times New Roman" w:eastAsia="Times New Roman" w:hAnsi="Times New Roman"/>
          <w:sz w:val="13"/>
          <w:szCs w:val="13"/>
          <w:color w:val="auto"/>
        </w:rPr>
      </w:pPr>
    </w:p>
    <w:p>
      <w:pPr>
        <w:ind w:left="320" w:hanging="188"/>
        <w:spacing w:after="0" w:line="241" w:lineRule="auto"/>
        <w:tabs>
          <w:tab w:leader="none" w:pos="311" w:val="left"/>
        </w:tabs>
        <w:numPr>
          <w:ilvl w:val="0"/>
          <w:numId w:val="2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i w:val="1"/>
          <w:iCs w:val="1"/>
          <w:color w:val="auto"/>
        </w:rPr>
        <w:t xml:space="preserve">Gain (loss) on sale of premises and equipment: </w:t>
      </w:r>
      <w:r>
        <w:rPr>
          <w:rFonts w:ascii="Times New Roman" w:cs="Times New Roman" w:eastAsia="Times New Roman" w:hAnsi="Times New Roman"/>
          <w:sz w:val="13"/>
          <w:szCs w:val="13"/>
          <w:color w:val="auto"/>
        </w:rPr>
        <w:t>During the nine months ended September 30, 2023, two properties were sold for a combined gain of $982,000. No material disposal activity occurred during the nine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months ended September 30, 2024.</w:t>
      </w:r>
    </w:p>
    <w:p>
      <w:pPr>
        <w:spacing w:after="0" w:line="4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Noninterest Expense. </w:t>
      </w:r>
      <w:r>
        <w:rPr>
          <w:rFonts w:ascii="Times New Roman" w:cs="Times New Roman" w:eastAsia="Times New Roman" w:hAnsi="Times New Roman"/>
          <w:sz w:val="13"/>
          <w:szCs w:val="13"/>
          <w:color w:val="auto"/>
        </w:rPr>
        <w:t>Noninterest expense for the nine months ended September 30, 2024 decreased $2.6 million, or 2.8%, when compared to the same period last year. Changes in the components of noninterest expense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are discussed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gridSpan w:val="5"/>
          </w:tcPr>
          <w:p>
            <w:pPr>
              <w:ind w:left="10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4"/>
        </w:trPr>
        <w:tc>
          <w:tcPr>
            <w:tcW w:w="4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32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2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50,666</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49,436</w:t>
            </w:r>
          </w:p>
        </w:tc>
        <w:tc>
          <w:tcPr>
            <w:tcW w:w="100" w:type="dxa"/>
            <w:vAlign w:val="bottom"/>
          </w:tcPr>
          <w:p>
            <w:pPr>
              <w:spacing w:after="0"/>
              <w:rPr>
                <w:sz w:val="14"/>
                <w:szCs w:val="14"/>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72"/>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Occupancy expense, net</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Computer services</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Telephone, postage and supplies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Marketing and advertising</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Deposit insurance premiums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4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Core deposit intangible amortization</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Merger-related expenses</w:t>
            </w:r>
          </w:p>
        </w:tc>
        <w:tc>
          <w:tcPr>
            <w:tcW w:w="22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(4,741)</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4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16,364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14,490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1,874</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r>
      <w:tr>
        <w:trPr>
          <w:trHeight w:val="188"/>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noninterest expense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90,659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93,308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320" w:hanging="188"/>
        <w:spacing w:after="0"/>
        <w:tabs>
          <w:tab w:leader="none" w:pos="320" w:val="left"/>
        </w:tabs>
        <w:numPr>
          <w:ilvl w:val="0"/>
          <w:numId w:val="3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i w:val="1"/>
          <w:iCs w:val="1"/>
          <w:color w:val="auto"/>
        </w:rPr>
        <w:t>Salaries and employee benefits</w:t>
      </w:r>
      <w:r>
        <w:rPr>
          <w:rFonts w:ascii="Times New Roman" w:cs="Times New Roman" w:eastAsia="Times New Roman" w:hAnsi="Times New Roman"/>
          <w:sz w:val="13"/>
          <w:szCs w:val="13"/>
          <w:color w:val="auto"/>
        </w:rPr>
        <w:t>: The increase was primarily the result of pay increases, partially offset by reductions in incentive pay.</w:t>
      </w:r>
    </w:p>
    <w:p>
      <w:pPr>
        <w:spacing w:after="0" w:line="17" w:lineRule="exact"/>
        <w:rPr>
          <w:rFonts w:ascii="Times New Roman" w:cs="Times New Roman" w:eastAsia="Times New Roman" w:hAnsi="Times New Roman"/>
          <w:sz w:val="13"/>
          <w:szCs w:val="13"/>
          <w:b w:val="1"/>
          <w:bCs w:val="1"/>
          <w:i w:val="1"/>
          <w:iCs w:val="1"/>
          <w:color w:val="auto"/>
        </w:rPr>
      </w:pPr>
    </w:p>
    <w:p>
      <w:pPr>
        <w:ind w:left="320" w:hanging="188"/>
        <w:spacing w:after="0"/>
        <w:tabs>
          <w:tab w:leader="none" w:pos="320" w:val="left"/>
        </w:tabs>
        <w:numPr>
          <w:ilvl w:val="0"/>
          <w:numId w:val="3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Core deposit intangible amortization: </w:t>
      </w:r>
      <w:r>
        <w:rPr>
          <w:rFonts w:ascii="Times New Roman" w:cs="Times New Roman" w:eastAsia="Times New Roman" w:hAnsi="Times New Roman"/>
          <w:sz w:val="13"/>
          <w:szCs w:val="13"/>
          <w:color w:val="auto"/>
        </w:rPr>
        <w:t>The intangible recorded associated with the Quantum merger is being amortized on an accelerated basis, so the rate of amortization slowed year-over-year.</w:t>
      </w:r>
    </w:p>
    <w:p>
      <w:pPr>
        <w:spacing w:after="0" w:line="6" w:lineRule="exact"/>
        <w:rPr>
          <w:rFonts w:ascii="Times New Roman" w:cs="Times New Roman" w:eastAsia="Times New Roman" w:hAnsi="Times New Roman"/>
          <w:sz w:val="13"/>
          <w:szCs w:val="13"/>
          <w:i w:val="1"/>
          <w:iCs w:val="1"/>
          <w:color w:val="auto"/>
        </w:rPr>
      </w:pPr>
    </w:p>
    <w:p>
      <w:pPr>
        <w:ind w:left="320" w:hanging="188"/>
        <w:spacing w:after="0"/>
        <w:tabs>
          <w:tab w:leader="none" w:pos="3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Merger-related expenses: </w:t>
      </w:r>
      <w:r>
        <w:rPr>
          <w:rFonts w:ascii="Times New Roman" w:cs="Times New Roman" w:eastAsia="Times New Roman" w:hAnsi="Times New Roman"/>
          <w:sz w:val="13"/>
          <w:szCs w:val="13"/>
          <w:color w:val="auto"/>
        </w:rPr>
        <w:t>The prior period included expenses associated with the Company's merger with Quantum. No such expenses were incurred in the nine months ended September 30, 2024.</w:t>
      </w:r>
    </w:p>
    <w:p>
      <w:pPr>
        <w:ind w:left="320" w:hanging="188"/>
        <w:spacing w:after="0"/>
        <w:tabs>
          <w:tab w:leader="none" w:pos="320" w:val="left"/>
        </w:tabs>
        <w:numPr>
          <w:ilvl w:val="0"/>
          <w:numId w:val="3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Other: </w:t>
      </w:r>
      <w:r>
        <w:rPr>
          <w:rFonts w:ascii="Times New Roman" w:cs="Times New Roman" w:eastAsia="Times New Roman" w:hAnsi="Times New Roman"/>
          <w:sz w:val="13"/>
          <w:szCs w:val="13"/>
          <w:color w:val="auto"/>
        </w:rPr>
        <w:t>The increase period-over-period was primarily driven by $1.7 million of additional depreciation expense on equipment subject to operating leases.</w:t>
      </w:r>
    </w:p>
    <w:p>
      <w:pPr>
        <w:spacing w:after="0" w:line="4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Income Taxes. </w:t>
      </w:r>
      <w:r>
        <w:rPr>
          <w:rFonts w:ascii="Times New Roman" w:cs="Times New Roman" w:eastAsia="Times New Roman" w:hAnsi="Times New Roman"/>
          <w:sz w:val="13"/>
          <w:szCs w:val="13"/>
          <w:color w:val="auto"/>
        </w:rPr>
        <w:t>The amount of income tax expense is influenced by the amount of pre-tax income, tax-exempt income, changes in the statutory rate and the effect of changes in valuation allowances maintained against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deferred tax benefits. The effective tax rates for the nine months ended September 30, 2024 and September 30, 2023 were 21.3% and 21.0%, respectively.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color w:val="auto"/>
        </w:rPr>
        <w:t>Comparison of Financial Condition at September 30, 2024 and December 31, 2023</w:t>
      </w:r>
    </w:p>
    <w:p>
      <w:pPr>
        <w:spacing w:after="0" w:line="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General. </w:t>
      </w:r>
      <w:r>
        <w:rPr>
          <w:rFonts w:ascii="Times New Roman" w:cs="Times New Roman" w:eastAsia="Times New Roman" w:hAnsi="Times New Roman"/>
          <w:sz w:val="13"/>
          <w:szCs w:val="13"/>
          <w:color w:val="auto"/>
        </w:rPr>
        <w:t>Total assets decreased by $35.3 million to $4.6 billion and total liabilities decreased by $75.5 million to $4.1 billion, respectively, at September 30, 2024 as compared to December 31, 2023. The majority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these changes were the result of an increase in deposits, which, combined with the collection of BOLI redemption proceeds and cash and cash equivalents, were used to fund growth in loans and pay down borrowings.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Cash and Cash Equivalents. </w:t>
      </w:r>
      <w:r>
        <w:rPr>
          <w:rFonts w:ascii="Times New Roman" w:cs="Times New Roman" w:eastAsia="Times New Roman" w:hAnsi="Times New Roman"/>
          <w:sz w:val="13"/>
          <w:szCs w:val="13"/>
          <w:color w:val="auto"/>
        </w:rPr>
        <w:t>Total cash and cash equivalents decreased $53.7 million, or 15.5%, to $293.5 million at September 30, 2024 from $347.1 million at December 31, 2023.</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Debt Securities Available for Sale. </w:t>
      </w:r>
      <w:r>
        <w:rPr>
          <w:rFonts w:ascii="Times New Roman" w:cs="Times New Roman" w:eastAsia="Times New Roman" w:hAnsi="Times New Roman"/>
          <w:sz w:val="13"/>
          <w:szCs w:val="13"/>
          <w:color w:val="auto"/>
        </w:rPr>
        <w:t>Debt securities available for sale increased $13.6 million, or 10.7%, to $140.6 million at September 30, 2024 from $127.0 million at December 31, 2023. Outside of changes in value,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changes between periods were the result of $33.3 million in purchases, partially offset by $22.6 million in proceeds from the maturity, call and paydown of securities.</w:t>
      </w:r>
    </w:p>
    <w:p>
      <w:pPr>
        <w:spacing w:after="0" w:line="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Loans Held for Sale. </w:t>
      </w:r>
      <w:r>
        <w:rPr>
          <w:rFonts w:ascii="Times New Roman" w:cs="Times New Roman" w:eastAsia="Times New Roman" w:hAnsi="Times New Roman"/>
          <w:sz w:val="13"/>
          <w:szCs w:val="13"/>
          <w:color w:val="auto"/>
        </w:rPr>
        <w:t>Loans held for sale decreased $9.1 million, or 4.5%, to $192.7 million at September 30, 2024 from $201.8 million at December 31, 2023. This was driven by decreases in all loans held for sale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categories.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Loans, Net of Deferred Loan Fees and Costs. </w:t>
      </w:r>
      <w:r>
        <w:rPr>
          <w:rFonts w:ascii="Times New Roman" w:cs="Times New Roman" w:eastAsia="Times New Roman" w:hAnsi="Times New Roman"/>
          <w:sz w:val="13"/>
          <w:szCs w:val="13"/>
          <w:color w:val="auto"/>
        </w:rPr>
        <w:t>Total loans increased $58.9 million, or 1.6%, to $3.7 billion at September 30, 2024. The following table illustrates the changes within the portfolio: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tcBorders>
              <w:bottom w:val="single" w:sz="8" w:color="auto"/>
            </w:tcBorders>
            <w:gridSpan w:val="3"/>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rPr>
              <w:t>Percent of Total</w:t>
            </w:r>
          </w:p>
        </w:tc>
        <w:tc>
          <w:tcPr>
            <w:tcW w:w="0" w:type="dxa"/>
            <w:vAlign w:val="bottom"/>
          </w:tcPr>
          <w:p>
            <w:pPr>
              <w:spacing w:after="0"/>
              <w:rPr>
                <w:sz w:val="1"/>
                <w:szCs w:val="1"/>
                <w:color w:val="auto"/>
              </w:rPr>
            </w:pPr>
          </w:p>
        </w:tc>
      </w:tr>
      <w:tr>
        <w:trPr>
          <w:trHeight w:val="110"/>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0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vMerge w:val="continue"/>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34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61"/>
        </w:trPr>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300,905</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305,269</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72"/>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544,689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536,545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8"/>
        </w:trPr>
        <w:tc>
          <w:tcPr>
            <w:tcW w:w="3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881,340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875,694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2"/>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114,155</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88,623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25,532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378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commercial real estate loans</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1,841,089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1,806,131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34,958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3"/>
                <w:szCs w:val="13"/>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7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286,809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237,255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49,554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443,033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465,573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(22,540)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3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158,560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150,292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commercial loans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888,402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853,120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9"/>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96,646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(33,630)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3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627,845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584,405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2"/>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194,909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185,878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8"/>
        </w:trPr>
        <w:tc>
          <w:tcPr>
            <w:tcW w:w="378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residential real estate loans</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885,770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866,929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3"/>
                <w:szCs w:val="13"/>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loans</w:t>
            </w: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83,631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113,842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(30,211)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 net of deferred loan fees and costs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3,698,892</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3,640,022</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58,870</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Asset Quality. </w:t>
      </w:r>
      <w:r>
        <w:rPr>
          <w:rFonts w:ascii="Times New Roman" w:cs="Times New Roman" w:eastAsia="Times New Roman" w:hAnsi="Times New Roman"/>
          <w:sz w:val="13"/>
          <w:szCs w:val="13"/>
          <w:color w:val="auto"/>
        </w:rPr>
        <w:t>Nonperforming assets, made up of nonaccrual loans and repossessed assets, increased by $10.4 million, or 54.0%, to $29.8 million, or 0.64% of total assets, at September 30, 2024 compared to $19.3</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million, or 0.41% of total assets, at December 31, 2023. Consistent with the change in net charge-offs discussed below, equipment finance loans made up the largest portion of nonperforming assets at $8.5 million and $6.5 million, respectively, at these same dates. In addition, owner occupied commercial real estate totaled $7.2 million and $912,000, respectively, at these same dates. These increases were mainly the result of a $3.1 million medical equipment relationship and a $5.1 million owner occupied commercial real estate (OO CRE) relationship; however, in both cases losses are not currently anticipated. The ratio of nonperforming loans to total loans was 0.78% at September 30, 2024 compared to 0.53% at December 31, 2023.</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ratio of classified assets to total assets increased to 0.99% at September 30, 2024 from 0.90% at December 31, 2023 as classified assets increased $4.1 million, or 9.8%, to $46.1 million at September 30, 2024 compared to $42.0 million at December 31, 2023. The largest portfolios of classified assets at September 30, 2024 included $11.7 million of non-owner occupied commercial real estate loans, $8.4 million of equipment finance loans, $7.1 million of SBA loans, $6.0 million of 1-4 family residential real estate loans, and $6.0 million of OO CRE loans.</w:t>
      </w:r>
    </w:p>
    <w:p>
      <w:pPr>
        <w:spacing w:after="0" w:line="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 xml:space="preserve">Allowance for Credit Losses on Loans. </w:t>
      </w:r>
      <w:r>
        <w:rPr>
          <w:rFonts w:ascii="Times New Roman" w:cs="Times New Roman" w:eastAsia="Times New Roman" w:hAnsi="Times New Roman"/>
          <w:sz w:val="13"/>
          <w:szCs w:val="13"/>
          <w:color w:val="auto"/>
        </w:rPr>
        <w:t>The ACL on loans was $48.1 million, or 1.30% of total loans, at September 30, 2024 compared to $48.6 million, or 1.34% of total loans, as of December 31, 2023. The drivers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this change are discussed in the "Comparison of Results of Operations for the Nine Months Ended September 30, 2024 and September 30, 2023 – Provision for Credit Losses" section above.</w:t>
      </w:r>
    </w:p>
    <w:p>
      <w:pPr>
        <w:spacing w:after="0" w:line="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Net loan charge-offs totaled $8.9 million for the nine months ended September 30, 2024 compared to $3.9 million for the same period last year. As discussed in previous quarters, the increase in net charge-offs has been concentrated in our equipment finance portfolio, primarily smaller over-the-road truck loans, with net charge-offs of $5.1 million during the nine months ended September 30, 2024. In response, during the first quarter of calendar year 2024 the Company elected to cease further originations within the transportation sector of equipment finance loans. In spite of the increase, annualized net charge-offs as a percentage of average assets for the loan portfolio as a whole were 0.31% for the nine months ended September 30, 2024, in line with the Company's historical experience, as compared to 0.14% for the nine months ended September 30, 2023.</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4" w:name="page45"/>
    <w:bookmarkEnd w:id="44"/>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Other Assets. </w:t>
      </w:r>
      <w:r>
        <w:rPr>
          <w:rFonts w:ascii="Times New Roman" w:cs="Times New Roman" w:eastAsia="Times New Roman" w:hAnsi="Times New Roman"/>
          <w:sz w:val="13"/>
          <w:szCs w:val="13"/>
          <w:color w:val="auto"/>
        </w:rPr>
        <w:t>Other assets decreased by $39.3 million, or 36.6%, to $68.1 million at September 30, 2024 from $107.4 million at December 31, 2023. During the quarter ended December 31, 2023, we had established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$47.9 million receivable for proceeds from the redemption of BOLI policies. The decrease between periods was due to the collection of $44.3 million of this receivable.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Deposits. </w:t>
      </w:r>
      <w:r>
        <w:rPr>
          <w:rFonts w:ascii="Times New Roman" w:cs="Times New Roman" w:eastAsia="Times New Roman" w:hAnsi="Times New Roman"/>
          <w:sz w:val="13"/>
          <w:szCs w:val="13"/>
          <w:color w:val="auto"/>
        </w:rPr>
        <w:t>The following table summarizes the composition of our deposit portfolio as of the dates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0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Pr>
          <w:p>
            <w:pPr>
              <w:spacing w:after="0"/>
              <w:rPr>
                <w:sz w:val="14"/>
                <w:szCs w:val="14"/>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2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Core deposits</w:t>
            </w:r>
          </w:p>
        </w:tc>
        <w:tc>
          <w:tcPr>
            <w:tcW w:w="20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r>
      <w:tr>
        <w:trPr>
          <w:trHeight w:val="168"/>
        </w:trPr>
        <w:tc>
          <w:tcPr>
            <w:tcW w:w="5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Noninterest-bearing accounts</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684,501</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784,950</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(100,449)</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NOW accounts</w:t>
            </w: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534,517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591,270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(56,753)</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5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Money market accounts</w:t>
            </w: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1,345,289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1,246,807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98,482</w:t>
            </w:r>
          </w:p>
        </w:tc>
        <w:tc>
          <w:tcPr>
            <w:tcW w:w="80" w:type="dxa"/>
            <w:vAlign w:val="bottom"/>
          </w:tcPr>
          <w:p>
            <w:pPr>
              <w:spacing w:after="0"/>
              <w:rPr>
                <w:sz w:val="14"/>
                <w:szCs w:val="14"/>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Savings accounts</w:t>
            </w:r>
          </w:p>
        </w:tc>
        <w:tc>
          <w:tcPr>
            <w:tcW w:w="2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179,762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194,486</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(14,724)</w:t>
            </w:r>
          </w:p>
        </w:tc>
        <w:tc>
          <w:tcPr>
            <w:tcW w:w="8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r>
      <w:tr>
        <w:trPr>
          <w:trHeight w:val="158"/>
        </w:trPr>
        <w:tc>
          <w:tcPr>
            <w:tcW w:w="518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core deposits</w:t>
            </w:r>
          </w:p>
        </w:tc>
        <w:tc>
          <w:tcPr>
            <w:tcW w:w="2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2,744,069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2,817,513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(73,444)</w:t>
            </w:r>
          </w:p>
        </w:tc>
        <w:tc>
          <w:tcPr>
            <w:tcW w:w="80" w:type="dxa"/>
            <w:vAlign w:val="bottom"/>
          </w:tcPr>
          <w:p>
            <w:pPr>
              <w:spacing w:after="0"/>
              <w:rPr>
                <w:sz w:val="13"/>
                <w:szCs w:val="13"/>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Certificates of deposit</w:t>
            </w:r>
          </w:p>
        </w:tc>
        <w:tc>
          <w:tcPr>
            <w:tcW w:w="2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1,017,519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843,860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173,659</w:t>
            </w:r>
          </w:p>
        </w:tc>
        <w:tc>
          <w:tcPr>
            <w:tcW w:w="8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w:t>
            </w:r>
          </w:p>
        </w:tc>
      </w:tr>
      <w:tr>
        <w:trPr>
          <w:trHeight w:val="158"/>
        </w:trPr>
        <w:tc>
          <w:tcPr>
            <w:tcW w:w="51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3,761,588</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3,661,373</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100,215</w:t>
            </w:r>
          </w:p>
        </w:tc>
        <w:tc>
          <w:tcPr>
            <w:tcW w:w="80" w:type="dxa"/>
            <w:vAlign w:val="bottom"/>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Management</w:t>
      </w:r>
    </w:p>
    <w:p>
      <w:pPr>
        <w:spacing w:after="0" w:line="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Management maintains a liquidity position that it believes will adequately provide for funding of loan demand and deposit run-off that may occur in the normal course of business. We rely on a number of different sources in order to meet our potential liquidity demands. The primary sources are increases in deposit accounts, wholesale borrowings and cash flows from loan payments and the securities portfolio.</w:t>
      </w:r>
    </w:p>
    <w:p>
      <w:pPr>
        <w:spacing w:after="0" w:line="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In addition to these primary sources of funds, management has several secondary sources available to meet potential funding requirements. All qualifying one-to-four family loans, HELOCs, commercial real estate loans, multifamily loans and FHLB of Atlanta stock are pledged as collateral to secure outstanding FHLB advances while commercial construction, indirect auto, and equipment and municipal leases are pledged as collateral to secure outstanding FRB advances. At September 30, 2024, the Company had the ability to borrow $162.2 million through FHLB advances and $170.5 million through the unused portion of a line of credit with the FRB. At this same date, the Company maintained revolving lines of credit with three unaffiliated banks, the unused portion of which totaled $159.0 million. HomeTrust had drawn $6.0 million on a $40.0 million revolving line of credit which bears interest at </w:t>
      </w:r>
      <w:r>
        <w:rPr>
          <w:rFonts w:ascii="Times New Roman" w:cs="Times New Roman" w:eastAsia="Times New Roman" w:hAnsi="Times New Roman"/>
          <w:sz w:val="12"/>
          <w:szCs w:val="12"/>
          <w:i w:val="1"/>
          <w:iCs w:val="1"/>
          <w:color w:val="auto"/>
        </w:rPr>
        <w:t>The Wall Street Journal</w:t>
      </w:r>
      <w:r>
        <w:rPr>
          <w:rFonts w:ascii="Times New Roman" w:cs="Times New Roman" w:eastAsia="Times New Roman" w:hAnsi="Times New Roman"/>
          <w:sz w:val="12"/>
          <w:szCs w:val="12"/>
          <w:color w:val="auto"/>
        </w:rPr>
        <w:t xml:space="preserve"> prime rate plus 50 basis points, maturing on January 28, 2025, although the term may be extended for an additional year if no events of default have occurred.</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Additionally, we classify our securities portfolio as available for sale, providing an additional source of liquidity. Management believes that our securities portfolio is of high quality, of short duration, and the securities would therefore be readily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September 30, 2024, brokered deposits totaled $422.2 million, or 11.2% of total deposits.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On a stand-alone level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September 30, 2024, we (on an unconsolidated basis) had liquid assets of $1.1 million.</w:t>
      </w:r>
    </w:p>
    <w:p>
      <w:pPr>
        <w:spacing w:after="0" w:line="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At the Bank level, we use our sources of funds primarily to meet our ongoing commitments, pay maturing deposits and fund withdrawals and to fund loan commitments. At September 30, 2024, the total approved loan commitments and unused lines of credit outstanding amounted to $246.9 million and $689.0 million, respectively, as compared to $240.9 million and $690.6 million as of December 31, 2023. Certificates of deposit scheduled to mature in one year or less at September 30, 2024 totaled $963.5 million. It is management's policy to manage deposit rates that are competitive with other local financial institutions. Based on this strategy, we believe that a majority of maturing deposits will be retained.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Off-Balance Sheet Activities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 xml:space="preserve">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 liquidity risks. For further information, see "Note 12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Commitments and Contingencies" in this Quarterly Report on Form 10-Q.</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Capital Resources</w:t>
      </w:r>
    </w:p>
    <w:p>
      <w:pPr>
        <w:spacing w:after="0" w:line="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HomeTrust Bancshares, Inc. is a bank holding company subject to regulation by the Federal Reserve. As a bank holding company, we are subject to capital adequacy requirements of the Federal Reserve under the Bank Holding Company Act of 1956, as amended and the regulations of the Federal Reserve. The Company's subsidiary, the Bank, an FDIC-insured, North Carolina state-chartered bank and a member of the Federal Reserve System, is supervised and regulated by the Federal Reserve and the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discretionary actions by bank regulators that, if undertaken, could have a direct material effect on the Company's financial statements.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45" w:name="page46"/>
    <w:bookmarkEnd w:id="45"/>
    <w:p>
      <w:pPr>
        <w:jc w:val="both"/>
        <w:spacing w:after="0" w:line="259" w:lineRule="auto"/>
        <w:rPr>
          <w:sz w:val="20"/>
          <w:szCs w:val="20"/>
          <w:color w:val="auto"/>
        </w:rPr>
      </w:pPr>
      <w:r>
        <w:rPr>
          <w:rFonts w:ascii="Times New Roman" w:cs="Times New Roman" w:eastAsia="Times New Roman" w:hAnsi="Times New Roman"/>
          <w:sz w:val="13"/>
          <w:szCs w:val="13"/>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The Bank’s capital amounts and classification are also subject to qualitative judgments by the regulators about components, risk weightings and other factors.</w:t>
      </w:r>
    </w:p>
    <w:p>
      <w:pPr>
        <w:spacing w:after="0" w:line="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At September 30, 2024, HomeTrust Bancshares, Inc. and the Bank each exceeded all regulatory capital requirements. Consistent with the Company's goals to operate a sound and profitable organization, its policy is for the Bank to maintain a “well-capitalized” status under the regulatory capital categories of the Federal Reserve. The Bank was categorized as "well-capitalized" at September 30, 2024 under applicable regulatory requirements.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HomeTrust Bancshares, Inc.'s and the Bank's actual and required minimum capital amounts and ratios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3"/>
                <w:szCs w:val="13"/>
                <w:b w:val="1"/>
                <w:bCs w:val="1"/>
                <w:color w:val="auto"/>
              </w:rPr>
              <w:t>Regulatory Requirements</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3"/>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3"/>
          </w:tcPr>
          <w:p>
            <w:pPr>
              <w:jc w:val="center"/>
              <w:ind w:left="156"/>
              <w:spacing w:after="0" w:line="120" w:lineRule="exact"/>
              <w:rPr>
                <w:sz w:val="20"/>
                <w:szCs w:val="20"/>
                <w:color w:val="auto"/>
              </w:rPr>
            </w:pPr>
            <w:r>
              <w:rPr>
                <w:rFonts w:ascii="Times New Roman" w:cs="Times New Roman" w:eastAsia="Times New Roman" w:hAnsi="Times New Roman"/>
                <w:sz w:val="13"/>
                <w:szCs w:val="13"/>
                <w:b w:val="1"/>
                <w:bCs w:val="1"/>
                <w:color w:val="auto"/>
                <w:w w:val="98"/>
              </w:rPr>
              <w:t>Minimum for Capital</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40" w:type="dxa"/>
            <w:vAlign w:val="bottom"/>
            <w:gridSpan w:val="3"/>
          </w:tcPr>
          <w:p>
            <w:pPr>
              <w:jc w:val="right"/>
              <w:ind w:right="616"/>
              <w:spacing w:after="0" w:line="120" w:lineRule="exact"/>
              <w:rPr>
                <w:sz w:val="20"/>
                <w:szCs w:val="20"/>
                <w:color w:val="auto"/>
              </w:rPr>
            </w:pPr>
            <w:r>
              <w:rPr>
                <w:rFonts w:ascii="Times New Roman" w:cs="Times New Roman" w:eastAsia="Times New Roman" w:hAnsi="Times New Roman"/>
                <w:sz w:val="13"/>
                <w:szCs w:val="13"/>
                <w:b w:val="1"/>
                <w:bCs w:val="1"/>
                <w:color w:val="auto"/>
              </w:rPr>
              <w:t>Minimum to Be</w:t>
            </w:r>
          </w:p>
        </w:tc>
        <w:tc>
          <w:tcPr>
            <w:tcW w:w="0" w:type="dxa"/>
            <w:vAlign w:val="bottom"/>
          </w:tcPr>
          <w:p>
            <w:pPr>
              <w:spacing w:after="0"/>
              <w:rPr>
                <w:sz w:val="1"/>
                <w:szCs w:val="1"/>
                <w:color w:val="auto"/>
              </w:rPr>
            </w:pPr>
          </w:p>
        </w:tc>
      </w:tr>
      <w:tr>
        <w:trPr>
          <w:trHeight w:val="167"/>
        </w:trPr>
        <w:tc>
          <w:tcPr>
            <w:tcW w:w="4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w w:val="96"/>
              </w:rPr>
              <w:t>Adequacy Purposes</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Well Capitalized</w:t>
            </w:r>
          </w:p>
        </w:tc>
        <w:tc>
          <w:tcPr>
            <w:tcW w:w="0" w:type="dxa"/>
            <w:vAlign w:val="bottom"/>
          </w:tcPr>
          <w:p>
            <w:pPr>
              <w:spacing w:after="0"/>
              <w:rPr>
                <w:sz w:val="1"/>
                <w:szCs w:val="1"/>
                <w:color w:val="auto"/>
              </w:rPr>
            </w:pPr>
          </w:p>
        </w:tc>
      </w:tr>
      <w:tr>
        <w:trPr>
          <w:trHeight w:val="162"/>
        </w:trPr>
        <w:tc>
          <w:tcPr>
            <w:tcW w:w="446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Ratio</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w w:val="92"/>
              </w:rPr>
              <w:t>Ratio</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Ratio</w:t>
            </w:r>
          </w:p>
        </w:tc>
        <w:tc>
          <w:tcPr>
            <w:tcW w:w="0" w:type="dxa"/>
            <w:vAlign w:val="bottom"/>
          </w:tcPr>
          <w:p>
            <w:pPr>
              <w:spacing w:after="0"/>
              <w:rPr>
                <w:sz w:val="1"/>
                <w:szCs w:val="1"/>
                <w:color w:val="auto"/>
              </w:rPr>
            </w:pPr>
          </w:p>
        </w:tc>
      </w:tr>
      <w:tr>
        <w:trPr>
          <w:trHeight w:val="150"/>
        </w:trPr>
        <w:tc>
          <w:tcPr>
            <w:tcW w:w="44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HomeTrust Bancshares, Inc.</w:t>
            </w: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501,529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6"/>
              </w:rPr>
              <w:t>12.22 %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184,724</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4.50 %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266,824</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68"/>
        </w:trPr>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Tier I Capital (to total adjusted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511,624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11.60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176,486</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220,607</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Tier I Capital (to risk-weighted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511,624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12.46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246,299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328,399</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212"/>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558,894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3"/>
                <w:szCs w:val="13"/>
                <w:color w:val="auto"/>
              </w:rPr>
              <w:t>13.62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328,399</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410,499</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67"/>
        </w:trPr>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463,946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6"/>
              </w:rPr>
              <w:t>11.33 %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184,256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4.50 %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266,148</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68"/>
        </w:trPr>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Tier I Capital (to total adjusted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473,966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10.84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174,910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218,638</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Tier I Capital (to risk-weighted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473,966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11.58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245,675</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327,567</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65"/>
        </w:trPr>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517,942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12.65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327,567</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409,458</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47"/>
        </w:trPr>
        <w:tc>
          <w:tcPr>
            <w:tcW w:w="4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HomeTrust Bank</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508,756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6"/>
              </w:rPr>
              <w:t>12.39 %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184,724</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4.50 %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266,824</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68"/>
        </w:trPr>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Tier I Capital (to total adjusted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508,756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11.54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176,372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220,465</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Tier I Capital (to risk-weighted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508,756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12.39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246,299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328,399</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212"/>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556,026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3"/>
                <w:szCs w:val="13"/>
                <w:color w:val="auto"/>
              </w:rPr>
              <w:t>13.55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328,399</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410,499</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67"/>
        </w:trPr>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484,238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6"/>
              </w:rPr>
              <w:t>11.83 %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184,249</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4.50 %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266,137</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68"/>
        </w:trPr>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Tier I Capital (to total adjusted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484,238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11.08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174,849</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218,562</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Tier I Capital (to risk-weighted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484,238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11.83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245,665</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327,553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65"/>
        </w:trPr>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528,214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12.90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327,553</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409,442</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As permitted by the interim final rule issued on March 27, 2020 by the federal banking regulatory agencies, the Company elected the option to delay the estimated impact on regulatory capital of ASU 2016-13, which was adopted on July 1, 2020. The initial adoption of ASU 2016-13 as well as 25% of the quarterly increases in the ACL subsequent to adoption (collectively the “transition adjustments”) was delayed for two years. Starting July 1, 2022, the cumulative amount of the transition adjustments became fixed and will be phased out of the regulatory capital calculations evenly over a three-year period, with 75% recognized in year three, 50% recognized in year four, and 25% recognized in year five. After five years, the temporary regulatory capital benefits will be fully reversed.</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September 30, 2024, the Company's and Bank's risk-based capital exceeded the required capital contribution buffer.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Dividends paid by HomeTrust Bank are limited, without regulatory approval, to current year earnings and earnings less dividends paid during the preceding two years.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Quantitative and Qualitative Disclosures About Market Risk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has not been any material change in the market risk disclosures contained in our 2023 Form 10-KT.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Controls and Procedures</w:t>
      </w:r>
    </w:p>
    <w:p>
      <w:pPr>
        <w:spacing w:after="0" w:line="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i w:val="1"/>
          <w:iCs w:val="1"/>
          <w:u w:val="single" w:color="auto"/>
          <w:color w:val="auto"/>
        </w:rPr>
        <w:t>Evaluation of Disclosure Controls and Procedures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 evaluation of our disclosure controls and procedures (as defined in Rule 13a-15(e) of the Securities Exchange Act of 1934 (the "Act")) as of September 30, 2024,</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was carried out under the supervision and with the participation of the Company's Chief Executive Officer, Chief Financial Officer and several other members of the Company's senior management. The Company's Chief Executive Officer and Chief Financial Officer concluded that the Company's disclosure controls and procedures in effect as of September 30, 2024, were effective in ensuring that the information required to be disclosed by the Company in the reports it files or submits under the Act is: (i) accumulated and communicated to the Company's management (including the Chief Executive Officer and Chief</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color w:val="auto"/>
        </w:rPr>
        <w:t>Financial Officer) in a timely manner and (ii) recorded, processed, summarized and reported within the time periods specified in the SEC's rules and forms.</w:t>
      </w:r>
    </w:p>
    <w:p>
      <w:pPr>
        <w:spacing w:after="0" w:line="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 Company does not expect that its disclosure controls and procedures and internal control over financial reporting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i w:val="1"/>
          <w:iCs w:val="1"/>
          <w:u w:val="single" w:color="auto"/>
          <w:color w:val="auto"/>
        </w:rPr>
        <w:t>Changes in Internal Controls</w:t>
      </w:r>
      <w:r>
        <w:rPr>
          <w:rFonts w:ascii="Times New Roman" w:cs="Times New Roman" w:eastAsia="Times New Roman" w:hAnsi="Times New Roman"/>
          <w:sz w:val="13"/>
          <w:szCs w:val="13"/>
          <w:color w:val="auto"/>
        </w:rPr>
        <w:t>: There have been no changes in the Company’s internal control over financial reporting during the quarter ended September 30, 2024 that have materially affected, or are reasonably likely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materially affect, the Company’s internal control over financial reporting.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 II. OTHER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Legal Proceedings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The "Litigation" section of "Note 12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Commitments and Contingencies" to the Consolidated Financial Statements included in Part I, Item 1 is incorporated herein by reference.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have been no material changes in the Risk Factors previously disclosed in Item 1A of the 2023 Form 10-KT.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Unregistered Sales of Equity Securities and Use of Proceeds</w:t>
      </w:r>
    </w:p>
    <w:p>
      <w:pPr>
        <w:spacing w:after="0" w:line="33" w:lineRule="exact"/>
        <w:rPr>
          <w:sz w:val="20"/>
          <w:szCs w:val="20"/>
          <w:color w:val="auto"/>
        </w:rPr>
      </w:pPr>
    </w:p>
    <w:p>
      <w:pPr>
        <w:ind w:left="280" w:hanging="275"/>
        <w:spacing w:after="0"/>
        <w:tabs>
          <w:tab w:leader="none" w:pos="2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30"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30"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table provides information about repurchases of common stock by the Company during the quarter ended September 30, 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Maximum # of</w:t>
            </w:r>
          </w:p>
        </w:tc>
        <w:tc>
          <w:tcPr>
            <w:tcW w:w="0" w:type="dxa"/>
            <w:vAlign w:val="bottom"/>
          </w:tcPr>
          <w:p>
            <w:pPr>
              <w:spacing w:after="0"/>
              <w:rPr>
                <w:sz w:val="1"/>
                <w:szCs w:val="1"/>
                <w:color w:val="auto"/>
              </w:rPr>
            </w:pPr>
          </w:p>
        </w:tc>
      </w:tr>
      <w:tr>
        <w:trPr>
          <w:trHeight w:val="127"/>
        </w:trPr>
        <w:tc>
          <w:tcPr>
            <w:tcW w:w="35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Total # of Shares Purchased as</w:t>
            </w:r>
          </w:p>
        </w:tc>
        <w:tc>
          <w:tcPr>
            <w:tcW w:w="19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Shares that May</w:t>
            </w:r>
          </w:p>
        </w:tc>
        <w:tc>
          <w:tcPr>
            <w:tcW w:w="0" w:type="dxa"/>
            <w:vAlign w:val="bottom"/>
          </w:tcPr>
          <w:p>
            <w:pPr>
              <w:spacing w:after="0"/>
              <w:rPr>
                <w:sz w:val="1"/>
                <w:szCs w:val="1"/>
                <w:color w:val="auto"/>
              </w:rPr>
            </w:pPr>
          </w:p>
        </w:tc>
      </w:tr>
      <w:tr>
        <w:trPr>
          <w:trHeight w:val="127"/>
        </w:trPr>
        <w:tc>
          <w:tcPr>
            <w:tcW w:w="3500" w:type="dxa"/>
            <w:vAlign w:val="bottom"/>
            <w:vMerge w:val="restart"/>
          </w:tcPr>
          <w:p>
            <w:pPr>
              <w:jc w:val="right"/>
              <w:ind w:right="301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Total # of Shares Purchased</w:t>
            </w:r>
          </w:p>
        </w:tc>
        <w:tc>
          <w:tcPr>
            <w:tcW w:w="1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Average Price Paid per Share</w:t>
            </w:r>
          </w:p>
        </w:tc>
        <w:tc>
          <w:tcPr>
            <w:tcW w:w="2040" w:type="dxa"/>
            <w:vAlign w:val="bottom"/>
            <w:gridSpan w:val="2"/>
            <w:vMerge w:val="continue"/>
          </w:tcPr>
          <w:p>
            <w:pPr>
              <w:spacing w:after="0"/>
              <w:rPr>
                <w:sz w:val="11"/>
                <w:szCs w:val="11"/>
                <w:color w:val="auto"/>
              </w:rPr>
            </w:pPr>
          </w:p>
        </w:tc>
        <w:tc>
          <w:tcPr>
            <w:tcW w:w="19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Yet Be Purchased Under Publicly</w:t>
            </w:r>
          </w:p>
        </w:tc>
        <w:tc>
          <w:tcPr>
            <w:tcW w:w="0" w:type="dxa"/>
            <w:vAlign w:val="bottom"/>
          </w:tcPr>
          <w:p>
            <w:pPr>
              <w:spacing w:after="0"/>
              <w:rPr>
                <w:sz w:val="1"/>
                <w:szCs w:val="1"/>
                <w:color w:val="auto"/>
              </w:rPr>
            </w:pPr>
          </w:p>
        </w:tc>
      </w:tr>
      <w:tr>
        <w:trPr>
          <w:trHeight w:val="170"/>
        </w:trPr>
        <w:tc>
          <w:tcPr>
            <w:tcW w:w="3500" w:type="dxa"/>
            <w:vAlign w:val="bottom"/>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Part of Publicly Announced Plans</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Announced Plans</w:t>
            </w:r>
          </w:p>
        </w:tc>
        <w:tc>
          <w:tcPr>
            <w:tcW w:w="0" w:type="dxa"/>
            <w:vAlign w:val="bottom"/>
          </w:tcPr>
          <w:p>
            <w:pPr>
              <w:spacing w:after="0"/>
              <w:rPr>
                <w:sz w:val="1"/>
                <w:szCs w:val="1"/>
                <w:color w:val="auto"/>
              </w:rPr>
            </w:pPr>
          </w:p>
        </w:tc>
      </w:tr>
      <w:tr>
        <w:trPr>
          <w:trHeight w:val="161"/>
        </w:trPr>
        <w:tc>
          <w:tcPr>
            <w:tcW w:w="3500" w:type="dxa"/>
            <w:vAlign w:val="bottom"/>
            <w:tcBorders>
              <w:top w:val="single" w:sz="8" w:color="CCEEFF"/>
            </w:tcBorders>
            <w:shd w:val="clear" w:color="auto" w:fill="CCEEFF"/>
          </w:tcPr>
          <w:p>
            <w:pPr>
              <w:ind w:left="80"/>
              <w:spacing w:after="0" w:line="146" w:lineRule="exact"/>
              <w:rPr>
                <w:sz w:val="20"/>
                <w:szCs w:val="20"/>
                <w:color w:val="auto"/>
              </w:rPr>
            </w:pPr>
            <w:r>
              <w:rPr>
                <w:rFonts w:ascii="Times New Roman" w:cs="Times New Roman" w:eastAsia="Times New Roman" w:hAnsi="Times New Roman"/>
                <w:sz w:val="13"/>
                <w:szCs w:val="13"/>
                <w:color w:val="auto"/>
              </w:rPr>
              <w:t>July 1 - July 31, 2024</w:t>
            </w:r>
          </w:p>
        </w:tc>
        <w:tc>
          <w:tcPr>
            <w:tcW w:w="1720" w:type="dxa"/>
            <w:vAlign w:val="bottom"/>
            <w:tcBorders>
              <w:top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243,156</w:t>
            </w:r>
          </w:p>
        </w:tc>
        <w:tc>
          <w:tcPr>
            <w:tcW w:w="0" w:type="dxa"/>
            <w:vAlign w:val="bottom"/>
          </w:tcPr>
          <w:p>
            <w:pPr>
              <w:spacing w:after="0"/>
              <w:rPr>
                <w:sz w:val="1"/>
                <w:szCs w:val="1"/>
                <w:color w:val="auto"/>
              </w:rPr>
            </w:pPr>
          </w:p>
        </w:tc>
      </w:tr>
      <w:tr>
        <w:trPr>
          <w:trHeight w:val="168"/>
        </w:trPr>
        <w:tc>
          <w:tcPr>
            <w:tcW w:w="3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August 1 - August 31, 2024</w:t>
            </w:r>
          </w:p>
        </w:tc>
        <w:tc>
          <w:tcPr>
            <w:tcW w:w="1800" w:type="dxa"/>
            <w:vAlign w:val="bottom"/>
            <w:gridSpan w:val="2"/>
          </w:tcPr>
          <w:p>
            <w:pPr>
              <w:ind w:left="15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4"/>
                <w:szCs w:val="14"/>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243,156</w:t>
            </w:r>
          </w:p>
        </w:tc>
        <w:tc>
          <w:tcPr>
            <w:tcW w:w="0" w:type="dxa"/>
            <w:vAlign w:val="bottom"/>
          </w:tcPr>
          <w:p>
            <w:pPr>
              <w:spacing w:after="0"/>
              <w:rPr>
                <w:sz w:val="1"/>
                <w:szCs w:val="1"/>
                <w:color w:val="auto"/>
              </w:rPr>
            </w:pPr>
          </w:p>
        </w:tc>
      </w:tr>
      <w:tr>
        <w:trPr>
          <w:trHeight w:val="172"/>
        </w:trPr>
        <w:tc>
          <w:tcPr>
            <w:tcW w:w="3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September 1 - September 30, 2024</w:t>
            </w:r>
          </w:p>
        </w:tc>
        <w:tc>
          <w:tcPr>
            <w:tcW w:w="18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243,156</w:t>
            </w:r>
          </w:p>
        </w:tc>
        <w:tc>
          <w:tcPr>
            <w:tcW w:w="0" w:type="dxa"/>
            <w:vAlign w:val="bottom"/>
          </w:tcPr>
          <w:p>
            <w:pPr>
              <w:spacing w:after="0"/>
              <w:rPr>
                <w:sz w:val="1"/>
                <w:szCs w:val="1"/>
                <w:color w:val="auto"/>
              </w:rPr>
            </w:pPr>
          </w:p>
        </w:tc>
      </w:tr>
      <w:tr>
        <w:trPr>
          <w:trHeight w:val="158"/>
        </w:trPr>
        <w:tc>
          <w:tcPr>
            <w:tcW w:w="3500" w:type="dxa"/>
            <w:vAlign w:val="bottom"/>
          </w:tcPr>
          <w:p>
            <w:pPr>
              <w:jc w:val="right"/>
              <w:ind w:right="301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72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243,156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Over the years as a public company, the Company's Board of Directors has, from time to time, authorized the repurchase of its common stock. The most recent time this was done, on February 28, 2022, 806,000 shares of common stock were authorized for repurchase representing approximately 5% of the Company's outstanding shares at the time of the announcement. As of September 30, 2024, 562,844 of these shares had been purchased at an average price of $28.83 per share, 23,483 of which were repurchased during the nine months ended September 30, 2024. The shares may be purchased in the open market or in privately negotiated transactions, from time to time depending upon market conditions and other factors.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Defaults Upon Senior Securities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Nothing to report.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5. Other Information</w:t>
      </w:r>
    </w:p>
    <w:p>
      <w:pPr>
        <w:spacing w:after="0" w:line="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i w:val="1"/>
          <w:iCs w:val="1"/>
          <w:u w:val="single" w:color="auto"/>
          <w:color w:val="auto"/>
        </w:rPr>
        <w:t>Trading Plans</w:t>
      </w:r>
      <w:r>
        <w:rPr>
          <w:rFonts w:ascii="Times New Roman" w:cs="Times New Roman" w:eastAsia="Times New Roman" w:hAnsi="Times New Roman"/>
          <w:sz w:val="13"/>
          <w:szCs w:val="13"/>
          <w:color w:val="auto"/>
        </w:rPr>
        <w:t>: During the quarter ended September 30, 2024, no director or officer (as defined in Rule 16a-1(f) under the Exchange Act) of the Company adopted or terminated a "Rule 10b5-1 trading arrangement"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"non-Rule 10b5-1 trading arrangement," as each term is defined in Item 408(a) of Regulation S-K.</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6. Exhibits</w:t>
            </w: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Regulation</w:t>
            </w:r>
          </w:p>
        </w:tc>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80" w:type="dxa"/>
            <w:vAlign w:val="bottom"/>
            <w:vMerge w:val="restart"/>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 to Prior Filing or</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S-K Exhibit #</w:t>
            </w:r>
          </w:p>
        </w:tc>
        <w:tc>
          <w:tcPr>
            <w:tcW w:w="100" w:type="dxa"/>
            <w:vAlign w:val="bottom"/>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Exhibit # Attached Hereto</w:t>
            </w:r>
          </w:p>
        </w:tc>
        <w:tc>
          <w:tcPr>
            <w:tcW w:w="0" w:type="dxa"/>
            <w:vAlign w:val="bottom"/>
          </w:tcPr>
          <w:p>
            <w:pPr>
              <w:spacing w:after="0"/>
              <w:rPr>
                <w:sz w:val="1"/>
                <w:szCs w:val="1"/>
                <w:color w:val="auto"/>
              </w:rPr>
            </w:pPr>
          </w:p>
        </w:tc>
      </w:tr>
      <w:tr>
        <w:trPr>
          <w:trHeight w:val="31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100" w:type="dxa"/>
            <w:vAlign w:val="bottom"/>
          </w:tcPr>
          <w:p>
            <w:pPr>
              <w:spacing w:after="0"/>
              <w:rPr>
                <w:sz w:val="24"/>
                <w:szCs w:val="24"/>
                <w:color w:val="auto"/>
              </w:rPr>
            </w:pPr>
          </w:p>
        </w:tc>
        <w:tc>
          <w:tcPr>
            <w:tcW w:w="8360" w:type="dxa"/>
            <w:vAlign w:val="bottom"/>
            <w:gridSpan w:val="5"/>
          </w:tcPr>
          <w:p>
            <w:pPr>
              <w:spacing w:after="0"/>
              <w:rPr>
                <w:rFonts w:ascii="Times New Roman" w:cs="Times New Roman" w:eastAsia="Times New Roman" w:hAnsi="Times New Roman"/>
                <w:sz w:val="13"/>
                <w:szCs w:val="13"/>
                <w:color w:val="0000FF"/>
              </w:rPr>
            </w:pPr>
            <w:hyperlink r:id="rId57">
              <w:r>
                <w:rPr>
                  <w:rFonts w:ascii="Times New Roman" w:cs="Times New Roman" w:eastAsia="Times New Roman" w:hAnsi="Times New Roman"/>
                  <w:sz w:val="13"/>
                  <w:szCs w:val="13"/>
                  <w:color w:val="0000FF"/>
                </w:rPr>
                <w:t>Charter of HomeTrust Bancshares, Inc.</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100" w:type="dxa"/>
            <w:vAlign w:val="bottom"/>
          </w:tcPr>
          <w:p>
            <w:pPr>
              <w:spacing w:after="0"/>
              <w:rPr>
                <w:sz w:val="13"/>
                <w:szCs w:val="13"/>
                <w:color w:val="auto"/>
              </w:rPr>
            </w:pPr>
          </w:p>
        </w:tc>
        <w:tc>
          <w:tcPr>
            <w:tcW w:w="3220" w:type="dxa"/>
            <w:vAlign w:val="bottom"/>
            <w:tcBorders>
              <w:bottom w:val="single" w:sz="8" w:color="0000FF"/>
            </w:tcBorders>
            <w:gridSpan w:val="2"/>
          </w:tcPr>
          <w:p>
            <w:pPr>
              <w:spacing w:after="0"/>
              <w:rPr>
                <w:rFonts w:ascii="Times New Roman" w:cs="Times New Roman" w:eastAsia="Times New Roman" w:hAnsi="Times New Roman"/>
                <w:sz w:val="13"/>
                <w:szCs w:val="13"/>
                <w:color w:val="0000FF"/>
                <w:w w:val="97"/>
              </w:rPr>
            </w:pPr>
            <w:hyperlink r:id="rId58">
              <w:r>
                <w:rPr>
                  <w:rFonts w:ascii="Times New Roman" w:cs="Times New Roman" w:eastAsia="Times New Roman" w:hAnsi="Times New Roman"/>
                  <w:sz w:val="13"/>
                  <w:szCs w:val="13"/>
                  <w:color w:val="0000FF"/>
                  <w:w w:val="97"/>
                </w:rPr>
                <w:t>Amended and Restated Bylaws of HomeTrust Bancshares, Inc.</w:t>
              </w:r>
            </w:hyperlink>
          </w:p>
        </w:tc>
        <w:tc>
          <w:tcPr>
            <w:tcW w:w="5140" w:type="dxa"/>
            <w:vAlign w:val="bottom"/>
            <w:gridSpan w:val="3"/>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(p)</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13"/>
                <w:szCs w:val="13"/>
                <w:color w:val="auto"/>
              </w:rPr>
            </w:pPr>
          </w:p>
        </w:tc>
        <w:tc>
          <w:tcPr>
            <w:tcW w:w="8360" w:type="dxa"/>
            <w:vAlign w:val="bottom"/>
            <w:gridSpan w:val="5"/>
          </w:tcPr>
          <w:p>
            <w:pPr>
              <w:spacing w:after="0"/>
              <w:rPr>
                <w:rFonts w:ascii="Times New Roman" w:cs="Times New Roman" w:eastAsia="Times New Roman" w:hAnsi="Times New Roman"/>
                <w:sz w:val="13"/>
                <w:szCs w:val="13"/>
                <w:color w:val="0000FF"/>
              </w:rPr>
            </w:pPr>
            <w:hyperlink r:id="rId59">
              <w:r>
                <w:rPr>
                  <w:rFonts w:ascii="Times New Roman" w:cs="Times New Roman" w:eastAsia="Times New Roman" w:hAnsi="Times New Roman"/>
                  <w:sz w:val="13"/>
                  <w:szCs w:val="13"/>
                  <w:color w:val="0000FF"/>
                </w:rPr>
                <w:t>HomeTrust Bancshares, Inc. Senior Leadership Incentive Plan (formerly known as Operating Committee Incentive Program)</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4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Regulation</w:t>
            </w:r>
          </w:p>
        </w:tc>
        <w:tc>
          <w:tcPr>
            <w:tcW w:w="1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00" w:type="dxa"/>
            <w:vAlign w:val="bottom"/>
            <w:gridSpan w:val="16"/>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0" w:type="dxa"/>
            <w:vAlign w:val="bottom"/>
          </w:tcPr>
          <w:p>
            <w:pPr>
              <w:spacing w:after="0"/>
              <w:rPr>
                <w:sz w:val="1"/>
                <w:szCs w:val="1"/>
                <w:color w:val="auto"/>
              </w:rPr>
            </w:pPr>
          </w:p>
        </w:tc>
      </w:tr>
      <w:tr>
        <w:trPr>
          <w:trHeight w:val="16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S-K Exhibit #</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0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14"/>
                <w:szCs w:val="14"/>
                <w:color w:val="auto"/>
              </w:rPr>
            </w:pPr>
          </w:p>
        </w:tc>
        <w:tc>
          <w:tcPr>
            <w:tcW w:w="8280" w:type="dxa"/>
            <w:vAlign w:val="bottom"/>
            <w:tcBorders>
              <w:top w:val="single" w:sz="8" w:color="auto"/>
            </w:tcBorders>
            <w:gridSpan w:val="35"/>
          </w:tcPr>
          <w:p>
            <w:pPr>
              <w:spacing w:after="0"/>
              <w:rPr>
                <w:rFonts w:ascii="Times New Roman" w:cs="Times New Roman" w:eastAsia="Times New Roman" w:hAnsi="Times New Roman"/>
                <w:sz w:val="13"/>
                <w:szCs w:val="13"/>
                <w:color w:val="0000FF"/>
              </w:rPr>
            </w:pPr>
            <w:hyperlink r:id="rId61">
              <w:r>
                <w:rPr>
                  <w:rFonts w:ascii="Times New Roman" w:cs="Times New Roman" w:eastAsia="Times New Roman" w:hAnsi="Times New Roman"/>
                  <w:sz w:val="13"/>
                  <w:szCs w:val="13"/>
                  <w:color w:val="0000FF"/>
                </w:rPr>
                <w:t>Amended and Restated Employment and Transition Agreement between HomeTrust Bancshares, Inc. and Dana L. Stonestreet</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10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30"/>
          </w:tcPr>
          <w:p>
            <w:pPr>
              <w:spacing w:after="0"/>
              <w:rPr>
                <w:rFonts w:ascii="Times New Roman" w:cs="Times New Roman" w:eastAsia="Times New Roman" w:hAnsi="Times New Roman"/>
                <w:sz w:val="13"/>
                <w:szCs w:val="13"/>
                <w:color w:val="0000FF"/>
                <w:w w:val="97"/>
              </w:rPr>
            </w:pPr>
            <w:hyperlink r:id="rId62">
              <w:r>
                <w:rPr>
                  <w:rFonts w:ascii="Times New Roman" w:cs="Times New Roman" w:eastAsia="Times New Roman" w:hAnsi="Times New Roman"/>
                  <w:sz w:val="13"/>
                  <w:szCs w:val="13"/>
                  <w:color w:val="0000FF"/>
                  <w:w w:val="97"/>
                </w:rPr>
                <w:t>Amended and Restated Employment Agreement between HomeTrust Bancshares, Inc. and C. Hunter Westbrook</w:t>
              </w:r>
            </w:hyperlink>
          </w:p>
        </w:tc>
        <w:tc>
          <w:tcPr>
            <w:tcW w:w="680" w:type="dxa"/>
            <w:vAlign w:val="bottom"/>
            <w:tcBorders>
              <w:top w:val="single" w:sz="8" w:color="0000FF"/>
            </w:tcBorders>
          </w:tcPr>
          <w:p>
            <w:pPr>
              <w:spacing w:after="0"/>
              <w:rPr>
                <w:sz w:val="13"/>
                <w:szCs w:val="13"/>
                <w:color w:val="auto"/>
              </w:rPr>
            </w:pPr>
          </w:p>
        </w:tc>
        <w:tc>
          <w:tcPr>
            <w:tcW w:w="18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10.3A</w:t>
            </w:r>
          </w:p>
        </w:tc>
        <w:tc>
          <w:tcPr>
            <w:tcW w:w="8280" w:type="dxa"/>
            <w:vAlign w:val="bottom"/>
            <w:gridSpan w:val="35"/>
          </w:tcPr>
          <w:p>
            <w:pPr>
              <w:spacing w:after="0"/>
              <w:rPr>
                <w:rFonts w:ascii="Times New Roman" w:cs="Times New Roman" w:eastAsia="Times New Roman" w:hAnsi="Times New Roman"/>
                <w:sz w:val="13"/>
                <w:szCs w:val="13"/>
                <w:color w:val="0000FF"/>
              </w:rPr>
            </w:pPr>
            <w:hyperlink r:id="rId63">
              <w:r>
                <w:rPr>
                  <w:rFonts w:ascii="Times New Roman" w:cs="Times New Roman" w:eastAsia="Times New Roman" w:hAnsi="Times New Roman"/>
                  <w:sz w:val="13"/>
                  <w:szCs w:val="13"/>
                  <w:color w:val="0000FF"/>
                </w:rPr>
                <w:t>Amendment No. 1 to Amended and Restated Employment Agreement between HomeTrust Bancshares, Inc. and C. Hunter Westbrook</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10.3B</w:t>
            </w:r>
          </w:p>
        </w:tc>
        <w:tc>
          <w:tcPr>
            <w:tcW w:w="8280" w:type="dxa"/>
            <w:vAlign w:val="bottom"/>
            <w:gridSpan w:val="35"/>
          </w:tcPr>
          <w:p>
            <w:pPr>
              <w:spacing w:after="0"/>
              <w:rPr>
                <w:rFonts w:ascii="Times New Roman" w:cs="Times New Roman" w:eastAsia="Times New Roman" w:hAnsi="Times New Roman"/>
                <w:sz w:val="13"/>
                <w:szCs w:val="13"/>
                <w:color w:val="0000FF"/>
              </w:rPr>
            </w:pPr>
            <w:hyperlink r:id="rId64">
              <w:r>
                <w:rPr>
                  <w:rFonts w:ascii="Times New Roman" w:cs="Times New Roman" w:eastAsia="Times New Roman" w:hAnsi="Times New Roman"/>
                  <w:sz w:val="13"/>
                  <w:szCs w:val="13"/>
                  <w:color w:val="0000FF"/>
                </w:rPr>
                <w:t>Amendment No. 2 to Amended and Restated Employment Agreement between HomeTrust Bancshares, Inc. and C. Hunter Westbrook</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10.3C</w:t>
            </w:r>
          </w:p>
        </w:tc>
        <w:tc>
          <w:tcPr>
            <w:tcW w:w="8280" w:type="dxa"/>
            <w:vAlign w:val="bottom"/>
            <w:gridSpan w:val="35"/>
          </w:tcPr>
          <w:p>
            <w:pPr>
              <w:spacing w:after="0"/>
              <w:rPr>
                <w:rFonts w:ascii="Times New Roman" w:cs="Times New Roman" w:eastAsia="Times New Roman" w:hAnsi="Times New Roman"/>
                <w:sz w:val="13"/>
                <w:szCs w:val="13"/>
                <w:color w:val="0000FF"/>
              </w:rPr>
            </w:pPr>
            <w:hyperlink r:id="rId65">
              <w:r>
                <w:rPr>
                  <w:rFonts w:ascii="Times New Roman" w:cs="Times New Roman" w:eastAsia="Times New Roman" w:hAnsi="Times New Roman"/>
                  <w:sz w:val="13"/>
                  <w:szCs w:val="13"/>
                  <w:color w:val="0000FF"/>
                </w:rPr>
                <w:t>Amendment No. 3 to Amended and Restated Employment Agreement between HomeTrust Bancshares, Inc. and C. Hunter Westbrook</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10.3D</w:t>
            </w:r>
          </w:p>
        </w:tc>
        <w:tc>
          <w:tcPr>
            <w:tcW w:w="8280" w:type="dxa"/>
            <w:vAlign w:val="bottom"/>
            <w:gridSpan w:val="35"/>
          </w:tcPr>
          <w:p>
            <w:pPr>
              <w:spacing w:after="0"/>
              <w:rPr>
                <w:rFonts w:ascii="Times New Roman" w:cs="Times New Roman" w:eastAsia="Times New Roman" w:hAnsi="Times New Roman"/>
                <w:sz w:val="13"/>
                <w:szCs w:val="13"/>
                <w:color w:val="0000FF"/>
              </w:rPr>
            </w:pPr>
            <w:hyperlink r:id="rId66">
              <w:r>
                <w:rPr>
                  <w:rFonts w:ascii="Times New Roman" w:cs="Times New Roman" w:eastAsia="Times New Roman" w:hAnsi="Times New Roman"/>
                  <w:sz w:val="13"/>
                  <w:szCs w:val="13"/>
                  <w:color w:val="0000FF"/>
                </w:rPr>
                <w:t>Amendment No. 4 to Amended and Restated Employment Agreement between HomeTrust Bancshares, Inc. and C. Hunter Westbrook</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10.4</w:t>
            </w:r>
          </w:p>
        </w:tc>
        <w:tc>
          <w:tcPr>
            <w:tcW w:w="100" w:type="dxa"/>
            <w:vAlign w:val="bottom"/>
          </w:tcPr>
          <w:p>
            <w:pPr>
              <w:spacing w:after="0"/>
              <w:rPr>
                <w:sz w:val="13"/>
                <w:szCs w:val="13"/>
                <w:color w:val="auto"/>
              </w:rPr>
            </w:pPr>
          </w:p>
        </w:tc>
        <w:tc>
          <w:tcPr>
            <w:tcW w:w="6840" w:type="dxa"/>
            <w:vAlign w:val="bottom"/>
            <w:tcBorders>
              <w:top w:val="single" w:sz="8" w:color="0000FF"/>
            </w:tcBorders>
            <w:gridSpan w:val="33"/>
          </w:tcPr>
          <w:p>
            <w:pPr>
              <w:spacing w:after="0"/>
              <w:rPr>
                <w:rFonts w:ascii="Times New Roman" w:cs="Times New Roman" w:eastAsia="Times New Roman" w:hAnsi="Times New Roman"/>
                <w:sz w:val="13"/>
                <w:szCs w:val="13"/>
                <w:color w:val="0000FF"/>
              </w:rPr>
            </w:pPr>
            <w:hyperlink r:id="rId62">
              <w:r>
                <w:rPr>
                  <w:rFonts w:ascii="Times New Roman" w:cs="Times New Roman" w:eastAsia="Times New Roman" w:hAnsi="Times New Roman"/>
                  <w:sz w:val="13"/>
                  <w:szCs w:val="13"/>
                  <w:color w:val="0000FF"/>
                </w:rPr>
                <w:t>Amended and Restated Employment Agreement between HomeTrust Bancshares, Inc. and Tony J. VunCannon</w:t>
              </w:r>
            </w:hyperlink>
          </w:p>
        </w:tc>
        <w:tc>
          <w:tcPr>
            <w:tcW w:w="1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10.4A</w:t>
            </w:r>
          </w:p>
        </w:tc>
        <w:tc>
          <w:tcPr>
            <w:tcW w:w="8280" w:type="dxa"/>
            <w:vAlign w:val="bottom"/>
            <w:gridSpan w:val="35"/>
          </w:tcPr>
          <w:p>
            <w:pPr>
              <w:spacing w:after="0"/>
              <w:rPr>
                <w:rFonts w:ascii="Times New Roman" w:cs="Times New Roman" w:eastAsia="Times New Roman" w:hAnsi="Times New Roman"/>
                <w:sz w:val="13"/>
                <w:szCs w:val="13"/>
                <w:color w:val="0000FF"/>
              </w:rPr>
            </w:pPr>
            <w:hyperlink r:id="rId61">
              <w:r>
                <w:rPr>
                  <w:rFonts w:ascii="Times New Roman" w:cs="Times New Roman" w:eastAsia="Times New Roman" w:hAnsi="Times New Roman"/>
                  <w:sz w:val="13"/>
                  <w:szCs w:val="13"/>
                  <w:color w:val="0000FF"/>
                </w:rPr>
                <w:t>Amendment No. 1 to Amended and Restated Employment Agreement between HomeTrust Bancshares, Inc. and Tony VunCannon</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10.5</w:t>
            </w:r>
          </w:p>
        </w:tc>
        <w:tc>
          <w:tcPr>
            <w:tcW w:w="100" w:type="dxa"/>
            <w:vAlign w:val="bottom"/>
          </w:tcPr>
          <w:p>
            <w:pPr>
              <w:spacing w:after="0"/>
              <w:rPr>
                <w:sz w:val="13"/>
                <w:szCs w:val="13"/>
                <w:color w:val="auto"/>
              </w:rPr>
            </w:pPr>
          </w:p>
        </w:tc>
        <w:tc>
          <w:tcPr>
            <w:tcW w:w="6660" w:type="dxa"/>
            <w:vAlign w:val="bottom"/>
            <w:tcBorders>
              <w:top w:val="single" w:sz="8" w:color="0000FF"/>
            </w:tcBorders>
            <w:gridSpan w:val="32"/>
          </w:tcPr>
          <w:p>
            <w:pPr>
              <w:spacing w:after="0"/>
              <w:rPr>
                <w:rFonts w:ascii="Times New Roman" w:cs="Times New Roman" w:eastAsia="Times New Roman" w:hAnsi="Times New Roman"/>
                <w:sz w:val="13"/>
                <w:szCs w:val="13"/>
                <w:color w:val="0000FF"/>
              </w:rPr>
            </w:pPr>
            <w:hyperlink r:id="rId57">
              <w:r>
                <w:rPr>
                  <w:rFonts w:ascii="Times New Roman" w:cs="Times New Roman" w:eastAsia="Times New Roman" w:hAnsi="Times New Roman"/>
                  <w:sz w:val="13"/>
                  <w:szCs w:val="13"/>
                  <w:color w:val="0000FF"/>
                </w:rPr>
                <w:t>HomeTrust Bank Executive Supplemental Retirement Income Master Agreement (“SERP”)</w:t>
              </w:r>
            </w:hyperlink>
          </w:p>
        </w:tc>
        <w:tc>
          <w:tcPr>
            <w:tcW w:w="16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10.6</w:t>
            </w:r>
          </w:p>
        </w:tc>
        <w:tc>
          <w:tcPr>
            <w:tcW w:w="100" w:type="dxa"/>
            <w:vAlign w:val="bottom"/>
          </w:tcPr>
          <w:p>
            <w:pPr>
              <w:spacing w:after="0"/>
              <w:rPr>
                <w:sz w:val="13"/>
                <w:szCs w:val="13"/>
                <w:color w:val="auto"/>
              </w:rPr>
            </w:pPr>
          </w:p>
        </w:tc>
        <w:tc>
          <w:tcPr>
            <w:tcW w:w="1420" w:type="dxa"/>
            <w:vAlign w:val="bottom"/>
            <w:tcBorders>
              <w:top w:val="single" w:sz="8" w:color="0000FF"/>
              <w:bottom w:val="single" w:sz="8" w:color="0000FF"/>
            </w:tcBorders>
          </w:tcPr>
          <w:p>
            <w:pPr>
              <w:spacing w:after="0"/>
              <w:rPr>
                <w:rFonts w:ascii="Times New Roman" w:cs="Times New Roman" w:eastAsia="Times New Roman" w:hAnsi="Times New Roman"/>
                <w:sz w:val="13"/>
                <w:szCs w:val="13"/>
                <w:color w:val="0000FF"/>
                <w:w w:val="97"/>
              </w:rPr>
            </w:pPr>
            <w:hyperlink r:id="rId67">
              <w:r>
                <w:rPr>
                  <w:rFonts w:ascii="Times New Roman" w:cs="Times New Roman" w:eastAsia="Times New Roman" w:hAnsi="Times New Roman"/>
                  <w:sz w:val="13"/>
                  <w:szCs w:val="13"/>
                  <w:color w:val="0000FF"/>
                  <w:w w:val="97"/>
                </w:rPr>
                <w:t>Amendment No. 1 to SERP</w:t>
              </w:r>
            </w:hyperlink>
          </w:p>
        </w:tc>
        <w:tc>
          <w:tcPr>
            <w:tcW w:w="3320" w:type="dxa"/>
            <w:vAlign w:val="bottom"/>
            <w:tcBorders>
              <w:top w:val="single" w:sz="8" w:color="0000FF"/>
            </w:tcBorders>
            <w:gridSpan w:val="26"/>
          </w:tcPr>
          <w:p>
            <w:pPr>
              <w:spacing w:after="0"/>
              <w:rPr>
                <w:sz w:val="13"/>
                <w:szCs w:val="13"/>
                <w:color w:val="auto"/>
              </w:rPr>
            </w:pPr>
          </w:p>
        </w:tc>
        <w:tc>
          <w:tcPr>
            <w:tcW w:w="35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10.7</w:t>
            </w:r>
          </w:p>
        </w:tc>
        <w:tc>
          <w:tcPr>
            <w:tcW w:w="100" w:type="dxa"/>
            <w:vAlign w:val="bottom"/>
          </w:tcPr>
          <w:p>
            <w:pPr>
              <w:spacing w:after="0"/>
              <w:rPr>
                <w:sz w:val="13"/>
                <w:szCs w:val="13"/>
                <w:color w:val="auto"/>
              </w:rPr>
            </w:pPr>
          </w:p>
        </w:tc>
        <w:tc>
          <w:tcPr>
            <w:tcW w:w="1420" w:type="dxa"/>
            <w:vAlign w:val="bottom"/>
            <w:tcBorders>
              <w:bottom w:val="single" w:sz="8" w:color="0000FF"/>
            </w:tcBorders>
          </w:tcPr>
          <w:p>
            <w:pPr>
              <w:spacing w:after="0"/>
              <w:rPr>
                <w:rFonts w:ascii="Times New Roman" w:cs="Times New Roman" w:eastAsia="Times New Roman" w:hAnsi="Times New Roman"/>
                <w:sz w:val="13"/>
                <w:szCs w:val="13"/>
                <w:color w:val="0000FF"/>
                <w:w w:val="97"/>
              </w:rPr>
            </w:pPr>
            <w:hyperlink r:id="rId68">
              <w:r>
                <w:rPr>
                  <w:rFonts w:ascii="Times New Roman" w:cs="Times New Roman" w:eastAsia="Times New Roman" w:hAnsi="Times New Roman"/>
                  <w:sz w:val="13"/>
                  <w:szCs w:val="13"/>
                  <w:color w:val="0000FF"/>
                  <w:w w:val="97"/>
                </w:rPr>
                <w:t>Amendment No. 2 to SERP</w:t>
              </w:r>
            </w:hyperlink>
          </w:p>
        </w:tc>
        <w:tc>
          <w:tcPr>
            <w:tcW w:w="6860" w:type="dxa"/>
            <w:vAlign w:val="bottom"/>
            <w:gridSpan w:val="3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10.7A</w:t>
            </w:r>
          </w:p>
        </w:tc>
        <w:tc>
          <w:tcPr>
            <w:tcW w:w="8280" w:type="dxa"/>
            <w:vAlign w:val="bottom"/>
            <w:gridSpan w:val="35"/>
          </w:tcPr>
          <w:p>
            <w:pPr>
              <w:spacing w:after="0"/>
              <w:rPr>
                <w:rFonts w:ascii="Times New Roman" w:cs="Times New Roman" w:eastAsia="Times New Roman" w:hAnsi="Times New Roman"/>
                <w:sz w:val="13"/>
                <w:szCs w:val="13"/>
                <w:color w:val="0000FF"/>
              </w:rPr>
            </w:pPr>
            <w:hyperlink r:id="rId57">
              <w:r>
                <w:rPr>
                  <w:rFonts w:ascii="Times New Roman" w:cs="Times New Roman" w:eastAsia="Times New Roman" w:hAnsi="Times New Roman"/>
                  <w:sz w:val="13"/>
                  <w:szCs w:val="13"/>
                  <w:color w:val="0000FF"/>
                </w:rPr>
                <w:t>SERP Joinder Agreement for F. Edward Broadwell, Jr.</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10.7B</w:t>
            </w:r>
          </w:p>
        </w:tc>
        <w:tc>
          <w:tcPr>
            <w:tcW w:w="254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3"/>
                <w:szCs w:val="13"/>
                <w:color w:val="0000FF"/>
                <w:w w:val="97"/>
              </w:rPr>
            </w:pPr>
            <w:hyperlink r:id="rId57">
              <w:r>
                <w:rPr>
                  <w:rFonts w:ascii="Times New Roman" w:cs="Times New Roman" w:eastAsia="Times New Roman" w:hAnsi="Times New Roman"/>
                  <w:sz w:val="13"/>
                  <w:szCs w:val="13"/>
                  <w:color w:val="0000FF"/>
                  <w:w w:val="97"/>
                </w:rPr>
                <w:t>SERP Joinder Agreement for Dana L. Stonestreet</w:t>
              </w:r>
            </w:hyperlink>
          </w:p>
        </w:tc>
        <w:tc>
          <w:tcPr>
            <w:tcW w:w="240" w:type="dxa"/>
            <w:vAlign w:val="bottom"/>
            <w:tcBorders>
              <w:top w:val="single" w:sz="8" w:color="0000FF"/>
            </w:tcBorders>
            <w:gridSpan w:val="3"/>
          </w:tcPr>
          <w:p>
            <w:pPr>
              <w:spacing w:after="0"/>
              <w:rPr>
                <w:sz w:val="13"/>
                <w:szCs w:val="13"/>
                <w:color w:val="auto"/>
              </w:rPr>
            </w:pPr>
          </w:p>
        </w:tc>
        <w:tc>
          <w:tcPr>
            <w:tcW w:w="5500" w:type="dxa"/>
            <w:vAlign w:val="bottom"/>
            <w:gridSpan w:val="2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10.7C</w:t>
            </w:r>
          </w:p>
        </w:tc>
        <w:tc>
          <w:tcPr>
            <w:tcW w:w="2540" w:type="dxa"/>
            <w:vAlign w:val="bottom"/>
            <w:tcBorders>
              <w:bottom w:val="single" w:sz="8" w:color="0000FF"/>
            </w:tcBorders>
            <w:gridSpan w:val="5"/>
          </w:tcPr>
          <w:p>
            <w:pPr>
              <w:spacing w:after="0"/>
              <w:rPr>
                <w:rFonts w:ascii="Times New Roman" w:cs="Times New Roman" w:eastAsia="Times New Roman" w:hAnsi="Times New Roman"/>
                <w:sz w:val="13"/>
                <w:szCs w:val="13"/>
                <w:color w:val="0000FF"/>
                <w:w w:val="96"/>
              </w:rPr>
            </w:pPr>
            <w:hyperlink r:id="rId57">
              <w:r>
                <w:rPr>
                  <w:rFonts w:ascii="Times New Roman" w:cs="Times New Roman" w:eastAsia="Times New Roman" w:hAnsi="Times New Roman"/>
                  <w:sz w:val="13"/>
                  <w:szCs w:val="13"/>
                  <w:color w:val="0000FF"/>
                  <w:w w:val="96"/>
                </w:rPr>
                <w:t>SERP Joinder Agreement for Tony J. VunCannon</w:t>
              </w:r>
            </w:hyperlink>
          </w:p>
        </w:tc>
        <w:tc>
          <w:tcPr>
            <w:tcW w:w="5740" w:type="dxa"/>
            <w:vAlign w:val="bottom"/>
            <w:gridSpan w:val="30"/>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10.7D</w:t>
            </w:r>
          </w:p>
        </w:tc>
        <w:tc>
          <w:tcPr>
            <w:tcW w:w="8280" w:type="dxa"/>
            <w:vAlign w:val="bottom"/>
            <w:gridSpan w:val="35"/>
          </w:tcPr>
          <w:p>
            <w:pPr>
              <w:spacing w:after="0"/>
              <w:rPr>
                <w:rFonts w:ascii="Times New Roman" w:cs="Times New Roman" w:eastAsia="Times New Roman" w:hAnsi="Times New Roman"/>
                <w:sz w:val="13"/>
                <w:szCs w:val="13"/>
                <w:color w:val="0000FF"/>
              </w:rPr>
            </w:pPr>
            <w:hyperlink r:id="rId57">
              <w:r>
                <w:rPr>
                  <w:rFonts w:ascii="Times New Roman" w:cs="Times New Roman" w:eastAsia="Times New Roman" w:hAnsi="Times New Roman"/>
                  <w:sz w:val="13"/>
                  <w:szCs w:val="13"/>
                  <w:color w:val="0000FF"/>
                </w:rPr>
                <w:t>SERP Joinder Agreement for Howard L. Sellinger</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10.7E</w:t>
            </w:r>
          </w:p>
        </w:tc>
        <w:tc>
          <w:tcPr>
            <w:tcW w:w="2560" w:type="dxa"/>
            <w:vAlign w:val="bottom"/>
            <w:tcBorders>
              <w:top w:val="single" w:sz="8" w:color="0000FF"/>
            </w:tcBorders>
            <w:gridSpan w:val="6"/>
          </w:tcPr>
          <w:p>
            <w:pPr>
              <w:spacing w:after="0"/>
              <w:rPr>
                <w:rFonts w:ascii="Times New Roman" w:cs="Times New Roman" w:eastAsia="Times New Roman" w:hAnsi="Times New Roman"/>
                <w:sz w:val="13"/>
                <w:szCs w:val="13"/>
                <w:color w:val="0000FF"/>
              </w:rPr>
            </w:pPr>
            <w:hyperlink r:id="rId57">
              <w:r>
                <w:rPr>
                  <w:rFonts w:ascii="Times New Roman" w:cs="Times New Roman" w:eastAsia="Times New Roman" w:hAnsi="Times New Roman"/>
                  <w:sz w:val="13"/>
                  <w:szCs w:val="13"/>
                  <w:color w:val="0000FF"/>
                </w:rPr>
                <w:t>SERP Joinder Agreement for Stan Allen</w:t>
              </w:r>
            </w:hyperlink>
          </w:p>
        </w:tc>
        <w:tc>
          <w:tcPr>
            <w:tcW w:w="5720" w:type="dxa"/>
            <w:vAlign w:val="bottom"/>
            <w:gridSpan w:val="2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10.7F</w:t>
            </w:r>
          </w:p>
        </w:tc>
        <w:tc>
          <w:tcPr>
            <w:tcW w:w="8280" w:type="dxa"/>
            <w:vAlign w:val="bottom"/>
            <w:gridSpan w:val="35"/>
          </w:tcPr>
          <w:p>
            <w:pPr>
              <w:spacing w:after="0"/>
              <w:rPr>
                <w:rFonts w:ascii="Times New Roman" w:cs="Times New Roman" w:eastAsia="Times New Roman" w:hAnsi="Times New Roman"/>
                <w:sz w:val="13"/>
                <w:szCs w:val="13"/>
                <w:color w:val="0000FF"/>
              </w:rPr>
            </w:pPr>
            <w:hyperlink r:id="rId57">
              <w:r>
                <w:rPr>
                  <w:rFonts w:ascii="Times New Roman" w:cs="Times New Roman" w:eastAsia="Times New Roman" w:hAnsi="Times New Roman"/>
                  <w:sz w:val="13"/>
                  <w:szCs w:val="13"/>
                  <w:color w:val="0000FF"/>
                </w:rPr>
                <w:t>SERP Joinder Agreement for Sidney A. Biesecker</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10.7G</w:t>
            </w:r>
          </w:p>
        </w:tc>
        <w:tc>
          <w:tcPr>
            <w:tcW w:w="246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3"/>
                <w:szCs w:val="13"/>
                <w:color w:val="0000FF"/>
                <w:w w:val="97"/>
              </w:rPr>
            </w:pPr>
            <w:hyperlink r:id="rId57">
              <w:r>
                <w:rPr>
                  <w:rFonts w:ascii="Times New Roman" w:cs="Times New Roman" w:eastAsia="Times New Roman" w:hAnsi="Times New Roman"/>
                  <w:sz w:val="13"/>
                  <w:szCs w:val="13"/>
                  <w:color w:val="0000FF"/>
                  <w:w w:val="97"/>
                </w:rPr>
                <w:t>SERP Joinder Agreement for Peggy C. Melville</w:t>
              </w:r>
            </w:hyperlink>
          </w:p>
        </w:tc>
        <w:tc>
          <w:tcPr>
            <w:tcW w:w="100" w:type="dxa"/>
            <w:vAlign w:val="bottom"/>
            <w:tcBorders>
              <w:top w:val="single" w:sz="8" w:color="0000FF"/>
            </w:tcBorders>
            <w:gridSpan w:val="2"/>
          </w:tcPr>
          <w:p>
            <w:pPr>
              <w:spacing w:after="0"/>
              <w:rPr>
                <w:sz w:val="13"/>
                <w:szCs w:val="13"/>
                <w:color w:val="auto"/>
              </w:rPr>
            </w:pPr>
          </w:p>
        </w:tc>
        <w:tc>
          <w:tcPr>
            <w:tcW w:w="5720" w:type="dxa"/>
            <w:vAlign w:val="bottom"/>
            <w:gridSpan w:val="29"/>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10.7H</w:t>
            </w:r>
          </w:p>
        </w:tc>
        <w:tc>
          <w:tcPr>
            <w:tcW w:w="2380" w:type="dxa"/>
            <w:vAlign w:val="bottom"/>
            <w:tcBorders>
              <w:bottom w:val="single" w:sz="8" w:color="0000FF"/>
            </w:tcBorders>
            <w:gridSpan w:val="3"/>
          </w:tcPr>
          <w:p>
            <w:pPr>
              <w:spacing w:after="0"/>
              <w:rPr>
                <w:rFonts w:ascii="Times New Roman" w:cs="Times New Roman" w:eastAsia="Times New Roman" w:hAnsi="Times New Roman"/>
                <w:sz w:val="13"/>
                <w:szCs w:val="13"/>
                <w:color w:val="0000FF"/>
                <w:w w:val="97"/>
              </w:rPr>
            </w:pPr>
            <w:hyperlink r:id="rId57">
              <w:r>
                <w:rPr>
                  <w:rFonts w:ascii="Times New Roman" w:cs="Times New Roman" w:eastAsia="Times New Roman" w:hAnsi="Times New Roman"/>
                  <w:sz w:val="13"/>
                  <w:szCs w:val="13"/>
                  <w:color w:val="0000FF"/>
                  <w:w w:val="97"/>
                </w:rPr>
                <w:t>SERP Joinder Agreement for William T. Flynt</w:t>
              </w:r>
            </w:hyperlink>
          </w:p>
        </w:tc>
        <w:tc>
          <w:tcPr>
            <w:tcW w:w="5900" w:type="dxa"/>
            <w:vAlign w:val="bottom"/>
            <w:gridSpan w:val="3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10.7I</w:t>
            </w:r>
          </w:p>
        </w:tc>
        <w:tc>
          <w:tcPr>
            <w:tcW w:w="8280" w:type="dxa"/>
            <w:vAlign w:val="bottom"/>
            <w:gridSpan w:val="35"/>
          </w:tcPr>
          <w:p>
            <w:pPr>
              <w:spacing w:after="0"/>
              <w:rPr>
                <w:rFonts w:ascii="Times New Roman" w:cs="Times New Roman" w:eastAsia="Times New Roman" w:hAnsi="Times New Roman"/>
                <w:sz w:val="13"/>
                <w:szCs w:val="13"/>
                <w:color w:val="0000FF"/>
              </w:rPr>
            </w:pPr>
            <w:hyperlink r:id="rId69">
              <w:r>
                <w:rPr>
                  <w:rFonts w:ascii="Times New Roman" w:cs="Times New Roman" w:eastAsia="Times New Roman" w:hAnsi="Times New Roman"/>
                  <w:sz w:val="13"/>
                  <w:szCs w:val="13"/>
                  <w:color w:val="0000FF"/>
                </w:rPr>
                <w:t>Amended and Restated Supplemental Income Agreement between HomeTrust Bank, as successor to Industrial Federal Savings Bank, and Sidney Biesecker</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10.8</w:t>
            </w:r>
          </w:p>
        </w:tc>
        <w:tc>
          <w:tcPr>
            <w:tcW w:w="10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3"/>
                <w:szCs w:val="13"/>
                <w:color w:val="0000FF"/>
                <w:w w:val="97"/>
              </w:rPr>
            </w:pPr>
            <w:hyperlink r:id="rId57">
              <w:r>
                <w:rPr>
                  <w:rFonts w:ascii="Times New Roman" w:cs="Times New Roman" w:eastAsia="Times New Roman" w:hAnsi="Times New Roman"/>
                  <w:sz w:val="13"/>
                  <w:szCs w:val="13"/>
                  <w:color w:val="0000FF"/>
                  <w:w w:val="97"/>
                </w:rPr>
                <w:t>HomeTrust Bank Director Emeritus Plan (“Director Emeritus Plan”)</w:t>
              </w:r>
            </w:hyperlink>
          </w:p>
        </w:tc>
        <w:tc>
          <w:tcPr>
            <w:tcW w:w="4440" w:type="dxa"/>
            <w:vAlign w:val="bottom"/>
            <w:tcBorders>
              <w:top w:val="single" w:sz="8" w:color="0000FF"/>
            </w:tcBorders>
            <w:gridSpan w:val="18"/>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10.8A</w:t>
            </w:r>
          </w:p>
        </w:tc>
        <w:tc>
          <w:tcPr>
            <w:tcW w:w="3260" w:type="dxa"/>
            <w:vAlign w:val="bottom"/>
            <w:tcBorders>
              <w:bottom w:val="single" w:sz="8" w:color="0000FF"/>
            </w:tcBorders>
            <w:gridSpan w:val="11"/>
          </w:tcPr>
          <w:p>
            <w:pPr>
              <w:spacing w:after="0"/>
              <w:rPr>
                <w:rFonts w:ascii="Times New Roman" w:cs="Times New Roman" w:eastAsia="Times New Roman" w:hAnsi="Times New Roman"/>
                <w:sz w:val="13"/>
                <w:szCs w:val="13"/>
                <w:color w:val="0000FF"/>
                <w:w w:val="97"/>
              </w:rPr>
            </w:pPr>
            <w:hyperlink r:id="rId57">
              <w:r>
                <w:rPr>
                  <w:rFonts w:ascii="Times New Roman" w:cs="Times New Roman" w:eastAsia="Times New Roman" w:hAnsi="Times New Roman"/>
                  <w:sz w:val="13"/>
                  <w:szCs w:val="13"/>
                  <w:color w:val="0000FF"/>
                  <w:w w:val="97"/>
                </w:rPr>
                <w:t>Director Emeritus Plan Joinder Agreement for William T. Flynt</w:t>
              </w:r>
            </w:hyperlink>
          </w:p>
        </w:tc>
        <w:tc>
          <w:tcPr>
            <w:tcW w:w="502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10.8B</w:t>
            </w:r>
          </w:p>
        </w:tc>
        <w:tc>
          <w:tcPr>
            <w:tcW w:w="3300" w:type="dxa"/>
            <w:vAlign w:val="bottom"/>
            <w:tcBorders>
              <w:bottom w:val="single" w:sz="8" w:color="0000FF"/>
            </w:tcBorders>
            <w:gridSpan w:val="12"/>
          </w:tcPr>
          <w:p>
            <w:pPr>
              <w:spacing w:after="0"/>
              <w:rPr>
                <w:rFonts w:ascii="Times New Roman" w:cs="Times New Roman" w:eastAsia="Times New Roman" w:hAnsi="Times New Roman"/>
                <w:sz w:val="13"/>
                <w:szCs w:val="13"/>
                <w:color w:val="0000FF"/>
                <w:w w:val="97"/>
              </w:rPr>
            </w:pPr>
            <w:hyperlink r:id="rId57">
              <w:r>
                <w:rPr>
                  <w:rFonts w:ascii="Times New Roman" w:cs="Times New Roman" w:eastAsia="Times New Roman" w:hAnsi="Times New Roman"/>
                  <w:sz w:val="13"/>
                  <w:szCs w:val="13"/>
                  <w:color w:val="0000FF"/>
                  <w:w w:val="97"/>
                </w:rPr>
                <w:t>Director Emeritus Plan Joinder Agreement for J. Steven Goforth</w:t>
              </w:r>
            </w:hyperlink>
          </w:p>
        </w:tc>
        <w:tc>
          <w:tcPr>
            <w:tcW w:w="498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10.8C</w:t>
            </w:r>
          </w:p>
        </w:tc>
        <w:tc>
          <w:tcPr>
            <w:tcW w:w="3240" w:type="dxa"/>
            <w:vAlign w:val="bottom"/>
            <w:tcBorders>
              <w:bottom w:val="single" w:sz="8" w:color="0000FF"/>
            </w:tcBorders>
            <w:gridSpan w:val="10"/>
          </w:tcPr>
          <w:p>
            <w:pPr>
              <w:spacing w:after="0"/>
              <w:rPr>
                <w:rFonts w:ascii="Times New Roman" w:cs="Times New Roman" w:eastAsia="Times New Roman" w:hAnsi="Times New Roman"/>
                <w:sz w:val="13"/>
                <w:szCs w:val="13"/>
                <w:color w:val="0000FF"/>
                <w:w w:val="97"/>
              </w:rPr>
            </w:pPr>
            <w:hyperlink r:id="rId57">
              <w:r>
                <w:rPr>
                  <w:rFonts w:ascii="Times New Roman" w:cs="Times New Roman" w:eastAsia="Times New Roman" w:hAnsi="Times New Roman"/>
                  <w:sz w:val="13"/>
                  <w:szCs w:val="13"/>
                  <w:color w:val="0000FF"/>
                  <w:w w:val="97"/>
                </w:rPr>
                <w:t>Director Emeritus Plan Joinder Agreement for Craig C. Koontz</w:t>
              </w:r>
            </w:hyperlink>
          </w:p>
        </w:tc>
        <w:tc>
          <w:tcPr>
            <w:tcW w:w="504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10.8D</w:t>
            </w:r>
          </w:p>
        </w:tc>
        <w:tc>
          <w:tcPr>
            <w:tcW w:w="3340" w:type="dxa"/>
            <w:vAlign w:val="bottom"/>
            <w:tcBorders>
              <w:bottom w:val="single" w:sz="8" w:color="0000FF"/>
            </w:tcBorders>
            <w:gridSpan w:val="14"/>
          </w:tcPr>
          <w:p>
            <w:pPr>
              <w:spacing w:after="0"/>
              <w:rPr>
                <w:rFonts w:ascii="Times New Roman" w:cs="Times New Roman" w:eastAsia="Times New Roman" w:hAnsi="Times New Roman"/>
                <w:sz w:val="13"/>
                <w:szCs w:val="13"/>
                <w:color w:val="0000FF"/>
                <w:w w:val="97"/>
              </w:rPr>
            </w:pPr>
            <w:hyperlink r:id="rId57">
              <w:r>
                <w:rPr>
                  <w:rFonts w:ascii="Times New Roman" w:cs="Times New Roman" w:eastAsia="Times New Roman" w:hAnsi="Times New Roman"/>
                  <w:sz w:val="13"/>
                  <w:szCs w:val="13"/>
                  <w:color w:val="0000FF"/>
                  <w:w w:val="97"/>
                </w:rPr>
                <w:t>Director Emeritus Plan Joinder Agreement for Larry S. McDevitt</w:t>
              </w:r>
            </w:hyperlink>
          </w:p>
        </w:tc>
        <w:tc>
          <w:tcPr>
            <w:tcW w:w="494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10.8E</w:t>
            </w:r>
          </w:p>
        </w:tc>
        <w:tc>
          <w:tcPr>
            <w:tcW w:w="3400" w:type="dxa"/>
            <w:vAlign w:val="bottom"/>
            <w:tcBorders>
              <w:bottom w:val="single" w:sz="8" w:color="0000FF"/>
            </w:tcBorders>
            <w:gridSpan w:val="15"/>
          </w:tcPr>
          <w:p>
            <w:pPr>
              <w:spacing w:after="0"/>
              <w:rPr>
                <w:rFonts w:ascii="Times New Roman" w:cs="Times New Roman" w:eastAsia="Times New Roman" w:hAnsi="Times New Roman"/>
                <w:sz w:val="13"/>
                <w:szCs w:val="13"/>
                <w:color w:val="0000FF"/>
                <w:w w:val="97"/>
              </w:rPr>
            </w:pPr>
            <w:hyperlink r:id="rId57">
              <w:r>
                <w:rPr>
                  <w:rFonts w:ascii="Times New Roman" w:cs="Times New Roman" w:eastAsia="Times New Roman" w:hAnsi="Times New Roman"/>
                  <w:sz w:val="13"/>
                  <w:szCs w:val="13"/>
                  <w:color w:val="0000FF"/>
                  <w:w w:val="97"/>
                </w:rPr>
                <w:t>Director Emeritus Plan Joinder Agreement for F.K. McFarland, III</w:t>
              </w:r>
            </w:hyperlink>
          </w:p>
        </w:tc>
        <w:tc>
          <w:tcPr>
            <w:tcW w:w="488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10.8F</w:t>
            </w:r>
          </w:p>
        </w:tc>
        <w:tc>
          <w:tcPr>
            <w:tcW w:w="8280" w:type="dxa"/>
            <w:vAlign w:val="bottom"/>
            <w:gridSpan w:val="35"/>
          </w:tcPr>
          <w:p>
            <w:pPr>
              <w:spacing w:after="0"/>
              <w:rPr>
                <w:rFonts w:ascii="Times New Roman" w:cs="Times New Roman" w:eastAsia="Times New Roman" w:hAnsi="Times New Roman"/>
                <w:sz w:val="13"/>
                <w:szCs w:val="13"/>
                <w:color w:val="0000FF"/>
              </w:rPr>
            </w:pPr>
            <w:hyperlink r:id="rId57">
              <w:r>
                <w:rPr>
                  <w:rFonts w:ascii="Times New Roman" w:cs="Times New Roman" w:eastAsia="Times New Roman" w:hAnsi="Times New Roman"/>
                  <w:sz w:val="13"/>
                  <w:szCs w:val="13"/>
                  <w:color w:val="0000FF"/>
                </w:rPr>
                <w:t>Director Emeritus Plan Joinder Agreement for Peggy C. Melville</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6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10.8G</w:t>
            </w:r>
          </w:p>
        </w:tc>
        <w:tc>
          <w:tcPr>
            <w:tcW w:w="3600" w:type="dxa"/>
            <w:vAlign w:val="bottom"/>
            <w:tcBorders>
              <w:bottom w:val="single" w:sz="8" w:color="0000FF"/>
            </w:tcBorders>
            <w:gridSpan w:val="18"/>
          </w:tcPr>
          <w:p>
            <w:pPr>
              <w:spacing w:after="0"/>
              <w:rPr>
                <w:rFonts w:ascii="Times New Roman" w:cs="Times New Roman" w:eastAsia="Times New Roman" w:hAnsi="Times New Roman"/>
                <w:sz w:val="13"/>
                <w:szCs w:val="13"/>
                <w:color w:val="0000FF"/>
                <w:w w:val="97"/>
              </w:rPr>
            </w:pPr>
            <w:hyperlink r:id="rId57">
              <w:r>
                <w:rPr>
                  <w:rFonts w:ascii="Times New Roman" w:cs="Times New Roman" w:eastAsia="Times New Roman" w:hAnsi="Times New Roman"/>
                  <w:sz w:val="13"/>
                  <w:szCs w:val="13"/>
                  <w:color w:val="0000FF"/>
                  <w:w w:val="97"/>
                </w:rPr>
                <w:t>Director Emeritus Plan Joinder Agreement for Robert E. Shepherd, Sr.</w:t>
              </w:r>
            </w:hyperlink>
          </w:p>
        </w:tc>
        <w:tc>
          <w:tcPr>
            <w:tcW w:w="468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10.9</w:t>
            </w:r>
          </w:p>
        </w:tc>
        <w:tc>
          <w:tcPr>
            <w:tcW w:w="100" w:type="dxa"/>
            <w:vAlign w:val="bottom"/>
          </w:tcPr>
          <w:p>
            <w:pPr>
              <w:spacing w:after="0"/>
              <w:rPr>
                <w:sz w:val="13"/>
                <w:szCs w:val="13"/>
                <w:color w:val="auto"/>
              </w:rPr>
            </w:pPr>
          </w:p>
        </w:tc>
        <w:tc>
          <w:tcPr>
            <w:tcW w:w="8280" w:type="dxa"/>
            <w:vAlign w:val="bottom"/>
            <w:gridSpan w:val="35"/>
          </w:tcPr>
          <w:p>
            <w:pPr>
              <w:spacing w:after="0"/>
              <w:rPr>
                <w:rFonts w:ascii="Times New Roman" w:cs="Times New Roman" w:eastAsia="Times New Roman" w:hAnsi="Times New Roman"/>
                <w:sz w:val="13"/>
                <w:szCs w:val="13"/>
                <w:color w:val="0000FF"/>
              </w:rPr>
            </w:pPr>
            <w:hyperlink r:id="rId57">
              <w:r>
                <w:rPr>
                  <w:rFonts w:ascii="Times New Roman" w:cs="Times New Roman" w:eastAsia="Times New Roman" w:hAnsi="Times New Roman"/>
                  <w:sz w:val="13"/>
                  <w:szCs w:val="13"/>
                  <w:color w:val="0000FF"/>
                </w:rPr>
                <w:t>HomeTrust Bank Defined Contribution Executive Medical Care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6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20" w:type="dxa"/>
            <w:vAlign w:val="bottom"/>
            <w:gridSpan w:val="8"/>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10.9A</w:t>
            </w:r>
          </w:p>
        </w:tc>
        <w:tc>
          <w:tcPr>
            <w:tcW w:w="4660" w:type="dxa"/>
            <w:vAlign w:val="bottom"/>
            <w:tcBorders>
              <w:bottom w:val="single" w:sz="8" w:color="0000FF"/>
            </w:tcBorders>
            <w:gridSpan w:val="26"/>
          </w:tcPr>
          <w:p>
            <w:pPr>
              <w:spacing w:after="0"/>
              <w:rPr>
                <w:rFonts w:ascii="Times New Roman" w:cs="Times New Roman" w:eastAsia="Times New Roman" w:hAnsi="Times New Roman"/>
                <w:sz w:val="13"/>
                <w:szCs w:val="13"/>
                <w:color w:val="0000FF"/>
                <w:w w:val="98"/>
              </w:rPr>
            </w:pPr>
            <w:hyperlink r:id="rId67">
              <w:r>
                <w:rPr>
                  <w:rFonts w:ascii="Times New Roman" w:cs="Times New Roman" w:eastAsia="Times New Roman" w:hAnsi="Times New Roman"/>
                  <w:sz w:val="13"/>
                  <w:szCs w:val="13"/>
                  <w:color w:val="0000FF"/>
                  <w:w w:val="98"/>
                </w:rPr>
                <w:t>Amendment No. 1 to HomeTrust Bank Defined Contribution Executive Medical Care Plan</w:t>
              </w:r>
            </w:hyperlink>
          </w:p>
        </w:tc>
        <w:tc>
          <w:tcPr>
            <w:tcW w:w="36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10.9B</w:t>
            </w:r>
          </w:p>
        </w:tc>
        <w:tc>
          <w:tcPr>
            <w:tcW w:w="5520" w:type="dxa"/>
            <w:vAlign w:val="bottom"/>
            <w:tcBorders>
              <w:bottom w:val="single" w:sz="8" w:color="0000FF"/>
            </w:tcBorders>
            <w:gridSpan w:val="28"/>
          </w:tcPr>
          <w:p>
            <w:pPr>
              <w:spacing w:after="0"/>
              <w:rPr>
                <w:rFonts w:ascii="Times New Roman" w:cs="Times New Roman" w:eastAsia="Times New Roman" w:hAnsi="Times New Roman"/>
                <w:sz w:val="13"/>
                <w:szCs w:val="13"/>
                <w:color w:val="0000FF"/>
                <w:w w:val="97"/>
              </w:rPr>
            </w:pPr>
            <w:hyperlink r:id="rId67">
              <w:r>
                <w:rPr>
                  <w:rFonts w:ascii="Times New Roman" w:cs="Times New Roman" w:eastAsia="Times New Roman" w:hAnsi="Times New Roman"/>
                  <w:sz w:val="13"/>
                  <w:szCs w:val="13"/>
                  <w:color w:val="0000FF"/>
                  <w:w w:val="97"/>
                </w:rPr>
                <w:t>Form of Joinder Agreement Under the HomeTrust Bank Defined Contribution Executive Medical Care Plan</w:t>
              </w:r>
            </w:hyperlink>
          </w:p>
        </w:tc>
        <w:tc>
          <w:tcPr>
            <w:tcW w:w="27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10.9C</w:t>
            </w:r>
          </w:p>
        </w:tc>
        <w:tc>
          <w:tcPr>
            <w:tcW w:w="4660" w:type="dxa"/>
            <w:vAlign w:val="bottom"/>
            <w:tcBorders>
              <w:bottom w:val="single" w:sz="8" w:color="0000FF"/>
            </w:tcBorders>
            <w:gridSpan w:val="26"/>
          </w:tcPr>
          <w:p>
            <w:pPr>
              <w:spacing w:after="0"/>
              <w:rPr>
                <w:rFonts w:ascii="Times New Roman" w:cs="Times New Roman" w:eastAsia="Times New Roman" w:hAnsi="Times New Roman"/>
                <w:sz w:val="13"/>
                <w:szCs w:val="13"/>
                <w:color w:val="0000FF"/>
                <w:w w:val="98"/>
              </w:rPr>
            </w:pPr>
            <w:hyperlink r:id="rId70">
              <w:r>
                <w:rPr>
                  <w:rFonts w:ascii="Times New Roman" w:cs="Times New Roman" w:eastAsia="Times New Roman" w:hAnsi="Times New Roman"/>
                  <w:sz w:val="13"/>
                  <w:szCs w:val="13"/>
                  <w:color w:val="0000FF"/>
                  <w:w w:val="98"/>
                </w:rPr>
                <w:t>Amendment No. 2 to HomeTrust Bank Defined Contribution Executive Medical Care Plan</w:t>
              </w:r>
            </w:hyperlink>
          </w:p>
        </w:tc>
        <w:tc>
          <w:tcPr>
            <w:tcW w:w="36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10.9D</w:t>
            </w:r>
          </w:p>
        </w:tc>
        <w:tc>
          <w:tcPr>
            <w:tcW w:w="464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w w:val="97"/>
              </w:rPr>
            </w:pPr>
            <w:hyperlink r:id="rId71">
              <w:r>
                <w:rPr>
                  <w:rFonts w:ascii="Times New Roman" w:cs="Times New Roman" w:eastAsia="Times New Roman" w:hAnsi="Times New Roman"/>
                  <w:sz w:val="13"/>
                  <w:szCs w:val="13"/>
                  <w:color w:val="0000FF"/>
                  <w:w w:val="97"/>
                </w:rPr>
                <w:t>Amendment No. 3 to HomeTrust Bank Defined Contribution Executive Medical Care Plan</w:t>
              </w:r>
            </w:hyperlink>
          </w:p>
        </w:tc>
        <w:tc>
          <w:tcPr>
            <w:tcW w:w="36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10.10</w:t>
            </w:r>
          </w:p>
        </w:tc>
        <w:tc>
          <w:tcPr>
            <w:tcW w:w="100" w:type="dxa"/>
            <w:vAlign w:val="bottom"/>
          </w:tcPr>
          <w:p>
            <w:pPr>
              <w:spacing w:after="0"/>
              <w:rPr>
                <w:sz w:val="13"/>
                <w:szCs w:val="13"/>
                <w:color w:val="auto"/>
              </w:rPr>
            </w:pPr>
          </w:p>
        </w:tc>
        <w:tc>
          <w:tcPr>
            <w:tcW w:w="2680" w:type="dxa"/>
            <w:vAlign w:val="bottom"/>
            <w:tcBorders>
              <w:bottom w:val="single" w:sz="8" w:color="0000FF"/>
            </w:tcBorders>
            <w:gridSpan w:val="7"/>
          </w:tcPr>
          <w:p>
            <w:pPr>
              <w:spacing w:after="0"/>
              <w:rPr>
                <w:rFonts w:ascii="Times New Roman" w:cs="Times New Roman" w:eastAsia="Times New Roman" w:hAnsi="Times New Roman"/>
                <w:sz w:val="13"/>
                <w:szCs w:val="13"/>
                <w:color w:val="0000FF"/>
                <w:w w:val="97"/>
              </w:rPr>
            </w:pPr>
            <w:hyperlink r:id="rId57">
              <w:r>
                <w:rPr>
                  <w:rFonts w:ascii="Times New Roman" w:cs="Times New Roman" w:eastAsia="Times New Roman" w:hAnsi="Times New Roman"/>
                  <w:sz w:val="13"/>
                  <w:szCs w:val="13"/>
                  <w:color w:val="0000FF"/>
                  <w:w w:val="97"/>
                </w:rPr>
                <w:t>HomeTrust Bank 2005 Deferred Compensation Plan</w:t>
              </w:r>
            </w:hyperlink>
          </w:p>
        </w:tc>
        <w:tc>
          <w:tcPr>
            <w:tcW w:w="5600" w:type="dxa"/>
            <w:vAlign w:val="bottom"/>
            <w:gridSpan w:val="2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10.10A</w:t>
            </w:r>
          </w:p>
        </w:tc>
        <w:tc>
          <w:tcPr>
            <w:tcW w:w="8280" w:type="dxa"/>
            <w:vAlign w:val="bottom"/>
            <w:gridSpan w:val="35"/>
          </w:tcPr>
          <w:p>
            <w:pPr>
              <w:spacing w:after="0"/>
              <w:rPr>
                <w:rFonts w:ascii="Times New Roman" w:cs="Times New Roman" w:eastAsia="Times New Roman" w:hAnsi="Times New Roman"/>
                <w:sz w:val="13"/>
                <w:szCs w:val="13"/>
                <w:color w:val="0000FF"/>
              </w:rPr>
            </w:pPr>
            <w:hyperlink r:id="rId67">
              <w:r>
                <w:rPr>
                  <w:rFonts w:ascii="Times New Roman" w:cs="Times New Roman" w:eastAsia="Times New Roman" w:hAnsi="Times New Roman"/>
                  <w:sz w:val="13"/>
                  <w:szCs w:val="13"/>
                  <w:color w:val="0000FF"/>
                </w:rPr>
                <w:t>Amendment No. 1 to HomeTrust Bank 2005 Deferred Compensation Plan</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10.11</w:t>
            </w:r>
          </w:p>
        </w:tc>
        <w:tc>
          <w:tcPr>
            <w:tcW w:w="10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3"/>
                <w:szCs w:val="13"/>
                <w:color w:val="0000FF"/>
                <w:w w:val="97"/>
              </w:rPr>
            </w:pPr>
            <w:hyperlink r:id="rId57">
              <w:r>
                <w:rPr>
                  <w:rFonts w:ascii="Times New Roman" w:cs="Times New Roman" w:eastAsia="Times New Roman" w:hAnsi="Times New Roman"/>
                  <w:sz w:val="13"/>
                  <w:szCs w:val="13"/>
                  <w:color w:val="0000FF"/>
                  <w:w w:val="97"/>
                </w:rPr>
                <w:t>HomeTrust Bank Pre-2005 Deferred Compensation Plan</w:t>
              </w:r>
            </w:hyperlink>
          </w:p>
        </w:tc>
        <w:tc>
          <w:tcPr>
            <w:tcW w:w="880" w:type="dxa"/>
            <w:vAlign w:val="bottom"/>
            <w:tcBorders>
              <w:top w:val="single" w:sz="8" w:color="0000FF"/>
            </w:tcBorders>
            <w:gridSpan w:val="10"/>
          </w:tcPr>
          <w:p>
            <w:pPr>
              <w:spacing w:after="0"/>
              <w:rPr>
                <w:sz w:val="13"/>
                <w:szCs w:val="13"/>
                <w:color w:val="auto"/>
              </w:rPr>
            </w:pPr>
          </w:p>
        </w:tc>
        <w:tc>
          <w:tcPr>
            <w:tcW w:w="450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10.11A</w:t>
            </w:r>
          </w:p>
        </w:tc>
        <w:tc>
          <w:tcPr>
            <w:tcW w:w="4000" w:type="dxa"/>
            <w:vAlign w:val="bottom"/>
            <w:tcBorders>
              <w:bottom w:val="single" w:sz="8" w:color="0000FF"/>
            </w:tcBorders>
            <w:gridSpan w:val="20"/>
          </w:tcPr>
          <w:p>
            <w:pPr>
              <w:spacing w:after="0"/>
              <w:rPr>
                <w:rFonts w:ascii="Times New Roman" w:cs="Times New Roman" w:eastAsia="Times New Roman" w:hAnsi="Times New Roman"/>
                <w:sz w:val="13"/>
                <w:szCs w:val="13"/>
                <w:color w:val="0000FF"/>
                <w:w w:val="97"/>
              </w:rPr>
            </w:pPr>
            <w:hyperlink r:id="rId67">
              <w:r>
                <w:rPr>
                  <w:rFonts w:ascii="Times New Roman" w:cs="Times New Roman" w:eastAsia="Times New Roman" w:hAnsi="Times New Roman"/>
                  <w:sz w:val="13"/>
                  <w:szCs w:val="13"/>
                  <w:color w:val="0000FF"/>
                  <w:w w:val="97"/>
                </w:rPr>
                <w:t>Amendment No. 1 to HomeTrust Bank Pre-2005 Deferred Compensation Plan</w:t>
              </w:r>
            </w:hyperlink>
          </w:p>
        </w:tc>
        <w:tc>
          <w:tcPr>
            <w:tcW w:w="428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10.12</w:t>
            </w:r>
          </w:p>
        </w:tc>
        <w:tc>
          <w:tcPr>
            <w:tcW w:w="100" w:type="dxa"/>
            <w:vAlign w:val="bottom"/>
          </w:tcPr>
          <w:p>
            <w:pPr>
              <w:spacing w:after="0"/>
              <w:rPr>
                <w:sz w:val="13"/>
                <w:szCs w:val="13"/>
                <w:color w:val="auto"/>
              </w:rPr>
            </w:pPr>
          </w:p>
        </w:tc>
        <w:tc>
          <w:tcPr>
            <w:tcW w:w="8280" w:type="dxa"/>
            <w:vAlign w:val="bottom"/>
            <w:gridSpan w:val="35"/>
          </w:tcPr>
          <w:p>
            <w:pPr>
              <w:spacing w:after="0"/>
              <w:rPr>
                <w:rFonts w:ascii="Times New Roman" w:cs="Times New Roman" w:eastAsia="Times New Roman" w:hAnsi="Times New Roman"/>
                <w:sz w:val="13"/>
                <w:szCs w:val="13"/>
                <w:color w:val="0000FF"/>
              </w:rPr>
            </w:pPr>
            <w:hyperlink r:id="rId72">
              <w:r>
                <w:rPr>
                  <w:rFonts w:ascii="Times New Roman" w:cs="Times New Roman" w:eastAsia="Times New Roman" w:hAnsi="Times New Roman"/>
                  <w:sz w:val="13"/>
                  <w:szCs w:val="13"/>
                  <w:color w:val="0000FF"/>
                </w:rPr>
                <w:t>HomeTrust Bancshares, Inc. 2013 Omnibus Incentive Plan (“2013 Omnibus Incentive Plan”)</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10.12A</w:t>
            </w:r>
          </w:p>
        </w:tc>
        <w:tc>
          <w:tcPr>
            <w:tcW w:w="4740" w:type="dxa"/>
            <w:vAlign w:val="bottom"/>
            <w:tcBorders>
              <w:top w:val="single" w:sz="8" w:color="0000FF"/>
            </w:tcBorders>
            <w:gridSpan w:val="27"/>
          </w:tcPr>
          <w:p>
            <w:pPr>
              <w:spacing w:after="0"/>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Form of Incentive Stock Option Award Agreement under 2013 Omnibus Incentive Plan</w:t>
              </w:r>
            </w:hyperlink>
          </w:p>
        </w:tc>
        <w:tc>
          <w:tcPr>
            <w:tcW w:w="35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4120" w:type="dxa"/>
            <w:vAlign w:val="bottom"/>
            <w:gridSpan w:val="21"/>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10.12B</w:t>
            </w:r>
          </w:p>
        </w:tc>
        <w:tc>
          <w:tcPr>
            <w:tcW w:w="4740" w:type="dxa"/>
            <w:vAlign w:val="bottom"/>
            <w:tcBorders>
              <w:bottom w:val="single" w:sz="8" w:color="0000FF"/>
            </w:tcBorders>
            <w:gridSpan w:val="27"/>
          </w:tcPr>
          <w:p>
            <w:pPr>
              <w:spacing w:after="0"/>
              <w:rPr>
                <w:rFonts w:ascii="Times New Roman" w:cs="Times New Roman" w:eastAsia="Times New Roman" w:hAnsi="Times New Roman"/>
                <w:sz w:val="13"/>
                <w:szCs w:val="13"/>
                <w:color w:val="0000FF"/>
                <w:w w:val="97"/>
              </w:rPr>
            </w:pPr>
            <w:hyperlink r:id="rId73">
              <w:r>
                <w:rPr>
                  <w:rFonts w:ascii="Times New Roman" w:cs="Times New Roman" w:eastAsia="Times New Roman" w:hAnsi="Times New Roman"/>
                  <w:sz w:val="13"/>
                  <w:szCs w:val="13"/>
                  <w:color w:val="0000FF"/>
                  <w:w w:val="97"/>
                </w:rPr>
                <w:t>Form of Non-Qualified Stock Option Award Agreement under 2013 Omnibus Incentive Plan</w:t>
              </w:r>
            </w:hyperlink>
          </w:p>
        </w:tc>
        <w:tc>
          <w:tcPr>
            <w:tcW w:w="35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10.12C</w:t>
            </w:r>
          </w:p>
        </w:tc>
        <w:tc>
          <w:tcPr>
            <w:tcW w:w="8280" w:type="dxa"/>
            <w:vAlign w:val="bottom"/>
            <w:gridSpan w:val="35"/>
          </w:tcPr>
          <w:p>
            <w:pPr>
              <w:spacing w:after="0"/>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Form of Stock Appreciation Right Award Agreement under 2013 Omnibus Incentive Plan</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10.12D</w:t>
            </w:r>
          </w:p>
        </w:tc>
        <w:tc>
          <w:tcPr>
            <w:tcW w:w="4580" w:type="dxa"/>
            <w:vAlign w:val="bottom"/>
            <w:tcBorders>
              <w:top w:val="single" w:sz="8" w:color="0000FF"/>
            </w:tcBorders>
            <w:gridSpan w:val="24"/>
          </w:tcPr>
          <w:p>
            <w:pPr>
              <w:spacing w:after="0"/>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Form of Restricted Stock Award Agreement under 2013 Omnibus Incentive Plan</w:t>
              </w:r>
            </w:hyperlink>
          </w:p>
        </w:tc>
        <w:tc>
          <w:tcPr>
            <w:tcW w:w="37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4120" w:type="dxa"/>
            <w:vAlign w:val="bottom"/>
            <w:gridSpan w:val="21"/>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10.12E</w:t>
            </w:r>
          </w:p>
        </w:tc>
        <w:tc>
          <w:tcPr>
            <w:tcW w:w="8280" w:type="dxa"/>
            <w:vAlign w:val="bottom"/>
            <w:gridSpan w:val="35"/>
          </w:tcPr>
          <w:p>
            <w:pPr>
              <w:spacing w:after="0"/>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Form of Restricted Stock Unit Award Agreement under 2013 Omnibus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gridSpan w:val="22"/>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10.13</w:t>
            </w:r>
          </w:p>
        </w:tc>
        <w:tc>
          <w:tcPr>
            <w:tcW w:w="100" w:type="dxa"/>
            <w:vAlign w:val="bottom"/>
          </w:tcPr>
          <w:p>
            <w:pPr>
              <w:spacing w:after="0"/>
              <w:rPr>
                <w:sz w:val="13"/>
                <w:szCs w:val="13"/>
                <w:color w:val="auto"/>
              </w:rPr>
            </w:pPr>
          </w:p>
        </w:tc>
        <w:tc>
          <w:tcPr>
            <w:tcW w:w="8280" w:type="dxa"/>
            <w:vAlign w:val="bottom"/>
            <w:gridSpan w:val="35"/>
          </w:tcPr>
          <w:p>
            <w:pPr>
              <w:spacing w:after="0"/>
              <w:rPr>
                <w:rFonts w:ascii="Times New Roman" w:cs="Times New Roman" w:eastAsia="Times New Roman" w:hAnsi="Times New Roman"/>
                <w:sz w:val="13"/>
                <w:szCs w:val="13"/>
                <w:color w:val="0000FF"/>
              </w:rPr>
            </w:pPr>
            <w:hyperlink r:id="rId74">
              <w:r>
                <w:rPr>
                  <w:rFonts w:ascii="Times New Roman" w:cs="Times New Roman" w:eastAsia="Times New Roman" w:hAnsi="Times New Roman"/>
                  <w:sz w:val="13"/>
                  <w:szCs w:val="13"/>
                  <w:color w:val="0000FF"/>
                </w:rPr>
                <w:t>HomeTrust Bancshares, Inc. 2022 Omnibus Incentive Plan (“2022 Omnibus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hanging="36"/>
        <w:spacing w:after="0" w:line="272" w:lineRule="auto"/>
        <w:rPr>
          <w:sz w:val="20"/>
          <w:szCs w:val="20"/>
          <w:color w:val="auto"/>
        </w:rPr>
      </w:pPr>
      <w:r>
        <w:rPr>
          <w:rFonts w:ascii="Times New Roman" w:cs="Times New Roman" w:eastAsia="Times New Roman" w:hAnsi="Times New Roman"/>
          <w:sz w:val="12"/>
          <w:szCs w:val="12"/>
          <w:b w:val="1"/>
          <w:bCs w:val="1"/>
          <w:color w:val="auto"/>
        </w:rPr>
        <w:t>Reference to Prior Filing or Exhibit #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-8255</wp:posOffset>
            </wp:positionV>
            <wp:extent cx="110490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1104900" cy="6985"/>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(m)</w:t>
      </w:r>
    </w:p>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(l)</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(m)</w:t>
      </w:r>
    </w:p>
    <w:p>
      <w:pPr>
        <w:spacing w:after="0" w:line="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(m)</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w:t>
      </w:r>
    </w:p>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(t)</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(m)</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(m)</w:t>
      </w:r>
    </w:p>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(j)</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(q)</w:t>
      </w:r>
    </w:p>
    <w:p>
      <w:pPr>
        <w:sectPr>
          <w:pgSz w:w="11900" w:h="16838" w:orient="portrait"/>
          <w:cols w:equalWidth="0" w:num="2">
            <w:col w:w="9460" w:space="240"/>
            <w:col w:w="1460"/>
          </w:cols>
          <w:pgMar w:left="300" w:top="743" w:right="4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4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Regulation</w:t>
            </w:r>
          </w:p>
        </w:tc>
        <w:tc>
          <w:tcPr>
            <w:tcW w:w="960" w:type="dxa"/>
            <w:vAlign w:val="bottom"/>
          </w:tcPr>
          <w:p>
            <w:pPr>
              <w:spacing w:after="0"/>
              <w:rPr>
                <w:sz w:val="12"/>
                <w:szCs w:val="12"/>
                <w:color w:val="auto"/>
              </w:rPr>
            </w:pPr>
          </w:p>
        </w:tc>
        <w:tc>
          <w:tcPr>
            <w:tcW w:w="7320" w:type="dxa"/>
            <w:vAlign w:val="bottom"/>
            <w:gridSpan w:val="16"/>
            <w:vMerge w:val="restart"/>
          </w:tcPr>
          <w:p>
            <w:pPr>
              <w:ind w:left="290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S-K Exhibit #</w:t>
            </w: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320" w:type="dxa"/>
            <w:vAlign w:val="bottom"/>
            <w:tcBorders>
              <w:bottom w:val="single" w:sz="8" w:color="auto"/>
            </w:tcBorders>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10.13A</w:t>
            </w:r>
          </w:p>
        </w:tc>
        <w:tc>
          <w:tcPr>
            <w:tcW w:w="8280" w:type="dxa"/>
            <w:vAlign w:val="bottom"/>
            <w:gridSpan w:val="17"/>
          </w:tcPr>
          <w:p>
            <w:pPr>
              <w:spacing w:after="0"/>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Form of Non-Qualified Stock Option Award Agreement under the Registrant’s 2022 Omnibus Incentive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10.13B</w:t>
            </w:r>
          </w:p>
        </w:tc>
        <w:tc>
          <w:tcPr>
            <w:tcW w:w="8280" w:type="dxa"/>
            <w:vAlign w:val="bottom"/>
            <w:gridSpan w:val="17"/>
          </w:tcPr>
          <w:p>
            <w:pPr>
              <w:spacing w:after="0"/>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Form of Restricted Stock Award Agreement for Employees under the Registrant’s 2022 Omnibus Incentive Plan</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10.13C</w:t>
            </w:r>
          </w:p>
        </w:tc>
        <w:tc>
          <w:tcPr>
            <w:tcW w:w="564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3"/>
                <w:szCs w:val="13"/>
                <w:color w:val="0000FF"/>
                <w:w w:val="97"/>
              </w:rPr>
            </w:pPr>
            <w:hyperlink r:id="rId77">
              <w:r>
                <w:rPr>
                  <w:rFonts w:ascii="Times New Roman" w:cs="Times New Roman" w:eastAsia="Times New Roman" w:hAnsi="Times New Roman"/>
                  <w:sz w:val="13"/>
                  <w:szCs w:val="13"/>
                  <w:color w:val="0000FF"/>
                  <w:w w:val="97"/>
                </w:rPr>
                <w:t>Form of Restricted Stock Award Agreement for Directors under the Registrant’s 2022 Omnibus Incentive Plan</w:t>
              </w:r>
            </w:hyperlink>
          </w:p>
        </w:tc>
        <w:tc>
          <w:tcPr>
            <w:tcW w:w="80" w:type="dxa"/>
            <w:vAlign w:val="bottom"/>
            <w:tcBorders>
              <w:top w:val="single" w:sz="8" w:color="0000FF"/>
            </w:tcBorders>
          </w:tcPr>
          <w:p>
            <w:pPr>
              <w:spacing w:after="0"/>
              <w:rPr>
                <w:sz w:val="13"/>
                <w:szCs w:val="13"/>
                <w:color w:val="auto"/>
              </w:rPr>
            </w:pPr>
          </w:p>
        </w:tc>
        <w:tc>
          <w:tcPr>
            <w:tcW w:w="25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10.14</w:t>
            </w:r>
          </w:p>
        </w:tc>
        <w:tc>
          <w:tcPr>
            <w:tcW w:w="100" w:type="dxa"/>
            <w:vAlign w:val="bottom"/>
          </w:tcPr>
          <w:p>
            <w:pPr>
              <w:spacing w:after="0"/>
              <w:rPr>
                <w:sz w:val="13"/>
                <w:szCs w:val="13"/>
                <w:color w:val="auto"/>
              </w:rPr>
            </w:pPr>
          </w:p>
        </w:tc>
        <w:tc>
          <w:tcPr>
            <w:tcW w:w="5120" w:type="dxa"/>
            <w:vAlign w:val="bottom"/>
            <w:tcBorders>
              <w:bottom w:val="single" w:sz="8" w:color="0000FF"/>
            </w:tcBorders>
            <w:gridSpan w:val="7"/>
          </w:tcPr>
          <w:p>
            <w:pPr>
              <w:spacing w:after="0"/>
              <w:rPr>
                <w:rFonts w:ascii="Times New Roman" w:cs="Times New Roman" w:eastAsia="Times New Roman" w:hAnsi="Times New Roman"/>
                <w:sz w:val="13"/>
                <w:szCs w:val="13"/>
                <w:color w:val="0000FF"/>
                <w:w w:val="97"/>
              </w:rPr>
            </w:pPr>
            <w:hyperlink r:id="rId78">
              <w:r>
                <w:rPr>
                  <w:rFonts w:ascii="Times New Roman" w:cs="Times New Roman" w:eastAsia="Times New Roman" w:hAnsi="Times New Roman"/>
                  <w:sz w:val="13"/>
                  <w:szCs w:val="13"/>
                  <w:color w:val="0000FF"/>
                  <w:w w:val="97"/>
                </w:rPr>
                <w:t>Change in Control Severance Agreement between HomeTrust Bancshares, Inc. and Marty Caywood</w:t>
              </w:r>
            </w:hyperlink>
          </w:p>
        </w:tc>
        <w:tc>
          <w:tcPr>
            <w:tcW w:w="31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10.14A</w:t>
            </w:r>
          </w:p>
        </w:tc>
        <w:tc>
          <w:tcPr>
            <w:tcW w:w="6220" w:type="dxa"/>
            <w:vAlign w:val="bottom"/>
            <w:tcBorders>
              <w:bottom w:val="single" w:sz="8" w:color="0000FF"/>
            </w:tcBorders>
            <w:gridSpan w:val="13"/>
          </w:tcPr>
          <w:p>
            <w:pPr>
              <w:spacing w:after="0"/>
              <w:rPr>
                <w:rFonts w:ascii="Times New Roman" w:cs="Times New Roman" w:eastAsia="Times New Roman" w:hAnsi="Times New Roman"/>
                <w:sz w:val="13"/>
                <w:szCs w:val="13"/>
                <w:color w:val="0000FF"/>
                <w:w w:val="97"/>
              </w:rPr>
            </w:pPr>
            <w:hyperlink r:id="rId61">
              <w:r>
                <w:rPr>
                  <w:rFonts w:ascii="Times New Roman" w:cs="Times New Roman" w:eastAsia="Times New Roman" w:hAnsi="Times New Roman"/>
                  <w:sz w:val="13"/>
                  <w:szCs w:val="13"/>
                  <w:color w:val="0000FF"/>
                  <w:w w:val="97"/>
                </w:rPr>
                <w:t>Amendment No. 1 to Change in Control Severance Agreement between HomeTrust Bancshares, Inc. and Marty Caywood</w:t>
              </w:r>
            </w:hyperlink>
          </w:p>
        </w:tc>
        <w:tc>
          <w:tcPr>
            <w:tcW w:w="20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10.15</w:t>
            </w:r>
          </w:p>
        </w:tc>
        <w:tc>
          <w:tcPr>
            <w:tcW w:w="100" w:type="dxa"/>
            <w:vAlign w:val="bottom"/>
          </w:tcPr>
          <w:p>
            <w:pPr>
              <w:spacing w:after="0"/>
              <w:rPr>
                <w:sz w:val="13"/>
                <w:szCs w:val="13"/>
                <w:color w:val="auto"/>
              </w:rPr>
            </w:pPr>
          </w:p>
        </w:tc>
        <w:tc>
          <w:tcPr>
            <w:tcW w:w="8280" w:type="dxa"/>
            <w:vAlign w:val="bottom"/>
            <w:gridSpan w:val="17"/>
          </w:tcPr>
          <w:p>
            <w:pPr>
              <w:spacing w:after="0"/>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Amended and Restated Change in Control Severance Agreement between HomeTrust Bancshares, Inc. and John Sprink</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10.16</w:t>
            </w:r>
          </w:p>
        </w:tc>
        <w:tc>
          <w:tcPr>
            <w:tcW w:w="10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3"/>
                <w:szCs w:val="13"/>
                <w:color w:val="0000FF"/>
                <w:w w:val="97"/>
              </w:rPr>
            </w:pPr>
            <w:hyperlink r:id="rId70">
              <w:r>
                <w:rPr>
                  <w:rFonts w:ascii="Times New Roman" w:cs="Times New Roman" w:eastAsia="Times New Roman" w:hAnsi="Times New Roman"/>
                  <w:sz w:val="13"/>
                  <w:szCs w:val="13"/>
                  <w:color w:val="0000FF"/>
                  <w:w w:val="97"/>
                </w:rPr>
                <w:t>Change in Control Severance Agreement between HomeTrust Bancshares, Inc. and Kristin Powell</w:t>
              </w:r>
            </w:hyperlink>
          </w:p>
        </w:tc>
        <w:tc>
          <w:tcPr>
            <w:tcW w:w="1080" w:type="dxa"/>
            <w:vAlign w:val="bottom"/>
            <w:tcBorders>
              <w:top w:val="single" w:sz="8" w:color="0000FF"/>
            </w:tcBorders>
            <w:gridSpan w:val="6"/>
          </w:tcPr>
          <w:p>
            <w:pPr>
              <w:spacing w:after="0"/>
              <w:rPr>
                <w:sz w:val="13"/>
                <w:szCs w:val="13"/>
                <w:color w:val="auto"/>
              </w:rPr>
            </w:pPr>
          </w:p>
        </w:tc>
        <w:tc>
          <w:tcPr>
            <w:tcW w:w="2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10.16A</w:t>
            </w:r>
          </w:p>
        </w:tc>
        <w:tc>
          <w:tcPr>
            <w:tcW w:w="8280" w:type="dxa"/>
            <w:vAlign w:val="bottom"/>
            <w:gridSpan w:val="17"/>
          </w:tcPr>
          <w:p>
            <w:pPr>
              <w:spacing w:after="0"/>
              <w:rPr>
                <w:rFonts w:ascii="Times New Roman" w:cs="Times New Roman" w:eastAsia="Times New Roman" w:hAnsi="Times New Roman"/>
                <w:sz w:val="13"/>
                <w:szCs w:val="13"/>
                <w:color w:val="0000FF"/>
              </w:rPr>
            </w:pPr>
            <w:hyperlink r:id="rId61">
              <w:r>
                <w:rPr>
                  <w:rFonts w:ascii="Times New Roman" w:cs="Times New Roman" w:eastAsia="Times New Roman" w:hAnsi="Times New Roman"/>
                  <w:sz w:val="13"/>
                  <w:szCs w:val="13"/>
                  <w:color w:val="0000FF"/>
                </w:rPr>
                <w:t>Amendment No. 1 to Change in Control Severance Agreement between HomeTrust Bancshares, Inc. and Kristin Powell</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10.17</w:t>
            </w:r>
          </w:p>
        </w:tc>
        <w:tc>
          <w:tcPr>
            <w:tcW w:w="100" w:type="dxa"/>
            <w:vAlign w:val="bottom"/>
          </w:tcPr>
          <w:p>
            <w:pPr>
              <w:spacing w:after="0"/>
              <w:rPr>
                <w:sz w:val="13"/>
                <w:szCs w:val="13"/>
                <w:color w:val="auto"/>
              </w:rPr>
            </w:pPr>
          </w:p>
        </w:tc>
        <w:tc>
          <w:tcPr>
            <w:tcW w:w="6120" w:type="dxa"/>
            <w:vAlign w:val="bottom"/>
            <w:tcBorders>
              <w:top w:val="single" w:sz="8" w:color="0000FF"/>
            </w:tcBorders>
            <w:gridSpan w:val="12"/>
          </w:tcPr>
          <w:p>
            <w:pPr>
              <w:spacing w:after="0"/>
              <w:rPr>
                <w:rFonts w:ascii="Times New Roman" w:cs="Times New Roman" w:eastAsia="Times New Roman" w:hAnsi="Times New Roman"/>
                <w:sz w:val="13"/>
                <w:szCs w:val="13"/>
                <w:color w:val="0000FF"/>
              </w:rPr>
            </w:pPr>
            <w:hyperlink r:id="rId61">
              <w:r>
                <w:rPr>
                  <w:rFonts w:ascii="Times New Roman" w:cs="Times New Roman" w:eastAsia="Times New Roman" w:hAnsi="Times New Roman"/>
                  <w:sz w:val="13"/>
                  <w:szCs w:val="13"/>
                  <w:color w:val="0000FF"/>
                </w:rPr>
                <w:t>Change in Control Severance Agreement between HomeTrust Bancshares, Inc. and Megan Pelletier</w:t>
              </w:r>
            </w:hyperlink>
          </w:p>
        </w:tc>
        <w:tc>
          <w:tcPr>
            <w:tcW w:w="2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10.18</w:t>
            </w:r>
          </w:p>
        </w:tc>
        <w:tc>
          <w:tcPr>
            <w:tcW w:w="100" w:type="dxa"/>
            <w:vAlign w:val="bottom"/>
          </w:tcPr>
          <w:p>
            <w:pPr>
              <w:spacing w:after="0"/>
              <w:rPr>
                <w:sz w:val="13"/>
                <w:szCs w:val="13"/>
                <w:color w:val="auto"/>
              </w:rPr>
            </w:pPr>
          </w:p>
        </w:tc>
        <w:tc>
          <w:tcPr>
            <w:tcW w:w="5080" w:type="dxa"/>
            <w:vAlign w:val="bottom"/>
            <w:tcBorders>
              <w:top w:val="single" w:sz="8" w:color="0000FF"/>
            </w:tcBorders>
            <w:gridSpan w:val="6"/>
          </w:tcPr>
          <w:p>
            <w:pPr>
              <w:spacing w:after="0"/>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Change in Control Severance Agreement between HomeTrust Bancshares, Inc. and Lora Jex</w:t>
              </w:r>
            </w:hyperlink>
          </w:p>
        </w:tc>
        <w:tc>
          <w:tcPr>
            <w:tcW w:w="32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1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10.19</w:t>
            </w:r>
          </w:p>
        </w:tc>
        <w:tc>
          <w:tcPr>
            <w:tcW w:w="100" w:type="dxa"/>
            <w:vAlign w:val="bottom"/>
          </w:tcPr>
          <w:p>
            <w:pPr>
              <w:spacing w:after="0"/>
              <w:rPr>
                <w:sz w:val="13"/>
                <w:szCs w:val="13"/>
                <w:color w:val="auto"/>
              </w:rPr>
            </w:pPr>
          </w:p>
        </w:tc>
        <w:tc>
          <w:tcPr>
            <w:tcW w:w="8280" w:type="dxa"/>
            <w:vAlign w:val="bottom"/>
            <w:gridSpan w:val="17"/>
          </w:tcPr>
          <w:p>
            <w:pPr>
              <w:spacing w:after="0"/>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Change in Control Severance Agreement between HomeTrust Bancshares, Inc. and Chuck Sivley</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1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10.20</w:t>
            </w:r>
          </w:p>
        </w:tc>
        <w:tc>
          <w:tcPr>
            <w:tcW w:w="100" w:type="dxa"/>
            <w:vAlign w:val="bottom"/>
          </w:tcPr>
          <w:p>
            <w:pPr>
              <w:spacing w:after="0"/>
              <w:rPr>
                <w:sz w:val="13"/>
                <w:szCs w:val="13"/>
                <w:color w:val="auto"/>
              </w:rPr>
            </w:pPr>
          </w:p>
        </w:tc>
        <w:tc>
          <w:tcPr>
            <w:tcW w:w="5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0000FF"/>
                <w:w w:val="97"/>
              </w:rPr>
              <w:t>Change in Control Severance Agreement between HomeTrust Bancshares, Inc. and Kevin Nunley</w:t>
            </w:r>
          </w:p>
        </w:tc>
        <w:tc>
          <w:tcPr>
            <w:tcW w:w="3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31.1</w:t>
            </w:r>
          </w:p>
        </w:tc>
        <w:tc>
          <w:tcPr>
            <w:tcW w:w="100" w:type="dxa"/>
            <w:vAlign w:val="bottom"/>
          </w:tcPr>
          <w:p>
            <w:pPr>
              <w:spacing w:after="0"/>
              <w:rPr>
                <w:sz w:val="13"/>
                <w:szCs w:val="13"/>
                <w:color w:val="auto"/>
              </w:rPr>
            </w:pPr>
          </w:p>
        </w:tc>
        <w:tc>
          <w:tcPr>
            <w:tcW w:w="8280" w:type="dxa"/>
            <w:vAlign w:val="bottom"/>
            <w:gridSpan w:val="17"/>
          </w:tcPr>
          <w:p>
            <w:pPr>
              <w:spacing w:after="0"/>
              <w:rPr>
                <w:sz w:val="20"/>
                <w:szCs w:val="20"/>
                <w:color w:val="auto"/>
              </w:rPr>
            </w:pPr>
            <w:r>
              <w:rPr>
                <w:rFonts w:ascii="Times New Roman" w:cs="Times New Roman" w:eastAsia="Times New Roman" w:hAnsi="Times New Roman"/>
                <w:sz w:val="13"/>
                <w:szCs w:val="13"/>
                <w:color w:val="0000FF"/>
                <w:w w:val="98"/>
              </w:rPr>
              <w:t>Certification of Chief Executive Officer pursuant to Securities Exchange Act Rules 13a-14(a) and 15d-14(a) as adopted pursuant to Section 302 of the Sarbanes-</w:t>
            </w: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0000FF"/>
              <w:bottom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rPr>
              <w:t>Oxley Act of 2002</w:t>
            </w:r>
          </w:p>
        </w:tc>
        <w:tc>
          <w:tcPr>
            <w:tcW w:w="7240" w:type="dxa"/>
            <w:vAlign w:val="bottom"/>
            <w:tcBorders>
              <w:top w:val="single" w:sz="8" w:color="0000FF"/>
            </w:tcBorders>
            <w:gridSpan w:val="15"/>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31.2</w:t>
            </w:r>
          </w:p>
        </w:tc>
        <w:tc>
          <w:tcPr>
            <w:tcW w:w="100" w:type="dxa"/>
            <w:vAlign w:val="bottom"/>
          </w:tcPr>
          <w:p>
            <w:pPr>
              <w:spacing w:after="0"/>
              <w:rPr>
                <w:sz w:val="13"/>
                <w:szCs w:val="13"/>
                <w:color w:val="auto"/>
              </w:rPr>
            </w:pPr>
          </w:p>
        </w:tc>
        <w:tc>
          <w:tcPr>
            <w:tcW w:w="8280" w:type="dxa"/>
            <w:vAlign w:val="bottom"/>
            <w:gridSpan w:val="17"/>
          </w:tcPr>
          <w:p>
            <w:pPr>
              <w:spacing w:after="0"/>
              <w:rPr>
                <w:sz w:val="20"/>
                <w:szCs w:val="20"/>
                <w:color w:val="auto"/>
              </w:rPr>
            </w:pPr>
            <w:r>
              <w:rPr>
                <w:rFonts w:ascii="Times New Roman" w:cs="Times New Roman" w:eastAsia="Times New Roman" w:hAnsi="Times New Roman"/>
                <w:sz w:val="13"/>
                <w:szCs w:val="13"/>
                <w:color w:val="0000FF"/>
                <w:w w:val="99"/>
              </w:rPr>
              <w:t>Certification of Chief Financial Officer pursuant to Securities Exchange Act Rules 13a-14(a) and 15d-14(a) as adopted pursuant to Section 302 of the Sarbanes-</w:t>
            </w: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0000FF"/>
              <w:bottom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rPr>
              <w:t>Oxley Act of 2002</w:t>
            </w:r>
          </w:p>
        </w:tc>
        <w:tc>
          <w:tcPr>
            <w:tcW w:w="7200" w:type="dxa"/>
            <w:vAlign w:val="bottom"/>
            <w:tcBorders>
              <w:top w:val="single" w:sz="8" w:color="0000FF"/>
            </w:tcBorders>
            <w:gridSpan w:val="14"/>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32.0</w:t>
            </w:r>
          </w:p>
        </w:tc>
        <w:tc>
          <w:tcPr>
            <w:tcW w:w="100" w:type="dxa"/>
            <w:vAlign w:val="bottom"/>
          </w:tcPr>
          <w:p>
            <w:pPr>
              <w:spacing w:after="0"/>
              <w:rPr>
                <w:sz w:val="13"/>
                <w:szCs w:val="13"/>
                <w:color w:val="auto"/>
              </w:rPr>
            </w:pPr>
          </w:p>
        </w:tc>
        <w:tc>
          <w:tcPr>
            <w:tcW w:w="6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3"/>
                <w:szCs w:val="13"/>
                <w:color w:val="0000FF"/>
                <w:w w:val="97"/>
              </w:rPr>
              <w:t>Certificate of Chief Executive Officer and Chief Financial Officer pursuant to Section 906 of the Sarbanes-Oxley Act of 2002</w:t>
            </w:r>
          </w:p>
        </w:tc>
        <w:tc>
          <w:tcPr>
            <w:tcW w:w="18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180" w:hanging="698"/>
        <w:spacing w:after="0"/>
        <w:tabs>
          <w:tab w:leader="none" w:pos="1180" w:val="left"/>
        </w:tabs>
        <w:numPr>
          <w:ilvl w:val="0"/>
          <w:numId w:val="32"/>
        </w:numPr>
        <w:rPr>
          <w:rFonts w:ascii="Times New Roman" w:cs="Times New Roman" w:eastAsia="Times New Roman" w:hAnsi="Times New Roman"/>
          <w:sz w:val="13"/>
          <w:szCs w:val="13"/>
          <w:u w:val="single" w:color="auto"/>
          <w:color w:val="0000FF"/>
        </w:rPr>
      </w:pPr>
      <w:hyperlink r:id="rId82">
        <w:r>
          <w:rPr>
            <w:rFonts w:ascii="Times New Roman" w:cs="Times New Roman" w:eastAsia="Times New Roman" w:hAnsi="Times New Roman"/>
            <w:sz w:val="13"/>
            <w:szCs w:val="13"/>
            <w:u w:val="single" w:color="auto"/>
            <w:color w:val="0000FF"/>
          </w:rPr>
          <w:t>Policy Relating to Recovery of Erroneously Awarded Compensation</w:t>
        </w:r>
      </w:hyperlink>
    </w:p>
    <w:p>
      <w:pPr>
        <w:spacing w:after="0" w:line="20" w:lineRule="exact"/>
        <w:rPr>
          <w:sz w:val="20"/>
          <w:szCs w:val="20"/>
          <w:color w:val="auto"/>
        </w:rPr>
      </w:pPr>
    </w:p>
    <w:p>
      <w:pPr>
        <w:ind w:left="1180" w:right="20" w:hanging="730"/>
        <w:spacing w:after="0" w:line="219" w:lineRule="auto"/>
        <w:tabs>
          <w:tab w:leader="none" w:pos="118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materials from HomeTrust Bancshares’ Transition Report on Form 10-KT for the six-month transition period ended December 31, 2023, formatted in Extensible Business Reporting Language (XBRL): (a) Consolidated Balance Sheets; (b) Consolidated Statements of Income; (c) Consolidated Statements of Comprehensive Income; (d) Consolidated Statements of Changes in Stockholders' Equity; (e) Consolidated Statements of Cash Flows; and (f) Notes to Consolidated Financial Statements.</w:t>
      </w:r>
    </w:p>
    <w:p>
      <w:pPr>
        <w:spacing w:after="0" w:line="105" w:lineRule="exact"/>
        <w:rPr>
          <w:rFonts w:ascii="Times New Roman" w:cs="Times New Roman" w:eastAsia="Times New Roman" w:hAnsi="Times New Roman"/>
          <w:sz w:val="13"/>
          <w:szCs w:val="13"/>
          <w:color w:val="auto"/>
        </w:rPr>
      </w:pPr>
    </w:p>
    <w:p>
      <w:pPr>
        <w:ind w:left="200" w:hanging="195"/>
        <w:spacing w:after="0"/>
        <w:tabs>
          <w:tab w:leader="none" w:pos="20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Annual Report on Form 10-K for the fiscal year ended June 30, 2022 (File No. 001-35593).</w:t>
      </w:r>
    </w:p>
    <w:p>
      <w:pPr>
        <w:spacing w:after="0" w:line="4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September 25, 2018 (File No. 001-35593).</w:t>
      </w:r>
    </w:p>
    <w:p>
      <w:pPr>
        <w:spacing w:after="0" w:line="53" w:lineRule="exact"/>
        <w:rPr>
          <w:rFonts w:ascii="Times New Roman" w:cs="Times New Roman" w:eastAsia="Times New Roman" w:hAnsi="Times New Roman"/>
          <w:sz w:val="11"/>
          <w:szCs w:val="11"/>
          <w:color w:val="auto"/>
        </w:rPr>
      </w:pPr>
    </w:p>
    <w:p>
      <w:pPr>
        <w:ind w:left="200" w:hanging="195"/>
        <w:spacing w:after="0"/>
        <w:tabs>
          <w:tab w:leader="none" w:pos="20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March 31, 2019 (File No. 001-35593).</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Registration Statement on Form S-1 (File No. 333-178817) filed on December 29, 2011.</w:t>
      </w:r>
    </w:p>
    <w:p>
      <w:pPr>
        <w:spacing w:after="0" w:line="53" w:lineRule="exact"/>
        <w:rPr>
          <w:rFonts w:ascii="Times New Roman" w:cs="Times New Roman" w:eastAsia="Times New Roman" w:hAnsi="Times New Roman"/>
          <w:sz w:val="11"/>
          <w:szCs w:val="11"/>
          <w:color w:val="auto"/>
        </w:rPr>
      </w:pPr>
    </w:p>
    <w:p>
      <w:pPr>
        <w:ind w:left="200" w:hanging="195"/>
        <w:spacing w:after="0"/>
        <w:tabs>
          <w:tab w:leader="none" w:pos="20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May 24, 2022 (File No. 001-35593).</w:t>
      </w:r>
    </w:p>
    <w:p>
      <w:pPr>
        <w:spacing w:after="0" w:line="53" w:lineRule="exact"/>
        <w:rPr>
          <w:rFonts w:ascii="Times New Roman" w:cs="Times New Roman" w:eastAsia="Times New Roman" w:hAnsi="Times New Roman"/>
          <w:sz w:val="11"/>
          <w:szCs w:val="11"/>
          <w:color w:val="auto"/>
        </w:rPr>
      </w:pPr>
    </w:p>
    <w:p>
      <w:pPr>
        <w:ind w:left="200" w:hanging="195"/>
        <w:spacing w:after="0"/>
        <w:tabs>
          <w:tab w:leader="none" w:pos="20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Transition Report on Form 10-KT for the-six month transition period ended December 31, 2023 (File No. 001-35593).</w:t>
      </w:r>
    </w:p>
    <w:p>
      <w:pPr>
        <w:spacing w:after="0" w:line="4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September 11, 2018 (File No. 001-35593).</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October 28, 2020 (File No. 001-35593).</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Amendment No. 1 to HomeTrust Bancshares’s Registration Statement on Form S-1 (File No. 333-178817) filed on March 9, 2012.</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Attached as Appendix A to HomeTrust Bancshares’s definitive proxy statement filed on December 5, 2012 (File No. 001-35593).</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Registration Statement on Form S-8 (File No. 333-186666) filed on February 13, 2013.</w:t>
      </w:r>
    </w:p>
    <w:p>
      <w:pPr>
        <w:spacing w:after="0" w:line="4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February 15, 2022 (File No. 001-35593).</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March 31, 2022 (File No. 001-35593).</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Annual Report on Form 10-K for the fiscal year ended June 30, 2014 (File No. 001-35593).</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July 28, 2021 (File No. 001-35593).</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September 30, 2023 (File No. 001-35593).</w:t>
      </w:r>
    </w:p>
    <w:p>
      <w:pPr>
        <w:spacing w:after="0" w:line="4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Attached as Appendix A to HomeTrust Bancshares’s definitive proxy statement filed on October 3, 2022 (File No. 001-35593).</w:t>
      </w:r>
    </w:p>
    <w:p>
      <w:pPr>
        <w:spacing w:after="0" w:line="53" w:lineRule="exact"/>
        <w:rPr>
          <w:rFonts w:ascii="Times New Roman" w:cs="Times New Roman" w:eastAsia="Times New Roman" w:hAnsi="Times New Roman"/>
          <w:sz w:val="11"/>
          <w:szCs w:val="11"/>
          <w:color w:val="auto"/>
        </w:rPr>
      </w:pPr>
    </w:p>
    <w:p>
      <w:pPr>
        <w:ind w:left="200" w:hanging="195"/>
        <w:spacing w:after="0"/>
        <w:tabs>
          <w:tab w:leader="none" w:pos="20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September 30, 2022 (File No. 001-35593).</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Annual Report on Form 10-K for the fiscal year ended June 30, 2023 (File No. 001-35593).</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August 28, 2023 (File No. 001-35593).</w:t>
      </w:r>
    </w:p>
    <w:p>
      <w:pPr>
        <w:spacing w:after="0" w:line="5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Registration Statement on Form S-8 (File No. 333-186666) filed on February 6, 2023.</w:t>
      </w:r>
    </w:p>
    <w:p>
      <w:pPr>
        <w:spacing w:after="0" w:line="43"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June 30, 2024 (File No. 001-35593).</w:t>
      </w:r>
    </w:p>
    <w:p>
      <w:pPr>
        <w:spacing w:after="0" w:line="3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hanging="36"/>
        <w:spacing w:after="0" w:line="272" w:lineRule="auto"/>
        <w:rPr>
          <w:sz w:val="20"/>
          <w:szCs w:val="20"/>
          <w:color w:val="auto"/>
        </w:rPr>
      </w:pPr>
      <w:r>
        <w:rPr>
          <w:rFonts w:ascii="Times New Roman" w:cs="Times New Roman" w:eastAsia="Times New Roman" w:hAnsi="Times New Roman"/>
          <w:sz w:val="12"/>
          <w:szCs w:val="12"/>
          <w:b w:val="1"/>
          <w:bCs w:val="1"/>
          <w:color w:val="auto"/>
        </w:rPr>
        <w:t>Reference to Prior Filing or Exhibit #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110490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1104900" cy="698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(v)</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10.20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31.1</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31.2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97</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101</w:t>
      </w:r>
    </w:p>
    <w:p>
      <w:pPr>
        <w:sectPr>
          <w:pgSz w:w="11900" w:h="16838" w:orient="portrait"/>
          <w:cols w:equalWidth="0" w:num="2">
            <w:col w:w="9460" w:space="200"/>
            <w:col w:w="1500"/>
          </w:cols>
          <w:pgMar w:left="300" w:top="743" w:right="439" w:bottom="1440" w:gutter="0" w:footer="0" w:header="0"/>
        </w:sectPr>
      </w:pPr>
    </w:p>
    <w:bookmarkStart w:id="49" w:name="page50"/>
    <w:bookmarkEnd w:id="49"/>
    <w:p>
      <w:pPr>
        <w:ind w:left="524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020" w:type="dxa"/>
            <w:vAlign w:val="bottom"/>
          </w:tcPr>
          <w:p>
            <w:pPr>
              <w:spacing w:after="0"/>
              <w:rPr>
                <w:sz w:val="14"/>
                <w:szCs w:val="14"/>
                <w:color w:val="auto"/>
              </w:rPr>
            </w:pPr>
          </w:p>
        </w:tc>
        <w:tc>
          <w:tcPr>
            <w:tcW w:w="8220" w:type="dxa"/>
            <w:vAlign w:val="bottom"/>
            <w:gridSpan w:val="2"/>
          </w:tcPr>
          <w:p>
            <w:pPr>
              <w:ind w:left="1780"/>
              <w:spacing w:after="0"/>
              <w:rPr>
                <w:sz w:val="20"/>
                <w:szCs w:val="20"/>
                <w:color w:val="auto"/>
              </w:rPr>
            </w:pPr>
            <w:r>
              <w:rPr>
                <w:rFonts w:ascii="Times New Roman" w:cs="Times New Roman" w:eastAsia="Times New Roman" w:hAnsi="Times New Roman"/>
                <w:sz w:val="13"/>
                <w:szCs w:val="13"/>
                <w:b w:val="1"/>
                <w:bCs w:val="1"/>
                <w:color w:val="auto"/>
              </w:rPr>
              <w:t>HOMETRUST BANCSHARES, INC.</w:t>
            </w:r>
          </w:p>
        </w:tc>
      </w:tr>
      <w:tr>
        <w:trPr>
          <w:trHeight w:val="246"/>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Date: November 8, 2024</w:t>
            </w:r>
          </w:p>
        </w:tc>
        <w:tc>
          <w:tcPr>
            <w:tcW w:w="2600" w:type="dxa"/>
            <w:vAlign w:val="bottom"/>
          </w:tcPr>
          <w:p>
            <w:pPr>
              <w:ind w:left="1780"/>
              <w:spacing w:after="0"/>
              <w:rPr>
                <w:sz w:val="20"/>
                <w:szCs w:val="20"/>
                <w:color w:val="auto"/>
              </w:rPr>
            </w:pPr>
            <w:r>
              <w:rPr>
                <w:rFonts w:ascii="Times New Roman" w:cs="Times New Roman" w:eastAsia="Times New Roman" w:hAnsi="Times New Roman"/>
                <w:sz w:val="13"/>
                <w:szCs w:val="13"/>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C. Hunter Westbrook</w:t>
            </w:r>
          </w:p>
        </w:tc>
      </w:tr>
      <w:tr>
        <w:trPr>
          <w:trHeight w:val="158"/>
        </w:trPr>
        <w:tc>
          <w:tcPr>
            <w:tcW w:w="3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 Hunter Westbrook</w:t>
            </w:r>
          </w:p>
        </w:tc>
      </w:tr>
      <w:tr>
        <w:trPr>
          <w:trHeight w:val="170"/>
        </w:trPr>
        <w:tc>
          <w:tcPr>
            <w:tcW w:w="3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170"/>
        </w:trPr>
        <w:tc>
          <w:tcPr>
            <w:tcW w:w="3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(Duly Authorized Officer)</w:t>
            </w:r>
          </w:p>
        </w:tc>
      </w:tr>
      <w:tr>
        <w:trPr>
          <w:trHeight w:val="246"/>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Date: November 8, 2024</w:t>
            </w:r>
          </w:p>
        </w:tc>
        <w:tc>
          <w:tcPr>
            <w:tcW w:w="2600" w:type="dxa"/>
            <w:vAlign w:val="bottom"/>
          </w:tcPr>
          <w:p>
            <w:pPr>
              <w:ind w:left="1780"/>
              <w:spacing w:after="0"/>
              <w:rPr>
                <w:sz w:val="20"/>
                <w:szCs w:val="20"/>
                <w:color w:val="auto"/>
              </w:rPr>
            </w:pPr>
            <w:r>
              <w:rPr>
                <w:rFonts w:ascii="Times New Roman" w:cs="Times New Roman" w:eastAsia="Times New Roman" w:hAnsi="Times New Roman"/>
                <w:sz w:val="13"/>
                <w:szCs w:val="13"/>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Tony J. VunCannon</w:t>
            </w:r>
          </w:p>
        </w:tc>
      </w:tr>
      <w:tr>
        <w:trPr>
          <w:trHeight w:val="158"/>
        </w:trPr>
        <w:tc>
          <w:tcPr>
            <w:tcW w:w="3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Tony J. VunCannon</w:t>
            </w:r>
          </w:p>
        </w:tc>
      </w:tr>
      <w:tr>
        <w:trPr>
          <w:trHeight w:val="170"/>
        </w:trPr>
        <w:tc>
          <w:tcPr>
            <w:tcW w:w="3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Executive Vice President, CFO, Corporate Secretary and Treasurer</w:t>
            </w:r>
          </w:p>
        </w:tc>
      </w:tr>
      <w:tr>
        <w:trPr>
          <w:trHeight w:val="170"/>
        </w:trPr>
        <w:tc>
          <w:tcPr>
            <w:tcW w:w="3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260"/>
          </w:cols>
          <w:pgMar w:left="300" w:top="731" w:right="339" w:bottom="1440"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RULE 13a-14(a) CERTIFICATION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C. Hunter Westbrook, certify that:</w:t>
      </w:r>
    </w:p>
    <w:p>
      <w:pPr>
        <w:spacing w:after="0" w:line="126" w:lineRule="exact"/>
        <w:rPr>
          <w:sz w:val="20"/>
          <w:szCs w:val="20"/>
          <w:color w:val="auto"/>
        </w:rPr>
      </w:pPr>
    </w:p>
    <w:p>
      <w:pPr>
        <w:ind w:left="520" w:hanging="515"/>
        <w:spacing w:after="0"/>
        <w:tabs>
          <w:tab w:leader="none" w:pos="5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HomeTrust Bancshares, Inc. (the "Company");</w:t>
      </w:r>
    </w:p>
    <w:p>
      <w:pPr>
        <w:spacing w:after="0" w:line="136" w:lineRule="exact"/>
        <w:rPr>
          <w:rFonts w:ascii="Times New Roman" w:cs="Times New Roman" w:eastAsia="Times New Roman" w:hAnsi="Times New Roman"/>
          <w:sz w:val="13"/>
          <w:szCs w:val="13"/>
          <w:color w:val="auto"/>
        </w:rPr>
      </w:pPr>
    </w:p>
    <w:p>
      <w:pPr>
        <w:ind w:left="520" w:hanging="515"/>
        <w:spacing w:after="0" w:line="264" w:lineRule="auto"/>
        <w:tabs>
          <w:tab w:leader="none" w:pos="5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3"/>
          <w:szCs w:val="13"/>
          <w:color w:val="auto"/>
        </w:rPr>
      </w:pPr>
    </w:p>
    <w:p>
      <w:pPr>
        <w:ind w:left="520" w:hanging="515"/>
        <w:spacing w:after="0" w:line="281" w:lineRule="auto"/>
        <w:tabs>
          <w:tab w:leader="none" w:pos="5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4" w:lineRule="exact"/>
        <w:rPr>
          <w:rFonts w:ascii="Times New Roman" w:cs="Times New Roman" w:eastAsia="Times New Roman" w:hAnsi="Times New Roman"/>
          <w:sz w:val="13"/>
          <w:szCs w:val="13"/>
          <w:color w:val="auto"/>
        </w:rPr>
      </w:pPr>
    </w:p>
    <w:p>
      <w:pPr>
        <w:ind w:left="520" w:hanging="515"/>
        <w:spacing w:after="0" w:line="281" w:lineRule="auto"/>
        <w:tabs>
          <w:tab w:leader="none" w:pos="5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 and I are responsible for establishing and maintaining disclosure controls and procedures (as defined in Exchange Act Rules 13a-15(e) and 15d-15(e)) for the Company and have:</w:t>
      </w:r>
    </w:p>
    <w:p>
      <w:pPr>
        <w:spacing w:after="0" w:line="84" w:lineRule="exact"/>
        <w:rPr>
          <w:rFonts w:ascii="Times New Roman" w:cs="Times New Roman" w:eastAsia="Times New Roman" w:hAnsi="Times New Roman"/>
          <w:sz w:val="13"/>
          <w:szCs w:val="13"/>
          <w:color w:val="auto"/>
        </w:rPr>
      </w:pPr>
    </w:p>
    <w:p>
      <w:pPr>
        <w:ind w:left="900" w:hanging="259"/>
        <w:spacing w:after="0" w:line="264" w:lineRule="auto"/>
        <w:tabs>
          <w:tab w:leader="none" w:pos="893"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06" w:lineRule="exact"/>
        <w:rPr>
          <w:rFonts w:ascii="Times New Roman" w:cs="Times New Roman" w:eastAsia="Times New Roman" w:hAnsi="Times New Roman"/>
          <w:sz w:val="13"/>
          <w:szCs w:val="13"/>
          <w:color w:val="auto"/>
        </w:rPr>
      </w:pPr>
    </w:p>
    <w:p>
      <w:pPr>
        <w:ind w:left="900" w:hanging="259"/>
        <w:spacing w:after="0" w:line="264" w:lineRule="auto"/>
        <w:tabs>
          <w:tab w:leader="none" w:pos="900"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3"/>
          <w:szCs w:val="13"/>
          <w:color w:val="auto"/>
        </w:rPr>
      </w:pPr>
    </w:p>
    <w:p>
      <w:pPr>
        <w:ind w:left="900" w:hanging="259"/>
        <w:spacing w:after="0" w:line="281" w:lineRule="auto"/>
        <w:tabs>
          <w:tab w:leader="none" w:pos="893"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84" w:lineRule="exact"/>
        <w:rPr>
          <w:rFonts w:ascii="Times New Roman" w:cs="Times New Roman" w:eastAsia="Times New Roman" w:hAnsi="Times New Roman"/>
          <w:sz w:val="13"/>
          <w:szCs w:val="13"/>
          <w:color w:val="auto"/>
        </w:rPr>
      </w:pPr>
    </w:p>
    <w:p>
      <w:pPr>
        <w:ind w:left="900" w:hanging="259"/>
        <w:spacing w:after="0" w:line="281" w:lineRule="auto"/>
        <w:tabs>
          <w:tab w:leader="none" w:pos="900"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84" w:lineRule="exact"/>
        <w:rPr>
          <w:rFonts w:ascii="Times New Roman" w:cs="Times New Roman" w:eastAsia="Times New Roman" w:hAnsi="Times New Roman"/>
          <w:sz w:val="13"/>
          <w:szCs w:val="13"/>
          <w:color w:val="auto"/>
        </w:rPr>
      </w:pPr>
    </w:p>
    <w:p>
      <w:pPr>
        <w:ind w:left="520" w:hanging="515"/>
        <w:spacing w:after="0" w:line="264" w:lineRule="auto"/>
        <w:tabs>
          <w:tab w:leader="none" w:pos="5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06" w:lineRule="exact"/>
        <w:rPr>
          <w:rFonts w:ascii="Times New Roman" w:cs="Times New Roman" w:eastAsia="Times New Roman" w:hAnsi="Times New Roman"/>
          <w:sz w:val="13"/>
          <w:szCs w:val="13"/>
          <w:color w:val="auto"/>
        </w:rPr>
      </w:pPr>
    </w:p>
    <w:p>
      <w:pPr>
        <w:ind w:left="900" w:hanging="259"/>
        <w:spacing w:after="0" w:line="264" w:lineRule="auto"/>
        <w:tabs>
          <w:tab w:leader="none" w:pos="893"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06" w:lineRule="exact"/>
        <w:rPr>
          <w:rFonts w:ascii="Times New Roman" w:cs="Times New Roman" w:eastAsia="Times New Roman" w:hAnsi="Times New Roman"/>
          <w:sz w:val="13"/>
          <w:szCs w:val="13"/>
          <w:color w:val="auto"/>
        </w:rPr>
      </w:pPr>
    </w:p>
    <w:p>
      <w:pPr>
        <w:ind w:left="900" w:hanging="259"/>
        <w:spacing w:after="0"/>
        <w:tabs>
          <w:tab w:leader="none" w:pos="900"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ind w:left="20"/>
        <w:spacing w:after="0"/>
        <w:tabs>
          <w:tab w:leader="none" w:pos="5000" w:val="left"/>
          <w:tab w:leader="none" w:pos="5980" w:val="left"/>
        </w:tabs>
        <w:rPr>
          <w:sz w:val="20"/>
          <w:szCs w:val="20"/>
          <w:color w:val="auto"/>
        </w:rPr>
      </w:pPr>
      <w:r>
        <w:rPr>
          <w:rFonts w:ascii="Times New Roman" w:cs="Times New Roman" w:eastAsia="Times New Roman" w:hAnsi="Times New Roman"/>
          <w:sz w:val="13"/>
          <w:szCs w:val="13"/>
          <w:color w:val="auto"/>
        </w:rPr>
        <w:t>November 8,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12700</wp:posOffset>
            </wp:positionV>
            <wp:extent cx="334835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3348355" cy="6985"/>
                    </a:xfrm>
                    <a:prstGeom prst="rect">
                      <a:avLst/>
                    </a:prstGeom>
                    <a:noFill/>
                  </pic:spPr>
                </pic:pic>
              </a:graphicData>
            </a:graphic>
          </wp:anchor>
        </w:drawing>
      </w:r>
    </w:p>
    <w:p>
      <w:pPr>
        <w:spacing w:after="0" w:line="1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C. Hunter Westbrook</w:t>
      </w:r>
    </w:p>
    <w:p>
      <w:pPr>
        <w:spacing w:after="0" w:line="5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ectPr>
          <w:pgSz w:w="11900" w:h="16838" w:orient="portrait"/>
          <w:cols w:equalWidth="0" w:num="1">
            <w:col w:w="11280"/>
          </w:cols>
          <w:pgMar w:left="300" w:top="731" w:right="31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RULE 13a-14(a) CERTIFICATION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Tony J. VunCannon, certify that:</w:t>
      </w:r>
    </w:p>
    <w:p>
      <w:pPr>
        <w:spacing w:after="0" w:line="126" w:lineRule="exact"/>
        <w:rPr>
          <w:sz w:val="20"/>
          <w:szCs w:val="20"/>
          <w:color w:val="auto"/>
        </w:rPr>
      </w:pPr>
    </w:p>
    <w:p>
      <w:pPr>
        <w:ind w:left="520" w:hanging="515"/>
        <w:spacing w:after="0"/>
        <w:tabs>
          <w:tab w:leader="none" w:pos="5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HomeTrust Bancshares, Inc. (the "Company");</w:t>
      </w:r>
    </w:p>
    <w:p>
      <w:pPr>
        <w:spacing w:after="0" w:line="136" w:lineRule="exact"/>
        <w:rPr>
          <w:rFonts w:ascii="Times New Roman" w:cs="Times New Roman" w:eastAsia="Times New Roman" w:hAnsi="Times New Roman"/>
          <w:sz w:val="13"/>
          <w:szCs w:val="13"/>
          <w:color w:val="auto"/>
        </w:rPr>
      </w:pPr>
    </w:p>
    <w:p>
      <w:pPr>
        <w:ind w:left="520" w:hanging="515"/>
        <w:spacing w:after="0" w:line="264" w:lineRule="auto"/>
        <w:tabs>
          <w:tab w:leader="none" w:pos="5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3"/>
          <w:szCs w:val="13"/>
          <w:color w:val="auto"/>
        </w:rPr>
      </w:pPr>
    </w:p>
    <w:p>
      <w:pPr>
        <w:ind w:left="520" w:hanging="515"/>
        <w:spacing w:after="0" w:line="281" w:lineRule="auto"/>
        <w:tabs>
          <w:tab w:leader="none" w:pos="5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4" w:lineRule="exact"/>
        <w:rPr>
          <w:rFonts w:ascii="Times New Roman" w:cs="Times New Roman" w:eastAsia="Times New Roman" w:hAnsi="Times New Roman"/>
          <w:sz w:val="13"/>
          <w:szCs w:val="13"/>
          <w:color w:val="auto"/>
        </w:rPr>
      </w:pPr>
    </w:p>
    <w:p>
      <w:pPr>
        <w:ind w:left="520" w:hanging="515"/>
        <w:spacing w:after="0" w:line="281" w:lineRule="auto"/>
        <w:tabs>
          <w:tab w:leader="none" w:pos="5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 and I are responsible for establishing and maintaining disclosure controls and procedures (as defined in Exchange Act Rules 13a-15(e) and 15d-15(e)) for the Company and have:</w:t>
      </w:r>
    </w:p>
    <w:p>
      <w:pPr>
        <w:spacing w:after="0" w:line="84" w:lineRule="exact"/>
        <w:rPr>
          <w:rFonts w:ascii="Times New Roman" w:cs="Times New Roman" w:eastAsia="Times New Roman" w:hAnsi="Times New Roman"/>
          <w:sz w:val="13"/>
          <w:szCs w:val="13"/>
          <w:color w:val="auto"/>
        </w:rPr>
      </w:pPr>
    </w:p>
    <w:p>
      <w:pPr>
        <w:ind w:left="900" w:hanging="259"/>
        <w:spacing w:after="0" w:line="264" w:lineRule="auto"/>
        <w:tabs>
          <w:tab w:leader="none" w:pos="893"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06" w:lineRule="exact"/>
        <w:rPr>
          <w:rFonts w:ascii="Times New Roman" w:cs="Times New Roman" w:eastAsia="Times New Roman" w:hAnsi="Times New Roman"/>
          <w:sz w:val="13"/>
          <w:szCs w:val="13"/>
          <w:color w:val="auto"/>
        </w:rPr>
      </w:pPr>
    </w:p>
    <w:p>
      <w:pPr>
        <w:ind w:left="900" w:hanging="259"/>
        <w:spacing w:after="0" w:line="264" w:lineRule="auto"/>
        <w:tabs>
          <w:tab w:leader="none" w:pos="900"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3"/>
          <w:szCs w:val="13"/>
          <w:color w:val="auto"/>
        </w:rPr>
      </w:pPr>
    </w:p>
    <w:p>
      <w:pPr>
        <w:ind w:left="900" w:hanging="259"/>
        <w:spacing w:after="0" w:line="281" w:lineRule="auto"/>
        <w:tabs>
          <w:tab w:leader="none" w:pos="893"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84" w:lineRule="exact"/>
        <w:rPr>
          <w:rFonts w:ascii="Times New Roman" w:cs="Times New Roman" w:eastAsia="Times New Roman" w:hAnsi="Times New Roman"/>
          <w:sz w:val="13"/>
          <w:szCs w:val="13"/>
          <w:color w:val="auto"/>
        </w:rPr>
      </w:pPr>
    </w:p>
    <w:p>
      <w:pPr>
        <w:ind w:left="900" w:hanging="259"/>
        <w:spacing w:after="0" w:line="281" w:lineRule="auto"/>
        <w:tabs>
          <w:tab w:leader="none" w:pos="900"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84" w:lineRule="exact"/>
        <w:rPr>
          <w:rFonts w:ascii="Times New Roman" w:cs="Times New Roman" w:eastAsia="Times New Roman" w:hAnsi="Times New Roman"/>
          <w:sz w:val="13"/>
          <w:szCs w:val="13"/>
          <w:color w:val="auto"/>
        </w:rPr>
      </w:pPr>
    </w:p>
    <w:p>
      <w:pPr>
        <w:ind w:left="520" w:hanging="515"/>
        <w:spacing w:after="0" w:line="264" w:lineRule="auto"/>
        <w:tabs>
          <w:tab w:leader="none" w:pos="5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06" w:lineRule="exact"/>
        <w:rPr>
          <w:rFonts w:ascii="Times New Roman" w:cs="Times New Roman" w:eastAsia="Times New Roman" w:hAnsi="Times New Roman"/>
          <w:sz w:val="13"/>
          <w:szCs w:val="13"/>
          <w:color w:val="auto"/>
        </w:rPr>
      </w:pPr>
    </w:p>
    <w:p>
      <w:pPr>
        <w:ind w:left="900" w:hanging="259"/>
        <w:spacing w:after="0" w:line="264" w:lineRule="auto"/>
        <w:tabs>
          <w:tab w:leader="none" w:pos="893"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06" w:lineRule="exact"/>
        <w:rPr>
          <w:rFonts w:ascii="Times New Roman" w:cs="Times New Roman" w:eastAsia="Times New Roman" w:hAnsi="Times New Roman"/>
          <w:sz w:val="13"/>
          <w:szCs w:val="13"/>
          <w:color w:val="auto"/>
        </w:rPr>
      </w:pPr>
    </w:p>
    <w:p>
      <w:pPr>
        <w:ind w:left="900" w:hanging="259"/>
        <w:spacing w:after="0"/>
        <w:tabs>
          <w:tab w:leader="none" w:pos="900"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ind w:left="20"/>
        <w:spacing w:after="0"/>
        <w:tabs>
          <w:tab w:leader="none" w:pos="5000" w:val="left"/>
          <w:tab w:leader="none" w:pos="5980" w:val="left"/>
        </w:tabs>
        <w:rPr>
          <w:sz w:val="20"/>
          <w:szCs w:val="20"/>
          <w:color w:val="auto"/>
        </w:rPr>
      </w:pPr>
      <w:r>
        <w:rPr>
          <w:rFonts w:ascii="Times New Roman" w:cs="Times New Roman" w:eastAsia="Times New Roman" w:hAnsi="Times New Roman"/>
          <w:sz w:val="13"/>
          <w:szCs w:val="13"/>
          <w:color w:val="auto"/>
        </w:rPr>
        <w:t>November 8,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12700</wp:posOffset>
            </wp:positionV>
            <wp:extent cx="334835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3348355" cy="6985"/>
                    </a:xfrm>
                    <a:prstGeom prst="rect">
                      <a:avLst/>
                    </a:prstGeom>
                    <a:noFill/>
                  </pic:spPr>
                </pic:pic>
              </a:graphicData>
            </a:graphic>
          </wp:anchor>
        </w:drawing>
      </w:r>
    </w:p>
    <w:p>
      <w:pPr>
        <w:spacing w:after="0" w:line="1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Tony J. VunCannon</w:t>
      </w:r>
    </w:p>
    <w:p>
      <w:pPr>
        <w:spacing w:after="0" w:line="5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Executive Vice President, CFO, and Treasurer</w:t>
      </w:r>
    </w:p>
    <w:p>
      <w:pPr>
        <w:sectPr>
          <w:pgSz w:w="11900" w:h="16838" w:orient="portrait"/>
          <w:cols w:equalWidth="0" w:num="1">
            <w:col w:w="11280"/>
          </w:cols>
          <w:pgMar w:left="300" w:top="732" w:right="3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3"/>
          <w:szCs w:val="13"/>
          <w:b w:val="1"/>
          <w:bCs w:val="1"/>
          <w:color w:val="auto"/>
        </w:rPr>
        <w:t>Exhibit 32</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SECTION 1350 CERTIFICATION</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Each of the undersigned hereby certifies in his capacity as an officer of HomeTrust Bancshares, Inc. (the "Company") that the Quarterly Report of the Company on Form 10-Q for the period ended September 30, 2024, fully complies with the requirements of Section 13(a) of the Securities and Exchange Act of 1934, as amended, and that the information contained in such report fairly presents, in all material respects, the financial condition and results of operations of the Company as of the dates and periods presented in the financial statements included in such report.</w:t>
      </w:r>
    </w:p>
    <w:p>
      <w:pPr>
        <w:spacing w:after="0" w:line="131" w:lineRule="exact"/>
        <w:rPr>
          <w:sz w:val="20"/>
          <w:szCs w:val="20"/>
          <w:color w:val="auto"/>
        </w:rPr>
      </w:pPr>
    </w:p>
    <w:p>
      <w:pPr>
        <w:ind w:left="20"/>
        <w:spacing w:after="0"/>
        <w:tabs>
          <w:tab w:leader="none" w:pos="4320" w:val="left"/>
          <w:tab w:leader="none" w:pos="5440" w:val="left"/>
        </w:tabs>
        <w:rPr>
          <w:sz w:val="20"/>
          <w:szCs w:val="20"/>
          <w:color w:val="auto"/>
        </w:rPr>
      </w:pPr>
      <w:r>
        <w:rPr>
          <w:rFonts w:ascii="Times New Roman" w:cs="Times New Roman" w:eastAsia="Times New Roman" w:hAnsi="Times New Roman"/>
          <w:sz w:val="13"/>
          <w:szCs w:val="13"/>
          <w:color w:val="auto"/>
        </w:rPr>
        <w:t>November 8,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12700</wp:posOffset>
            </wp:positionV>
            <wp:extent cx="369189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3691890" cy="6985"/>
                    </a:xfrm>
                    <a:prstGeom prst="rect">
                      <a:avLst/>
                    </a:prstGeom>
                    <a:noFill/>
                  </pic:spPr>
                </pic:pic>
              </a:graphicData>
            </a:graphic>
          </wp:anchor>
        </w:drawing>
      </w:r>
    </w:p>
    <w:p>
      <w:pPr>
        <w:spacing w:after="0" w:line="1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3"/>
          <w:szCs w:val="13"/>
          <w:color w:val="auto"/>
        </w:rPr>
        <w:t>C. Hunter Westbrook</w:t>
      </w:r>
    </w:p>
    <w:p>
      <w:pPr>
        <w:spacing w:after="0" w:line="5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4320" w:val="left"/>
          <w:tab w:leader="none" w:pos="5440" w:val="left"/>
        </w:tabs>
        <w:rPr>
          <w:sz w:val="20"/>
          <w:szCs w:val="20"/>
          <w:color w:val="auto"/>
        </w:rPr>
      </w:pPr>
      <w:r>
        <w:rPr>
          <w:rFonts w:ascii="Times New Roman" w:cs="Times New Roman" w:eastAsia="Times New Roman" w:hAnsi="Times New Roman"/>
          <w:sz w:val="13"/>
          <w:szCs w:val="13"/>
          <w:color w:val="auto"/>
        </w:rPr>
        <w:t>November 8,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12700</wp:posOffset>
            </wp:positionV>
            <wp:extent cx="369189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3691890" cy="6985"/>
                    </a:xfrm>
                    <a:prstGeom prst="rect">
                      <a:avLst/>
                    </a:prstGeom>
                    <a:noFill/>
                  </pic:spPr>
                </pic:pic>
              </a:graphicData>
            </a:graphic>
          </wp:anchor>
        </w:drawing>
      </w:r>
    </w:p>
    <w:p>
      <w:pPr>
        <w:spacing w:after="0" w:line="1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3"/>
          <w:szCs w:val="13"/>
          <w:color w:val="auto"/>
        </w:rPr>
        <w:t>Tony J. VunCannon</w:t>
      </w:r>
    </w:p>
    <w:p>
      <w:pPr>
        <w:spacing w:after="0" w:line="5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3"/>
          <w:szCs w:val="13"/>
          <w:color w:val="auto"/>
        </w:rPr>
        <w:t>Executive Vice President, CFO, and Treasurer</w:t>
      </w:r>
    </w:p>
    <w:sectPr>
      <w:pgSz w:w="11900" w:h="16838" w:orient="portrait"/>
      <w:cols w:equalWidth="0" w:num="1">
        <w:col w:w="11280"/>
      </w:cols>
      <w:pgMar w:left="300" w:top="7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6"/>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8"/>
    </w:lvl>
  </w:abstractNum>
  <w:abstractNum w:abstractNumId="10">
    <w:nsid w:val="6763845E"/>
    <w:multiLevelType w:val="hybridMultilevel"/>
    <w:lvl w:ilvl="0">
      <w:lvlJc w:val="left"/>
      <w:lvlText w:val="%1."/>
      <w:numFmt w:val="decimal"/>
      <w:start w:val="9"/>
    </w:lvl>
  </w:abstractNum>
  <w:abstractNum w:abstractNumId="11">
    <w:nsid w:val="75A2A8D4"/>
    <w:multiLevelType w:val="hybridMultilevel"/>
    <w:lvl w:ilvl="0">
      <w:lvlJc w:val="left"/>
      <w:lvlText w:val="%1."/>
      <w:numFmt w:val="decimal"/>
      <w:start w:val="10"/>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1"/>
    </w:lvl>
  </w:abstractNum>
  <w:abstractNum w:abstractNumId="14">
    <w:nsid w:val="4353D0CD"/>
    <w:multiLevelType w:val="hybridMultilevel"/>
    <w:lvl w:ilvl="0">
      <w:lvlJc w:val="left"/>
      <w:lvlText w:val="%1."/>
      <w:numFmt w:val="decimal"/>
      <w:start w:val="12"/>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3"/>
    </w:lvl>
  </w:abstractNum>
  <w:abstractNum w:abstractNumId="17">
    <w:nsid w:val="54E49EB4"/>
    <w:multiLevelType w:val="hybridMultilevel"/>
    <w:lvl w:ilvl="0">
      <w:lvlJc w:val="left"/>
      <w:lvlText w:val="%1."/>
      <w:numFmt w:val="decimal"/>
      <w:start w:val="14"/>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decimal"/>
      <w:start w:val="97"/>
    </w:lvl>
  </w:abstractNum>
  <w:abstractNum w:abstractNumId="32">
    <w:nsid w:val="419AC241"/>
    <w:multiLevelType w:val="hybridMultilevel"/>
    <w:lvl w:ilvl="0">
      <w:lvlJc w:val="left"/>
      <w:lvlText w:val="%1"/>
      <w:numFmt w:val="lowerLetter"/>
      <w:start w:val="1"/>
    </w:lvl>
    <w:lvl w:ilvl="1">
      <w:lvlJc w:val="left"/>
      <w:lvlText w:val="%2"/>
      <w:numFmt w:val="decimal"/>
      <w:start w:val="101"/>
    </w:lvl>
  </w:abstractNum>
  <w:abstractNum w:abstractNumId="33">
    <w:nsid w:val="5577F8E1"/>
    <w:multiLevelType w:val="hybridMultilevel"/>
    <w:lvl w:ilvl="0">
      <w:lvlJc w:val="left"/>
      <w:lvlText w:val="(%1)"/>
      <w:numFmt w:val="lowerLetter"/>
      <w:start w:val="1"/>
    </w:lvl>
    <w:lvl w:ilvl="1">
      <w:lvlJc w:val="left"/>
      <w:lvlText w:val="%2"/>
      <w:numFmt w:val="decimal"/>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57" Type="http://schemas.openxmlformats.org/officeDocument/2006/relationships/hyperlink" Target="https://www.sec.gov/Archives/edgar/data/1538263/000119312511355607/0001193125-11-355607-index.htm" TargetMode="External"/><Relationship Id="rId58" Type="http://schemas.openxmlformats.org/officeDocument/2006/relationships/hyperlink" Target="https://www.sec.gov/Archives/edgar/data/1538263/000153826323000056/0001538263-23-000056-index.htm" TargetMode="External"/><Relationship Id="rId59" Type="http://schemas.openxmlformats.org/officeDocument/2006/relationships/hyperlink" Target="https://www.sec.gov/ix?doc=/Archives/edgar/data/1538263/000153826324000029/htbi-20231231.htm" TargetMode="External"/><Relationship Id="rId61" Type="http://schemas.openxmlformats.org/officeDocument/2006/relationships/hyperlink" Target="https://www.sec.gov/ix?doc=/Archives/edgar/data/0001538263/000153826322000047/htbi-20220630.htm" TargetMode="External"/><Relationship Id="rId62" Type="http://schemas.openxmlformats.org/officeDocument/2006/relationships/hyperlink" Target="https://www.sec.gov/Archives/edgar/data/1538263/000153826318000044/htbi-20180911x8k.htm" TargetMode="External"/><Relationship Id="rId63" Type="http://schemas.openxmlformats.org/officeDocument/2006/relationships/hyperlink" Target="https://www.sec.gov/Archives/edgar/data/1538263/000153826318000049/htbi-20180925x8k.htm" TargetMode="External"/><Relationship Id="rId64" Type="http://schemas.openxmlformats.org/officeDocument/2006/relationships/hyperlink" Target="https://www.sec.gov/ix?doc=/Archives/edgar/data/0001538263/000153826320000039/htbi-20201027.htm" TargetMode="External"/><Relationship Id="rId65" Type="http://schemas.openxmlformats.org/officeDocument/2006/relationships/hyperlink" Target="https://www.sec.gov/ix?doc=/Archives/edgar/data/0001538263/000153826321000053/htbi-20210726.htm" TargetMode="External"/><Relationship Id="rId66" Type="http://schemas.openxmlformats.org/officeDocument/2006/relationships/hyperlink" Target="https://www.sec.gov/ix?doc=/Archives/edgar/data/0001538263/000153826322000024/htbi-20220523.htm" TargetMode="External"/><Relationship Id="rId67" Type="http://schemas.openxmlformats.org/officeDocument/2006/relationships/hyperlink" Target="https://www.sec.gov/ix?doc=/Archives/edgar/data/0001538263/000153826322000021/htbi-20220331.htm" TargetMode="External"/><Relationship Id="rId68" Type="http://schemas.openxmlformats.org/officeDocument/2006/relationships/hyperlink" Target="https://www.sec.gov/ix?doc=/Archives/edgar/data/0001538263/000153826322000009/htbi-20220211.htm" TargetMode="External"/><Relationship Id="rId69" Type="http://schemas.openxmlformats.org/officeDocument/2006/relationships/hyperlink" Target="https://www.sec.gov/Archives/edgar/data/1538263/000119312512107294/0001193125-12-107294-index.htm" TargetMode="External"/><Relationship Id="rId70" Type="http://schemas.openxmlformats.org/officeDocument/2006/relationships/hyperlink" Target="https://www.sec.gov/Archives/edgar/data/1538263/000153826322000058/0001538263-22-000058-index.htm" TargetMode="External"/><Relationship Id="rId71" Type="http://schemas.openxmlformats.org/officeDocument/2006/relationships/hyperlink" Target="https://www.sec.gov/ix?doc=/Archives/edgar/data/0001538263/000153826323000038/htbi-20230828.htm" TargetMode="External"/><Relationship Id="rId72" Type="http://schemas.openxmlformats.org/officeDocument/2006/relationships/hyperlink" Target="https://www.sec.gov/Archives/edgar/data/1538263/000092708912000332/htbi-def14a2012.htm" TargetMode="External"/><Relationship Id="rId73" Type="http://schemas.openxmlformats.org/officeDocument/2006/relationships/hyperlink" Target="https://www.sec.gov/Archives/edgar/data/1538263/000092708913000038/0000927089-13-000038-index.htm" TargetMode="External"/><Relationship Id="rId74" Type="http://schemas.openxmlformats.org/officeDocument/2006/relationships/hyperlink" Target="https://www.sec.gov/Archives/edgar/data/1538263/000110465922104918/tm2226697d1_def14a.htm" TargetMode="External"/><Relationship Id="rId77" Type="http://schemas.openxmlformats.org/officeDocument/2006/relationships/hyperlink" Target="https://www.sec.gov/Archives/edgar/data/1538263/000110465923011174/tm235386d1_s8.htm" TargetMode="External"/><Relationship Id="rId78" Type="http://schemas.openxmlformats.org/officeDocument/2006/relationships/hyperlink" Target="https://www.sec.gov/Archives/edgar/data/1538263/000153826319000024/a2019-03x31xhtbix10q.htm" TargetMode="External"/><Relationship Id="rId79" Type="http://schemas.openxmlformats.org/officeDocument/2006/relationships/hyperlink" Target="https://www.sec.gov/ix?doc=/Archives/edgar/data/1538263/000153826323000047/htbi-20230630.htm" TargetMode="External"/><Relationship Id="rId80" Type="http://schemas.openxmlformats.org/officeDocument/2006/relationships/hyperlink" Target="https://www.sec.gov/ix?doc=/Archives/edgar/data/0001538263/000153826323000056/htbi-20230930.htm" TargetMode="External"/><Relationship Id="rId81" Type="http://schemas.openxmlformats.org/officeDocument/2006/relationships/hyperlink" Target="https://www.sec.gov/ix?doc=/Archives/edgar/data/1538263/000153826324000087/htbi-20240630.htm" TargetMode="External"/><Relationship Id="rId82" Type="http://schemas.openxmlformats.org/officeDocument/2006/relationships/hyperlink" Target="https://www.sec.gov/Archives/edgar/data/1538263/000153826324000029/hometrustbancsharesclaw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2024-11-08T16:04:30Z</dcterms:created>
  <dcterms:modified xsi:type="dcterms:W3CDTF">2024-11-08T16:04:30Z</dcterms:modified>
</cp:coreProperties>
</file>