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65736.xml.htm"/>
      <w:bookmarkStart w:id="1" w:name="kswkform4_17857657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KENDALL LAURA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HOMETRUST BANCSHARES,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WOODFIN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ASHEVILLE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HomeTrust Bancshares, Inc.</w:t>
              </w:r>
            </w:hyperlink>
            <w:r>
              <w:rPr/>
              <w:t xml:space="preserve"> [ </w:t>
            </w:r>
            <w:r>
              <w:rPr>
                <w:rFonts w:ascii="Times;serif" w:hAnsi="Times;serif"/>
                <w:color w:val="0000FF"/>
                <w:sz w:val="24"/>
                <w:shd w:fill="FFFFFF" w:val="clear"/>
              </w:rPr>
              <w:t>HTB</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34,229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51.1348</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24,229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27.51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24.95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$50.92 to $51.695,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stock option granted under Issuer's 2013 Omnibus Incentive Plan with the following vesting schedule: 100% on February 11,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stock option granted under Issuer's 2013 Omnibus Incentive Plan with the following vesting schedule: 100% on February 11, 2019.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stock option granted under Issuer's 2013 Omnibus Incentive Plan with the following vesting schedule: 20% increments on February 11, 2018, 2019, 2020, 2021 and 2022.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Tony J. VunCannon, Attorney-in-Fact for Laura C. Kendall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6809" TargetMode="External"/><Relationship Id="rId5" Type="http://schemas.openxmlformats.org/officeDocument/2006/relationships/hyperlink" Target="http://www.sec.gov/cgi-bin/browse-edgar?action=getcompany&amp;CIK=00015382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4082</Characters>
  <CharactersWithSpaces>4726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