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 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10-Q</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QUARTERLY REPORT UNDER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For the quarterly period ended June 30, 2026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TRANSITION REPORT UNDER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_______ to ________</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8"/>
        </w:rPr>
        <w:t>Commission file number:     </w:t>
      </w:r>
      <w:r>
        <w:rPr>
          <w:rFonts w:ascii="Times New Roman;serif" w:hAnsi="Times New Roman;serif"/>
          <w:b/>
          <w:color w:val="000000"/>
          <w:sz w:val="18"/>
        </w:rPr>
        <w:t>001-35593</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HOMETRUST BANCSHARES,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361" w:type="dxa"/>
        <w:jc w:val="left"/>
        <w:tblInd w:w="0" w:type="dxa"/>
        <w:tblLayout w:type="fixed"/>
        <w:tblCellMar>
          <w:top w:w="28" w:type="dxa"/>
          <w:left w:w="28" w:type="dxa"/>
          <w:bottom w:w="28" w:type="dxa"/>
          <w:right w:w="28" w:type="dxa"/>
        </w:tblCellMar>
      </w:tblPr>
      <w:tblGrid>
        <w:gridCol w:w="1564"/>
        <w:gridCol w:w="1374"/>
        <w:gridCol w:w="1382"/>
        <w:gridCol w:w="109"/>
        <w:gridCol w:w="109"/>
        <w:gridCol w:w="109"/>
        <w:gridCol w:w="794"/>
        <w:gridCol w:w="794"/>
        <w:gridCol w:w="1126"/>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45-5055422</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of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10 Woodfin Street, Asheville, North Carolina 28801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(828) 259-3939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17" w:type="dxa"/>
        <w:jc w:val="center"/>
        <w:tblInd w:w="0" w:type="dxa"/>
        <w:tblLayout w:type="fixed"/>
        <w:tblCellMar>
          <w:top w:w="28" w:type="dxa"/>
          <w:left w:w="28" w:type="dxa"/>
          <w:bottom w:w="28" w:type="dxa"/>
          <w:right w:w="28" w:type="dxa"/>
        </w:tblCellMar>
      </w:tblPr>
      <w:tblGrid>
        <w:gridCol w:w="1122"/>
        <w:gridCol w:w="988"/>
        <w:gridCol w:w="994"/>
        <w:gridCol w:w="444"/>
        <w:gridCol w:w="444"/>
        <w:gridCol w:w="446"/>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3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HTB</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 LLC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and 15(d) of the Exchange Act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24"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109"/>
        <w:gridCol w:w="109"/>
        <w:gridCol w:w="109"/>
        <w:gridCol w:w="109"/>
        <w:gridCol w:w="109"/>
        <w:gridCol w:w="109"/>
        <w:gridCol w:w="665"/>
        <w:gridCol w:w="665"/>
        <w:gridCol w:w="949"/>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 ☐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62"/>
        <w:gridCol w:w="3129"/>
        <w:gridCol w:w="3140"/>
        <w:gridCol w:w="109"/>
        <w:gridCol w:w="109"/>
        <w:gridCol w:w="156"/>
      </w:tblGrid>
      <w:tr>
        <w:trPr/>
        <w:tc>
          <w:tcPr>
            <w:tcW w:w="3562"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260" w:after="283"/>
        <w:jc w:val="left"/>
        <w:rPr/>
      </w:pPr>
      <w:r>
        <w:rPr>
          <w:rFonts w:ascii="Times New Roman;serif" w:hAnsi="Times New Roman;serif"/>
          <w:b w:val="false"/>
          <w:color w:val="000000"/>
          <w:sz w:val="18"/>
        </w:rPr>
        <w:t>There were 16,693,180</w:t>
      </w:r>
      <w:r>
        <w:rPr>
          <w:color w:val="BF2115"/>
        </w:rPr>
        <w:t xml:space="preserve"> </w:t>
      </w:r>
      <w:r>
        <w:rPr>
          <w:rFonts w:ascii="Times New Roman;serif" w:hAnsi="Times New Roman;serif"/>
          <w:b w:val="false"/>
          <w:color w:val="000000"/>
          <w:sz w:val="18"/>
        </w:rPr>
        <w:t>shares of common stock, par value of $0.01 per share, issued and outstanding as of July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HOMETRUST BANCSHARES,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 10-Q</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74"/>
        <w:gridCol w:w="327"/>
        <w:gridCol w:w="327"/>
        <w:gridCol w:w="1456"/>
        <w:gridCol w:w="1427"/>
        <w:gridCol w:w="1427"/>
        <w:gridCol w:w="1427"/>
        <w:gridCol w:w="1427"/>
        <w:gridCol w:w="1500"/>
        <w:gridCol w:w="149"/>
        <w:gridCol w:w="149"/>
        <w:gridCol w:w="215"/>
      </w:tblGrid>
      <w:tr>
        <w:trPr/>
        <w:tc>
          <w:tcPr>
            <w:tcW w:w="3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69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3">
              <w:r>
                <w:rPr>
                  <w:rStyle w:val="InternetLink"/>
                  <w:rFonts w:ascii="Times New Roman;serif" w:hAnsi="Times New Roman;serif"/>
                  <w:b/>
                  <w:color w:val="0000FF"/>
                  <w:sz w:val="18"/>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6">
              <w:r>
                <w:rPr>
                  <w:rStyle w:val="InternetLink"/>
                  <w:rFonts w:ascii="Times New Roman;serif" w:hAnsi="Times New Roman;serif"/>
                  <w:b w:val="false"/>
                  <w:color w:val="0000FF"/>
                  <w:sz w:val="18"/>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93ca209300d849e3b379a7ff99f01359_19">
              <w:r>
                <w:rPr>
                  <w:rStyle w:val="InternetLink"/>
                  <w:rFonts w:ascii="Times New Roman;serif" w:hAnsi="Times New Roman;serif"/>
                  <w:b w:val="false"/>
                  <w:color w:val="0000FF"/>
                  <w:sz w:val="18"/>
                  <w:u w:val="single"/>
                </w:rPr>
                <w:t>Consolidated Balance Sheets at June 30, 2026 (Unaudited)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9">
              <w:r>
                <w:rPr>
                  <w:rStyle w:val="InternetLink"/>
                  <w:rFonts w:ascii="Times New Roman;serif" w:hAnsi="Times New Roman;serif"/>
                  <w:b w:val="false"/>
                  <w:color w:val="0000FF"/>
                  <w:sz w:val="18"/>
                  <w:u w:val="single"/>
                </w:rPr>
                <w:t>3</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93ca209300d849e3b379a7ff99f01359_25">
              <w:r>
                <w:rPr>
                  <w:rStyle w:val="InternetLink"/>
                  <w:rFonts w:ascii="Times New Roman;serif" w:hAnsi="Times New Roman;serif"/>
                  <w:b w:val="false"/>
                  <w:color w:val="000080"/>
                  <w:sz w:val="18"/>
                  <w:u w:val="single"/>
                </w:rPr>
                <w:t>Consolidated Statements of Income (Unaudited) for the Three</w:t>
              </w:r>
            </w:hyperlink>
            <w:hyperlink w:anchor="i93ca209300d849e3b379a7ff99f01359_25">
              <w:r>
                <w:rPr>
                  <w:rStyle w:val="InternetLink"/>
                  <w:rFonts w:ascii="Times New Roman;serif" w:hAnsi="Times New Roman;serif"/>
                  <w:b w:val="false"/>
                  <w:color w:val="000080"/>
                  <w:sz w:val="18"/>
                  <w:u w:val="single"/>
                </w:rPr>
                <w:t xml:space="preserve"> and Six Months Ended June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25">
              <w:r>
                <w:rPr>
                  <w:rStyle w:val="InternetLink"/>
                  <w:rFonts w:ascii="Times New Roman;serif" w:hAnsi="Times New Roman;serif"/>
                  <w:b w:val="false"/>
                  <w:color w:val="0000FF"/>
                  <w:sz w:val="18"/>
                  <w:u w:val="single"/>
                </w:rPr>
                <w:t>4</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28">
              <w:r>
                <w:rPr>
                  <w:rStyle w:val="InternetLink"/>
                  <w:rFonts w:ascii="Times New Roman;serif" w:hAnsi="Times New Roman;serif"/>
                  <w:b w:val="false"/>
                  <w:color w:val="000080"/>
                  <w:sz w:val="18"/>
                  <w:u w:val="single"/>
                </w:rPr>
                <w:t>Consolidated Statements of Comprehensive Income (Unaudited) for the Three</w:t>
              </w:r>
            </w:hyperlink>
            <w:hyperlink w:anchor="i93ca209300d849e3b379a7ff99f01359_28">
              <w:r>
                <w:rPr>
                  <w:rStyle w:val="InternetLink"/>
                  <w:rFonts w:ascii="Times New Roman;serif" w:hAnsi="Times New Roman;serif"/>
                  <w:b w:val="false"/>
                  <w:color w:val="000080"/>
                  <w:sz w:val="18"/>
                  <w:u w:val="single"/>
                </w:rPr>
                <w:t xml:space="preserve"> an</w:t>
              </w:r>
            </w:hyperlink>
            <w:hyperlink w:anchor="i93ca209300d849e3b379a7ff99f01359_28">
              <w:r>
                <w:rPr>
                  <w:rStyle w:val="InternetLink"/>
                  <w:rFonts w:ascii="Times New Roman;serif" w:hAnsi="Times New Roman;serif"/>
                  <w:b w:val="false"/>
                  <w:color w:val="000080"/>
                  <w:sz w:val="18"/>
                  <w:u w:val="single"/>
                </w:rPr>
                <w:t>d Six</w:t>
              </w:r>
            </w:hyperlink>
            <w:hyperlink w:anchor="i93ca209300d849e3b379a7ff99f01359_28">
              <w:r>
                <w:rPr>
                  <w:rStyle w:val="InternetLink"/>
                  <w:rFonts w:ascii="Times New Roman;serif" w:hAnsi="Times New Roman;serif"/>
                  <w:b w:val="false"/>
                  <w:color w:val="000080"/>
                  <w:sz w:val="18"/>
                  <w:u w:val="single"/>
                </w:rPr>
                <w:t xml:space="preserve"> Months Ended </w:t>
              </w:r>
            </w:hyperlink>
            <w:hyperlink w:anchor="i93ca209300d849e3b379a7ff99f01359_28">
              <w:r>
                <w:rPr>
                  <w:rStyle w:val="InternetLink"/>
                  <w:rFonts w:ascii="Times New Roman;serif" w:hAnsi="Times New Roman;serif"/>
                  <w:b w:val="false"/>
                  <w:color w:val="000080"/>
                  <w:sz w:val="18"/>
                  <w:u w:val="single"/>
                </w:rPr>
                <w:t>June 30</w:t>
              </w:r>
            </w:hyperlink>
            <w:hyperlink w:anchor="i93ca209300d849e3b379a7ff99f01359_28">
              <w:r>
                <w:rPr>
                  <w:rStyle w:val="InternetLink"/>
                  <w:rFonts w:ascii="Times New Roman;serif" w:hAnsi="Times New Roman;serif"/>
                  <w:b w:val="false"/>
                  <w:color w:val="000080"/>
                  <w:sz w:val="18"/>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28">
              <w:r>
                <w:rPr>
                  <w:rStyle w:val="InternetLink"/>
                  <w:rFonts w:ascii="Times New Roman;serif" w:hAnsi="Times New Roman;serif"/>
                  <w:b w:val="false"/>
                  <w:color w:val="0000FF"/>
                  <w:sz w:val="18"/>
                  <w:u w:val="single"/>
                </w:rPr>
                <w:t>5</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31">
              <w:r>
                <w:rPr>
                  <w:rStyle w:val="InternetLink"/>
                  <w:rFonts w:ascii="Times New Roman;serif" w:hAnsi="Times New Roman;serif"/>
                  <w:b w:val="false"/>
                  <w:color w:val="000080"/>
                  <w:sz w:val="18"/>
                  <w:u w:val="single"/>
                </w:rPr>
                <w:t xml:space="preserve">Consolidated Statements of Changes in Stockholders' Equity (Unaudited) for the </w:t>
              </w:r>
            </w:hyperlink>
            <w:hyperlink w:anchor="i93ca209300d849e3b379a7ff99f01359_25">
              <w:r>
                <w:rPr>
                  <w:rStyle w:val="InternetLink"/>
                  <w:rFonts w:ascii="Times New Roman;serif" w:hAnsi="Times New Roman;serif"/>
                  <w:b w:val="false"/>
                  <w:color w:val="000080"/>
                  <w:sz w:val="18"/>
                  <w:u w:val="single"/>
                </w:rPr>
                <w:t xml:space="preserve">Three </w:t>
              </w:r>
            </w:hyperlink>
            <w:hyperlink w:anchor="i93ca209300d849e3b379a7ff99f01359_25">
              <w:r>
                <w:rPr>
                  <w:rStyle w:val="InternetLink"/>
                  <w:rFonts w:ascii="Times New Roman;serif" w:hAnsi="Times New Roman;serif"/>
                  <w:b w:val="false"/>
                  <w:color w:val="000080"/>
                  <w:sz w:val="18"/>
                  <w:u w:val="single"/>
                </w:rPr>
                <w:t>and Six</w:t>
              </w:r>
            </w:hyperlink>
            <w:hyperlink w:anchor="i93ca209300d849e3b379a7ff99f01359_25">
              <w:r>
                <w:rPr>
                  <w:rStyle w:val="InternetLink"/>
                  <w:rFonts w:ascii="Times New Roman;serif" w:hAnsi="Times New Roman;serif"/>
                  <w:b w:val="false"/>
                  <w:color w:val="000080"/>
                  <w:sz w:val="18"/>
                  <w:u w:val="single"/>
                </w:rPr>
                <w:t xml:space="preserve"> </w:t>
              </w:r>
            </w:hyperlink>
            <w:hyperlink w:anchor="i93ca209300d849e3b379a7ff99f01359_25">
              <w:r>
                <w:rPr>
                  <w:rStyle w:val="InternetLink"/>
                  <w:rFonts w:ascii="Times New Roman;serif" w:hAnsi="Times New Roman;serif"/>
                  <w:b w:val="false"/>
                  <w:color w:val="000080"/>
                  <w:sz w:val="18"/>
                  <w:u w:val="single"/>
                </w:rPr>
                <w:t xml:space="preserve">Months Ended </w:t>
              </w:r>
            </w:hyperlink>
            <w:hyperlink w:anchor="i93ca209300d849e3b379a7ff99f01359_25">
              <w:r>
                <w:rPr>
                  <w:rStyle w:val="InternetLink"/>
                  <w:rFonts w:ascii="Times New Roman;serif" w:hAnsi="Times New Roman;serif"/>
                  <w:b w:val="false"/>
                  <w:color w:val="000080"/>
                  <w:sz w:val="18"/>
                  <w:u w:val="single"/>
                </w:rPr>
                <w:t>June 30</w:t>
              </w:r>
            </w:hyperlink>
            <w:hyperlink w:anchor="i93ca209300d849e3b379a7ff99f01359_25">
              <w:r>
                <w:rPr>
                  <w:rStyle w:val="InternetLink"/>
                  <w:rFonts w:ascii="Times New Roman;serif" w:hAnsi="Times New Roman;serif"/>
                  <w:b w:val="false"/>
                  <w:color w:val="000080"/>
                  <w:sz w:val="18"/>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31">
              <w:r>
                <w:rPr>
                  <w:rStyle w:val="InternetLink"/>
                  <w:rFonts w:ascii="Times New Roman;serif" w:hAnsi="Times New Roman;serif"/>
                  <w:b w:val="false"/>
                  <w:color w:val="0000FF"/>
                  <w:sz w:val="18"/>
                  <w:u w:val="single"/>
                </w:rPr>
                <w:t>6</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93ca209300d849e3b379a7ff99f01359_40">
              <w:r>
                <w:rPr>
                  <w:rStyle w:val="InternetLink"/>
                  <w:rFonts w:ascii="Times New Roman;serif" w:hAnsi="Times New Roman;serif"/>
                  <w:b w:val="false"/>
                  <w:color w:val="000080"/>
                  <w:sz w:val="18"/>
                  <w:u w:val="single"/>
                </w:rPr>
                <w:t xml:space="preserve">Consolidated Statements of Cash Flows (Unaudited) for the </w:t>
              </w:r>
            </w:hyperlink>
            <w:hyperlink w:anchor="i93ca209300d849e3b379a7ff99f01359_40">
              <w:r>
                <w:rPr>
                  <w:rStyle w:val="InternetLink"/>
                  <w:rFonts w:ascii="Times New Roman;serif" w:hAnsi="Times New Roman;serif"/>
                  <w:b w:val="false"/>
                  <w:color w:val="000080"/>
                  <w:sz w:val="18"/>
                  <w:u w:val="single"/>
                </w:rPr>
                <w:t xml:space="preserve">Six </w:t>
              </w:r>
            </w:hyperlink>
            <w:hyperlink w:anchor="i93ca209300d849e3b379a7ff99f01359_40">
              <w:r>
                <w:rPr>
                  <w:rStyle w:val="InternetLink"/>
                  <w:rFonts w:ascii="Times New Roman;serif" w:hAnsi="Times New Roman;serif"/>
                  <w:b w:val="false"/>
                  <w:color w:val="000080"/>
                  <w:sz w:val="18"/>
                  <w:u w:val="single"/>
                </w:rPr>
                <w:t xml:space="preserve">Months Ended </w:t>
              </w:r>
            </w:hyperlink>
            <w:hyperlink w:anchor="i93ca209300d849e3b379a7ff99f01359_40">
              <w:r>
                <w:rPr>
                  <w:rStyle w:val="InternetLink"/>
                  <w:rFonts w:ascii="Times New Roman;serif" w:hAnsi="Times New Roman;serif"/>
                  <w:b w:val="false"/>
                  <w:color w:val="000080"/>
                  <w:sz w:val="18"/>
                  <w:u w:val="single"/>
                </w:rPr>
                <w:t>June 30</w:t>
              </w:r>
            </w:hyperlink>
            <w:hyperlink w:anchor="i93ca209300d849e3b379a7ff99f01359_40">
              <w:r>
                <w:rPr>
                  <w:rStyle w:val="InternetLink"/>
                  <w:rFonts w:ascii="Times New Roman;serif" w:hAnsi="Times New Roman;serif"/>
                  <w:b w:val="false"/>
                  <w:color w:val="000080"/>
                  <w:sz w:val="18"/>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40">
              <w:r>
                <w:rPr>
                  <w:rStyle w:val="InternetLink"/>
                  <w:rFonts w:ascii="Times New Roman;serif" w:hAnsi="Times New Roman;serif"/>
                  <w:b w:val="false"/>
                  <w:color w:val="0000FF"/>
                  <w:sz w:val="18"/>
                  <w:u w:val="single"/>
                </w:rPr>
                <w:t>8</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93ca209300d849e3b379a7ff99f01359_43">
              <w:r>
                <w:rPr>
                  <w:rStyle w:val="InternetLink"/>
                  <w:rFonts w:ascii="Times New Roman;serif" w:hAnsi="Times New Roman;serif"/>
                  <w:b w:val="false"/>
                  <w:color w:val="0000FF"/>
                  <w:sz w:val="18"/>
                  <w:u w:val="single"/>
                </w:rPr>
                <w:t>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43">
              <w:r>
                <w:rPr>
                  <w:rStyle w:val="InternetLink"/>
                  <w:rFonts w:ascii="Times New Roman;serif" w:hAnsi="Times New Roman;serif"/>
                  <w:b w:val="false"/>
                  <w:color w:val="0000FF"/>
                  <w:sz w:val="18"/>
                  <w:u w:val="single"/>
                </w:rPr>
                <w:t>10</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21">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21">
              <w:r>
                <w:rPr>
                  <w:rStyle w:val="InternetLink"/>
                  <w:rFonts w:ascii="Times New Roman;serif" w:hAnsi="Times New Roman;serif"/>
                  <w:b w:val="false"/>
                  <w:color w:val="0000FF"/>
                  <w:sz w:val="18"/>
                  <w:u w:val="single"/>
                </w:rPr>
                <w:t>34</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69">
              <w:r>
                <w:rPr>
                  <w:rStyle w:val="InternetLink"/>
                  <w:rFonts w:ascii="Times New Roman;serif" w:hAnsi="Times New Roman;serif"/>
                  <w:b w:val="false"/>
                  <w:color w:val="0000FF"/>
                  <w:sz w:val="18"/>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69">
              <w:r>
                <w:rPr>
                  <w:rStyle w:val="InternetLink"/>
                  <w:rFonts w:ascii="Times New Roman;serif" w:hAnsi="Times New Roman;serif"/>
                  <w:b w:val="false"/>
                  <w:color w:val="0000FF"/>
                  <w:sz w:val="18"/>
                  <w:u w:val="single"/>
                </w:rPr>
                <w:t>47</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72">
              <w:r>
                <w:rPr>
                  <w:rStyle w:val="InternetLink"/>
                  <w:rFonts w:ascii="Times New Roman;serif" w:hAnsi="Times New Roman;serif"/>
                  <w:b w:val="false"/>
                  <w:color w:val="0000FF"/>
                  <w:sz w:val="18"/>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72">
              <w:r>
                <w:rPr>
                  <w:rStyle w:val="InternetLink"/>
                  <w:rFonts w:ascii="Times New Roman;serif" w:hAnsi="Times New Roman;serif"/>
                  <w:b w:val="false"/>
                  <w:color w:val="0000FF"/>
                  <w:sz w:val="18"/>
                  <w:u w:val="single"/>
                </w:rPr>
                <w:t>47</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75">
              <w:r>
                <w:rPr>
                  <w:rStyle w:val="InternetLink"/>
                  <w:rFonts w:ascii="Times New Roman;serif" w:hAnsi="Times New Roman;serif"/>
                  <w:b/>
                  <w:color w:val="0000FF"/>
                  <w:sz w:val="18"/>
                  <w:u w:val="single"/>
                </w:rPr>
                <w:t>PART II OTHER INFORMATION</w:t>
              </w:r>
            </w:hyperlink>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78">
              <w:r>
                <w:rPr>
                  <w:rStyle w:val="InternetLink"/>
                  <w:rFonts w:ascii="Times New Roman;serif" w:hAnsi="Times New Roman;serif"/>
                  <w:b w:val="false"/>
                  <w:color w:val="0000FF"/>
                  <w:sz w:val="18"/>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78">
              <w:r>
                <w:rPr>
                  <w:rStyle w:val="InternetLink"/>
                  <w:rFonts w:ascii="Times New Roman;serif" w:hAnsi="Times New Roman;serif"/>
                  <w:b w:val="false"/>
                  <w:color w:val="0000FF"/>
                  <w:sz w:val="18"/>
                  <w:u w:val="single"/>
                </w:rPr>
                <w:t>48</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81">
              <w:r>
                <w:rPr>
                  <w:rStyle w:val="InternetLink"/>
                  <w:rFonts w:ascii="Times New Roman;serif" w:hAnsi="Times New Roman;serif"/>
                  <w:b w:val="false"/>
                  <w:color w:val="0000FF"/>
                  <w:sz w:val="18"/>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81">
              <w:r>
                <w:rPr>
                  <w:rStyle w:val="InternetLink"/>
                  <w:rFonts w:ascii="Times New Roman;serif" w:hAnsi="Times New Roman;serif"/>
                  <w:b w:val="false"/>
                  <w:color w:val="0000FF"/>
                  <w:sz w:val="18"/>
                  <w:u w:val="single"/>
                </w:rPr>
                <w:t>48</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84">
              <w:r>
                <w:rPr>
                  <w:rStyle w:val="InternetLink"/>
                  <w:rFonts w:ascii="Times New Roman;serif" w:hAnsi="Times New Roman;serif"/>
                  <w:b w:val="false"/>
                  <w:color w:val="0000FF"/>
                  <w:sz w:val="18"/>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84">
              <w:r>
                <w:rPr>
                  <w:rStyle w:val="InternetLink"/>
                  <w:rFonts w:ascii="Times New Roman;serif" w:hAnsi="Times New Roman;serif"/>
                  <w:b w:val="false"/>
                  <w:color w:val="0000FF"/>
                  <w:sz w:val="18"/>
                  <w:u w:val="single"/>
                </w:rPr>
                <w:t>48</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87">
              <w:r>
                <w:rPr>
                  <w:rStyle w:val="InternetLink"/>
                  <w:rFonts w:ascii="Times New Roman;serif" w:hAnsi="Times New Roman;serif"/>
                  <w:b w:val="false"/>
                  <w:color w:val="0000FF"/>
                  <w:sz w:val="18"/>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87">
              <w:r>
                <w:rPr>
                  <w:rStyle w:val="InternetLink"/>
                  <w:rFonts w:ascii="Times New Roman;serif" w:hAnsi="Times New Roman;serif"/>
                  <w:b w:val="false"/>
                  <w:color w:val="0000FF"/>
                  <w:sz w:val="18"/>
                  <w:u w:val="single"/>
                </w:rPr>
                <w:t>48</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90">
              <w:r>
                <w:rPr>
                  <w:rStyle w:val="InternetLink"/>
                  <w:rFonts w:ascii="Times New Roman;serif" w:hAnsi="Times New Roman;serif"/>
                  <w:b w:val="false"/>
                  <w:color w:val="0000FF"/>
                  <w:sz w:val="18"/>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90">
              <w:r>
                <w:rPr>
                  <w:rStyle w:val="InternetLink"/>
                  <w:rFonts w:ascii="Times New Roman;serif" w:hAnsi="Times New Roman;serif"/>
                  <w:b w:val="false"/>
                  <w:color w:val="0000FF"/>
                  <w:sz w:val="18"/>
                  <w:u w:val="single"/>
                </w:rPr>
                <w:t>48</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93">
              <w:r>
                <w:rPr>
                  <w:rStyle w:val="InternetLink"/>
                  <w:rFonts w:ascii="Times New Roman;serif" w:hAnsi="Times New Roman;serif"/>
                  <w:b w:val="false"/>
                  <w:color w:val="0000FF"/>
                  <w:sz w:val="18"/>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93">
              <w:r>
                <w:rPr>
                  <w:rStyle w:val="InternetLink"/>
                  <w:rFonts w:ascii="Times New Roman;serif" w:hAnsi="Times New Roman;serif"/>
                  <w:b w:val="false"/>
                  <w:color w:val="0000FF"/>
                  <w:sz w:val="18"/>
                  <w:u w:val="single"/>
                </w:rPr>
                <w:t>48</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866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196">
              <w:r>
                <w:rPr>
                  <w:rStyle w:val="InternetLink"/>
                  <w:rFonts w:ascii="Times New Roman;serif" w:hAnsi="Times New Roman;serif"/>
                  <w:b w:val="false"/>
                  <w:color w:val="0000FF"/>
                  <w:sz w:val="18"/>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196">
              <w:r>
                <w:rPr>
                  <w:rStyle w:val="InternetLink"/>
                  <w:rFonts w:ascii="Times New Roman;serif" w:hAnsi="Times New Roman;serif"/>
                  <w:b w:val="false"/>
                  <w:color w:val="0000FF"/>
                  <w:sz w:val="18"/>
                  <w:u w:val="single"/>
                </w:rPr>
                <w:t>49</w:t>
              </w:r>
            </w:hyperlink>
          </w:p>
        </w:tc>
      </w:tr>
      <w:tr>
        <w:trPr/>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3ca209300d849e3b379a7ff99f01359_202">
              <w:r>
                <w:rPr>
                  <w:rStyle w:val="InternetLink"/>
                  <w:rFonts w:ascii="Times New Roman;serif" w:hAnsi="Times New Roman;serif"/>
                  <w:b w:val="false"/>
                  <w:color w:val="0000FF"/>
                  <w:sz w:val="18"/>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ca209300d849e3b379a7ff99f01359_202">
              <w:r>
                <w:rPr>
                  <w:rStyle w:val="InternetLink"/>
                  <w:rFonts w:ascii="Times New Roman;serif" w:hAnsi="Times New Roman;serif"/>
                  <w:b w:val="false"/>
                  <w:color w:val="0000FF"/>
                  <w:sz w:val="18"/>
                  <w:u w:val="single"/>
                </w:rPr>
                <w:t>51</w:t>
              </w:r>
            </w:hyperlink>
          </w:p>
        </w:tc>
      </w:tr>
      <w:tr>
        <w:trPr/>
        <w:tc>
          <w:tcPr>
            <w:tcW w:w="1028" w:type="dxa"/>
            <w:gridSpan w:val="3"/>
            <w:tcBorders/>
            <w:vAlign w:val="center"/>
          </w:tcPr>
          <w:p>
            <w:pPr>
              <w:pStyle w:val="TableContents"/>
              <w:bidi w:val="0"/>
              <w:spacing w:before="0" w:after="283"/>
              <w:jc w:val="left"/>
              <w:rPr>
                <w:sz w:val="4"/>
                <w:szCs w:val="4"/>
              </w:rPr>
            </w:pPr>
            <w:r>
              <w:rPr>
                <w:sz w:val="4"/>
                <w:szCs w:val="4"/>
              </w:rPr>
            </w:r>
          </w:p>
        </w:tc>
        <w:tc>
          <w:tcPr>
            <w:tcW w:w="4310" w:type="dxa"/>
            <w:gridSpan w:val="3"/>
            <w:tcBorders/>
            <w:vAlign w:val="center"/>
          </w:tcPr>
          <w:p>
            <w:pPr>
              <w:pStyle w:val="TableContents"/>
              <w:bidi w:val="0"/>
              <w:spacing w:before="0" w:after="283"/>
              <w:jc w:val="left"/>
              <w:rPr>
                <w:sz w:val="4"/>
                <w:szCs w:val="4"/>
              </w:rPr>
            </w:pPr>
            <w:r>
              <w:rPr>
                <w:sz w:val="4"/>
                <w:szCs w:val="4"/>
              </w:rPr>
            </w:r>
          </w:p>
        </w:tc>
        <w:tc>
          <w:tcPr>
            <w:tcW w:w="43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1028" w:type="dxa"/>
            <w:gridSpan w:val="3"/>
            <w:tcBorders/>
            <w:vAlign w:val="center"/>
          </w:tcPr>
          <w:p>
            <w:pPr>
              <w:pStyle w:val="TableContents"/>
              <w:bidi w:val="0"/>
              <w:spacing w:before="0" w:after="283"/>
              <w:jc w:val="left"/>
              <w:rPr>
                <w:sz w:val="4"/>
                <w:szCs w:val="4"/>
              </w:rPr>
            </w:pPr>
            <w:r>
              <w:rPr>
                <w:sz w:val="4"/>
                <w:szCs w:val="4"/>
              </w:rPr>
            </w:r>
          </w:p>
        </w:tc>
        <w:tc>
          <w:tcPr>
            <w:tcW w:w="4310" w:type="dxa"/>
            <w:gridSpan w:val="3"/>
            <w:tcBorders/>
            <w:vAlign w:val="center"/>
          </w:tcPr>
          <w:p>
            <w:pPr>
              <w:pStyle w:val="TableContents"/>
              <w:bidi w:val="0"/>
              <w:spacing w:before="0" w:after="283"/>
              <w:jc w:val="left"/>
              <w:rPr>
                <w:sz w:val="4"/>
                <w:szCs w:val="4"/>
              </w:rPr>
            </w:pPr>
            <w:r>
              <w:rPr>
                <w:sz w:val="4"/>
                <w:szCs w:val="4"/>
              </w:rPr>
            </w:r>
          </w:p>
        </w:tc>
        <w:tc>
          <w:tcPr>
            <w:tcW w:w="4867"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Times New Roman;serif" w:hAnsi="Times New Roman;serif"/>
          <w:b/>
          <w:color w:val="000000"/>
          <w:sz w:val="18"/>
        </w:rPr>
      </w:pPr>
      <w:r>
        <w:rPr>
          <w:rFonts w:ascii="Times New Roman;serif" w:hAnsi="Times New Roman;serif"/>
          <w:b/>
          <w:color w:val="000000"/>
          <w:sz w:val="18"/>
        </w:rPr>
        <w:t>Glossary of Defined Terms</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The following terms may be used throughout this Form 10-Q, including the Notes to Consolidated Financial Statements in Item 1 and Management's Discussion and Analysis of Financial Condition and Results of Operations in Item 2 of this Form 10-Q.</w:t>
      </w:r>
    </w:p>
    <w:tbl>
      <w:tblPr>
        <w:tblW w:w="8336" w:type="dxa"/>
        <w:jc w:val="center"/>
        <w:tblInd w:w="0" w:type="dxa"/>
        <w:tblLayout w:type="fixed"/>
        <w:tblCellMar>
          <w:top w:w="28" w:type="dxa"/>
          <w:left w:w="28" w:type="dxa"/>
          <w:bottom w:w="28" w:type="dxa"/>
          <w:right w:w="28" w:type="dxa"/>
        </w:tblCellMar>
      </w:tblPr>
      <w:tblGrid>
        <w:gridCol w:w="732"/>
        <w:gridCol w:w="643"/>
        <w:gridCol w:w="664"/>
        <w:gridCol w:w="109"/>
        <w:gridCol w:w="109"/>
        <w:gridCol w:w="109"/>
        <w:gridCol w:w="1746"/>
        <w:gridCol w:w="1746"/>
        <w:gridCol w:w="2478"/>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Definition</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Allowance for Credit Losses </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Codification</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Owned Life Insurance</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18"/>
              </w:rPr>
            </w:pPr>
            <w:r>
              <w:rPr>
                <w:rFonts w:ascii="Times New Roman;serif" w:hAnsi="Times New Roman;serif"/>
                <w:b w:val="false"/>
                <w:color w:val="000000"/>
                <w:sz w:val="18"/>
              </w:rPr>
              <w:t>Certificate of Deposit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Collateral Dependent Asset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Current Expected Credit Losses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18"/>
              </w:rPr>
            </w:pPr>
            <w:r>
              <w:rPr>
                <w:rFonts w:ascii="Times New Roman;serif" w:hAnsi="Times New Roman;serif"/>
                <w:b w:val="false"/>
                <w:color w:val="000000"/>
                <w:sz w:val="18"/>
              </w:rPr>
              <w:t>Common Equity Tier 1</w:t>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Credit Losses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Ownership Plan</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Deposit Insurance Corporation</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Board of Governors of the Federal Reserve System</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or FHLB of Atlanta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of Atlanta</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Reserve Bank of Richmond</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Government-Sponsored Enterprises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Line of Credit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Interest Rate Lock Commitments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18"/>
              </w:rPr>
            </w:pPr>
            <w:r>
              <w:rPr>
                <w:rFonts w:ascii="Times New Roman;serif" w:hAnsi="Times New Roman;serif"/>
                <w:b w:val="false"/>
                <w:color w:val="000000"/>
                <w:sz w:val="18"/>
              </w:rPr>
              <w:t>Mortgage-Backed Security</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NCCOB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18"/>
              </w:rPr>
            </w:pPr>
            <w:r>
              <w:rPr>
                <w:rFonts w:ascii="Times New Roman;serif" w:hAnsi="Times New Roman;serif"/>
                <w:b w:val="false"/>
                <w:color w:val="000000"/>
                <w:sz w:val="18"/>
              </w:rPr>
              <w:t>North Carolina Office of the Commissioner of Banks</w:t>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70" w:type="dxa"/>
            <w:gridSpan w:val="3"/>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PCD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Financial Assets with Credit Deterioration</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Quantum Capital Corp. and its wholly owned subsidiary, Quantum National Bank</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Assets</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Equity</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Small Business Administration</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SBIC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 Business Investment Companies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18"/>
              </w:rPr>
            </w:pPr>
            <w:r>
              <w:rPr>
                <w:rFonts w:ascii="Times New Roman;serif" w:hAnsi="Times New Roman;serif"/>
                <w:b w:val="false"/>
                <w:color w:val="000000"/>
                <w:sz w:val="18"/>
              </w:rPr>
              <w:t>Securities and Exchange Commission</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Overnight Financing Rate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To-be-announced</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18"/>
              </w:rPr>
            </w:pPr>
            <w:r>
              <w:rPr>
                <w:rFonts w:ascii="Times New Roman;serif" w:hAnsi="Times New Roman;serif"/>
                <w:b w:val="false"/>
                <w:color w:val="000000"/>
                <w:sz w:val="18"/>
              </w:rPr>
              <w:t>Generally Accepted Accounting Principles in the United States</w:t>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Consolidated Balance Sheets</w:t>
      </w:r>
    </w:p>
    <w:p>
      <w:pPr>
        <w:pStyle w:val="TextBody"/>
        <w:bidi w:val="0"/>
        <w:spacing w:lineRule="auto" w:line="288" w:before="0" w:after="180"/>
        <w:ind w:left="0" w:right="0" w:firstLine="45"/>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2632"/>
        <w:gridCol w:w="2315"/>
        <w:gridCol w:w="2337"/>
        <w:gridCol w:w="196"/>
        <w:gridCol w:w="871"/>
        <w:gridCol w:w="109"/>
        <w:gridCol w:w="109"/>
        <w:gridCol w:w="109"/>
        <w:gridCol w:w="109"/>
        <w:gridCol w:w="227"/>
        <w:gridCol w:w="1010"/>
        <w:gridCol w:w="181"/>
      </w:tblGrid>
      <w:tr>
        <w:trPr/>
        <w:tc>
          <w:tcPr>
            <w:tcW w:w="263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14,411 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324,692 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 in other banks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 at fair value (amortized cost of $146,448 and $141,793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142,540 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and FRB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13,636 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SBIC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18,818 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the lower of cost or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198,688 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 of deferred loan fees and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3,578,154 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3,536,675 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93,930 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34,111 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4,545,635 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3,709,997 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10,220 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3,944,945 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 See Note 11</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10,000,000 shares authorized, none issued or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60,000,000 shares authorized, 16,727,821 and 17,286,289 shares issued and outstanding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166,856 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436,524 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ESOP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600,690 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4,545,635 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Consolidated Statements of Income</w:t>
      </w:r>
    </w:p>
    <w:p>
      <w:pPr>
        <w:pStyle w:val="TextBody"/>
        <w:bidi w:val="0"/>
        <w:spacing w:lineRule="auto" w:line="288" w:before="0" w:after="180"/>
        <w:ind w:left="0" w:right="0" w:firstLine="45"/>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9556" w:type="dxa"/>
        <w:jc w:val="left"/>
        <w:tblInd w:w="0" w:type="dxa"/>
        <w:tblLayout w:type="fixed"/>
        <w:tblCellMar>
          <w:top w:w="28" w:type="dxa"/>
          <w:left w:w="28" w:type="dxa"/>
          <w:bottom w:w="28" w:type="dxa"/>
          <w:right w:w="28" w:type="dxa"/>
        </w:tblCellMar>
      </w:tblPr>
      <w:tblGrid>
        <w:gridCol w:w="1519"/>
        <w:gridCol w:w="1335"/>
        <w:gridCol w:w="1346"/>
        <w:gridCol w:w="223"/>
        <w:gridCol w:w="738"/>
        <w:gridCol w:w="119"/>
        <w:gridCol w:w="119"/>
        <w:gridCol w:w="119"/>
        <w:gridCol w:w="119"/>
        <w:gridCol w:w="223"/>
        <w:gridCol w:w="738"/>
        <w:gridCol w:w="119"/>
        <w:gridCol w:w="109"/>
        <w:gridCol w:w="109"/>
        <w:gridCol w:w="109"/>
        <w:gridCol w:w="202"/>
        <w:gridCol w:w="759"/>
        <w:gridCol w:w="109"/>
        <w:gridCol w:w="109"/>
        <w:gridCol w:w="109"/>
        <w:gridCol w:w="109"/>
        <w:gridCol w:w="202"/>
        <w:gridCol w:w="759"/>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and dividend income</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 and interest-bearing deposits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dividend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 after provision for credit losses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 on deposit accounts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income and fees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held for sale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branches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premises and equipment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services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depreciation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Telephone, postage and supplies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insurance premiums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redemption of junior subordinated debt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 share data</w:t>
            </w:r>
          </w:p>
        </w:tc>
        <w:tc>
          <w:tcPr>
            <w:tcW w:w="10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shares outstanding</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16,311,782 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17,006,141 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17,008,699 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16,423,442 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17,106,448 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17,109,842 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Consolidated Statements of Comprehensive Income</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bl>
      <w:tblPr>
        <w:tblW w:w="10039" w:type="dxa"/>
        <w:jc w:val="left"/>
        <w:tblInd w:w="0" w:type="dxa"/>
        <w:tblLayout w:type="fixed"/>
        <w:tblCellMar>
          <w:top w:w="28" w:type="dxa"/>
          <w:left w:w="28" w:type="dxa"/>
          <w:bottom w:w="28" w:type="dxa"/>
          <w:right w:w="28" w:type="dxa"/>
        </w:tblCellMar>
      </w:tblPr>
      <w:tblGrid>
        <w:gridCol w:w="1803"/>
        <w:gridCol w:w="1584"/>
        <w:gridCol w:w="1608"/>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180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holding gains (losses) on debt securities available for sale</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arising during the period</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(expense)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Consolidated Statements of Changes in Stockholders' Equity</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bl>
      <w:tblPr>
        <w:tblW w:w="10536" w:type="dxa"/>
        <w:jc w:val="left"/>
        <w:tblInd w:w="0" w:type="dxa"/>
        <w:tblLayout w:type="fixed"/>
        <w:tblCellMar>
          <w:top w:w="28" w:type="dxa"/>
          <w:left w:w="28" w:type="dxa"/>
          <w:bottom w:w="28" w:type="dxa"/>
          <w:right w:w="28" w:type="dxa"/>
        </w:tblCellMar>
      </w:tblPr>
      <w:tblGrid>
        <w:gridCol w:w="726"/>
        <w:gridCol w:w="229"/>
        <w:gridCol w:w="231"/>
        <w:gridCol w:w="480"/>
        <w:gridCol w:w="481"/>
        <w:gridCol w:w="211"/>
        <w:gridCol w:w="109"/>
        <w:gridCol w:w="109"/>
        <w:gridCol w:w="109"/>
        <w:gridCol w:w="202"/>
        <w:gridCol w:w="435"/>
        <w:gridCol w:w="114"/>
        <w:gridCol w:w="109"/>
        <w:gridCol w:w="109"/>
        <w:gridCol w:w="109"/>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345"/>
        <w:gridCol w:w="768"/>
        <w:gridCol w:w="193"/>
        <w:gridCol w:w="109"/>
        <w:gridCol w:w="109"/>
        <w:gridCol w:w="109"/>
        <w:gridCol w:w="216"/>
        <w:gridCol w:w="813"/>
        <w:gridCol w:w="172"/>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 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Unearned</w:t>
              <w:br/>
              <w:t>ESOP</w:t>
              <w:br/>
              <w:t>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16,803,185 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592,407 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dividends declared on common stock, $0.15/common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(7,151)</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ESOP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16,727,821 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600,600 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 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Unearned</w:t>
              <w:br/>
              <w:t>ESOP</w:t>
              <w:br/>
              <w:t>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17,552,626 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565,449 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dividends declared on common stock, $0.12/common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ESOP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17,492,143 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579,274 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Consolidated Statements of Changes in Stockholders' Equity</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bl>
      <w:tblPr>
        <w:tblW w:w="10536" w:type="dxa"/>
        <w:jc w:val="left"/>
        <w:tblInd w:w="0" w:type="dxa"/>
        <w:tblLayout w:type="fixed"/>
        <w:tblCellMar>
          <w:top w:w="28" w:type="dxa"/>
          <w:left w:w="28" w:type="dxa"/>
          <w:bottom w:w="28" w:type="dxa"/>
          <w:right w:w="28" w:type="dxa"/>
        </w:tblCellMar>
      </w:tblPr>
      <w:tblGrid>
        <w:gridCol w:w="621"/>
        <w:gridCol w:w="282"/>
        <w:gridCol w:w="283"/>
        <w:gridCol w:w="480"/>
        <w:gridCol w:w="481"/>
        <w:gridCol w:w="211"/>
        <w:gridCol w:w="109"/>
        <w:gridCol w:w="109"/>
        <w:gridCol w:w="109"/>
        <w:gridCol w:w="202"/>
        <w:gridCol w:w="435"/>
        <w:gridCol w:w="114"/>
        <w:gridCol w:w="109"/>
        <w:gridCol w:w="109"/>
        <w:gridCol w:w="109"/>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292"/>
        <w:gridCol w:w="851"/>
        <w:gridCol w:w="163"/>
        <w:gridCol w:w="109"/>
        <w:gridCol w:w="109"/>
        <w:gridCol w:w="109"/>
        <w:gridCol w:w="216"/>
        <w:gridCol w:w="813"/>
        <w:gridCol w:w="172"/>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 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Unearned</w:t>
              <w:br/>
              <w:t>ESOP</w:t>
              <w:br/>
              <w:t>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17,286,289 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600,690 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dividends declared on common stock, $0.28/common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(686,846)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ESOP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16,727,821 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600,600 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 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Unearned</w:t>
              <w:br/>
              <w:t>ESOP</w:t>
              <w:br/>
              <w:t>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17,527,709 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551,758 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Cash dividends declared on common stock, $0.24/common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ESOP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17,492,143 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579,274 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Consolidated Statements of Cash Flows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bl>
      <w:tblPr>
        <w:tblW w:w="8966" w:type="dxa"/>
        <w:jc w:val="center"/>
        <w:tblInd w:w="0" w:type="dxa"/>
        <w:tblLayout w:type="fixed"/>
        <w:tblCellMar>
          <w:top w:w="28" w:type="dxa"/>
          <w:left w:w="28" w:type="dxa"/>
          <w:bottom w:w="28" w:type="dxa"/>
          <w:right w:w="28" w:type="dxa"/>
        </w:tblCellMar>
      </w:tblPr>
      <w:tblGrid>
        <w:gridCol w:w="2422"/>
        <w:gridCol w:w="2130"/>
        <w:gridCol w:w="2138"/>
        <w:gridCol w:w="196"/>
        <w:gridCol w:w="647"/>
        <w:gridCol w:w="109"/>
        <w:gridCol w:w="109"/>
        <w:gridCol w:w="109"/>
        <w:gridCol w:w="109"/>
        <w:gridCol w:w="196"/>
        <w:gridCol w:w="647"/>
        <w:gridCol w:w="154"/>
      </w:tblGrid>
      <w:tr>
        <w:trPr/>
        <w:tc>
          <w:tcPr>
            <w:tcW w:w="2422"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premises and equipment and equipment for operating leases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accretion of purchase accounting adjustments on loans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and accretion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SBIC investments income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branches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premises and equipment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repossessed assets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previously leased equipment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redemption of junior subordinated debt securities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 income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held for sale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of loans held for sale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loans held for sale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deferred loan origination fees (costs), net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tax credit equity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accrued interest receivable and other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ESOP compensation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accrued interest payable and other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debt securities available for sale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calls and paydowns of debt securities available for sale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CDs in other banks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CDs in other banks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redemption (purchase) of FHLB and FRB stock</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capital contributions in SBIC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capital redemption of (contribution in) tax credit equity investments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capital contribution in fintech equity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loans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BOLI</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redemption of BOLI policies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Death benefit proceeds from BOLI policies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equipment for operating leases - lessor</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equipment for operating leases - lessor</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premises and equipment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premises and equipment and assets held for sale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repossessed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84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Consolidated Statements of Cash Flows (continued)</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bl>
      <w:tblPr>
        <w:tblW w:w="6549" w:type="dxa"/>
        <w:jc w:val="left"/>
        <w:tblInd w:w="0" w:type="dxa"/>
        <w:tblLayout w:type="fixed"/>
        <w:tblCellMar>
          <w:top w:w="28" w:type="dxa"/>
          <w:left w:w="28" w:type="dxa"/>
          <w:bottom w:w="28" w:type="dxa"/>
          <w:right w:w="28" w:type="dxa"/>
        </w:tblCellMar>
      </w:tblPr>
      <w:tblGrid>
        <w:gridCol w:w="1484"/>
        <w:gridCol w:w="1303"/>
        <w:gridCol w:w="1308"/>
        <w:gridCol w:w="196"/>
        <w:gridCol w:w="736"/>
        <w:gridCol w:w="109"/>
        <w:gridCol w:w="109"/>
        <w:gridCol w:w="109"/>
        <w:gridCol w:w="109"/>
        <w:gridCol w:w="196"/>
        <w:gridCol w:w="73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assumed by third parties through branch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deposits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short-term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junior subordinated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restricted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2322"/>
        <w:gridCol w:w="2037"/>
        <w:gridCol w:w="2045"/>
        <w:gridCol w:w="196"/>
        <w:gridCol w:w="646"/>
        <w:gridCol w:w="109"/>
        <w:gridCol w:w="109"/>
        <w:gridCol w:w="109"/>
        <w:gridCol w:w="109"/>
        <w:gridCol w:w="196"/>
        <w:gridCol w:w="646"/>
        <w:gridCol w:w="154"/>
      </w:tblGrid>
      <w:tr>
        <w:trPr/>
        <w:tc>
          <w:tcPr>
            <w:tcW w:w="2322"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transactions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of) gain in value of debt securities available for sale, net of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loans held for sale to loans held for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loans held for investment to repossessed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premises and equipment to assets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 and lease liabilities for operating lease accounting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erif" w:hAnsi="Times New Roman;serif"/>
          <w:b/>
          <w:color w:val="000000"/>
          <w:sz w:val="18"/>
        </w:rPr>
        <w:t>1.    </w:t>
      </w:r>
      <w:r>
        <w:rPr>
          <w:rFonts w:ascii="Times New Roman;serif" w:hAnsi="Times New Roman;serif"/>
          <w:b/>
          <w:color w:val="000000"/>
          <w:sz w:val="18"/>
          <w:u w:val="single"/>
        </w:rPr>
        <w:t>Summary of Significant Accounting Policies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consolidated unaudited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the "Piedmont" region, Charlotte and Raleigh/Cary), South Carolina (Greenville and Charleston), East Tennessee (Kingsport/Johnson City and Morristown), Southwest Virginia (the Roanoke Valley) and Georgia (Greater Atlanta). The Company operates under a single set of corporate policies and procedures and its operations are considered to be aggregated in one reportable operating segment for financial reporting purposes.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As a result of its merger with Quantum on February 12, 2023, HomeTrust became the 100% successor owner of the Quantum Capital Statutory Trust II ("the Trust") Delaware trust. The sole assets of the trust represented the proceeds of offerings loaned in exchange for subordinated debentures with similar terms to the trust preferred securities; however, the Company elected to redeem the junior subordinated debt securities on June 15, 2026 as discussed further in "Note 7 – Borrowings - Junior Subordinated Debentures." As its sole purpose has been fulfilled, the Company has initiated action to dissolve the trust.</w:t>
      </w:r>
    </w:p>
    <w:p>
      <w:pPr>
        <w:pStyle w:val="TextBody"/>
        <w:bidi w:val="0"/>
        <w:spacing w:lineRule="auto" w:line="288" w:before="0" w:after="80"/>
        <w:jc w:val="both"/>
        <w:rPr/>
      </w:pPr>
      <w:r>
        <w:rPr>
          <w:rFonts w:ascii="Times New Roman;serif" w:hAnsi="Times New Roman;serif"/>
          <w:b w:val="false"/>
          <w:color w:val="000000"/>
          <w:sz w:val="18"/>
        </w:rPr>
        <w:t xml:space="preserve">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Annual Report on Form 10-K for the year ended </w:t>
      </w:r>
      <w:r>
        <w:rPr>
          <w:rFonts w:ascii="Times New Roman;serif" w:hAnsi="Times New Roman;serif"/>
          <w:b w:val="false"/>
          <w:color w:val="000000"/>
          <w:sz w:val="18"/>
          <w:shd w:fill="FFFFFF" w:val="clear"/>
        </w:rPr>
        <w:t xml:space="preserve">December 31, </w:t>
      </w:r>
      <w:r>
        <w:rPr>
          <w:rFonts w:ascii="Times New Roman;serif" w:hAnsi="Times New Roman;serif"/>
          <w:b w:val="false"/>
          <w:color w:val="000000"/>
          <w:sz w:val="18"/>
        </w:rPr>
        <w:t>2025 ("2025 Form 10-K") filed with the SEC on March 13, 2026. The results of operations for the six months ended June 30, 2026 are not necessarily indicative of results that may be expected for the fiscal year ending December 31, 2026, the period which will be covered on a Report on Form 10-K.</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the policy, is critical to an understanding of the Company's financial statements. This policy and the related judgments, estimates and assumptions are described in greater detail in the notes to the Consolidated Financial Statements and Management's Discussion and Analysis of Financial Condition and Results of Operations (Critical Accounting Policies and Estimates) in the 2025 Form 10-K.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these estimates and the Company's financial condition and operating results in future periods.</w:t>
      </w:r>
    </w:p>
    <w:p>
      <w:pPr>
        <w:pStyle w:val="TextBody"/>
        <w:bidi w:val="0"/>
        <w:spacing w:lineRule="auto" w:line="288" w:before="0" w:after="160"/>
        <w:jc w:val="both"/>
        <w:rPr/>
      </w:pPr>
      <w:r>
        <w:rPr>
          <w:rFonts w:ascii="Times New Roman;serif" w:hAnsi="Times New Roman;serif"/>
          <w:b w:val="false"/>
          <w:i/>
          <w:color w:val="000000"/>
          <w:sz w:val="18"/>
        </w:rPr>
        <w:t>Reclassifications and corrections.</w:t>
      </w:r>
      <w:r>
        <w:rPr>
          <w:color w:val="000000"/>
        </w:rPr>
        <w:t xml:space="preserve"> </w:t>
      </w:r>
      <w:r>
        <w:rPr>
          <w:rFonts w:ascii="Times New Roman;serif" w:hAnsi="Times New Roman;serif"/>
          <w:b w:val="false"/>
          <w:color w:val="000000"/>
          <w:sz w:val="18"/>
        </w:rPr>
        <w:t>To maintain consistency and comparability, certain amounts from prior periods have been reclassified to conform to current period presentation with no effect on net income or stockholders’ equity as previously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erif" w:hAnsi="Times New Roman;serif"/>
          <w:b/>
          <w:color w:val="000000"/>
          <w:sz w:val="18"/>
        </w:rPr>
        <w:t>2.    </w:t>
      </w:r>
      <w:r>
        <w:rPr>
          <w:rFonts w:ascii="Times New Roman;serif" w:hAnsi="Times New Roman;serif"/>
          <w:b/>
          <w:color w:val="000000"/>
          <w:sz w:val="18"/>
          <w:u w:val="single"/>
        </w:rPr>
        <w:t>Recent Accounting Pronouncements</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Newly Issued but Not Yet Effective Accounting Standards</w:t>
      </w:r>
    </w:p>
    <w:p>
      <w:pPr>
        <w:pStyle w:val="TextBody"/>
        <w:bidi w:val="0"/>
        <w:spacing w:lineRule="auto" w:line="288" w:before="0" w:after="80"/>
        <w:jc w:val="both"/>
        <w:rPr/>
      </w:pPr>
      <w:r>
        <w:rPr>
          <w:rFonts w:ascii="Times New Roman;serif" w:hAnsi="Times New Roman;serif"/>
          <w:b w:val="false"/>
          <w:i/>
          <w:color w:val="000000"/>
          <w:sz w:val="18"/>
        </w:rPr>
        <w:t>ASU 2024-03, "Income Statement—Reporting Comprehensive Income—Expense Disaggregation Disclosures (Subtopic 220-40):</w:t>
      </w:r>
      <w:r>
        <w:rPr>
          <w:color w:val="000000"/>
        </w:rPr>
        <w:t xml:space="preserve"> </w:t>
      </w:r>
      <w:r>
        <w:rPr>
          <w:rFonts w:ascii="Times New Roman;serif" w:hAnsi="Times New Roman;serif"/>
          <w:b w:val="false"/>
          <w:i/>
          <w:color w:val="000000"/>
          <w:sz w:val="18"/>
        </w:rPr>
        <w:t xml:space="preserve">Disaggregation of Income Statement Expenses." </w:t>
      </w:r>
      <w:r>
        <w:rPr>
          <w:rFonts w:ascii="Times New Roman;serif" w:hAnsi="Times New Roman;serif"/>
          <w:b w:val="false"/>
          <w:color w:val="000000"/>
          <w:sz w:val="18"/>
        </w:rPr>
        <w:t>In November 2024, the FASB issued ASU 2024-03 which requires entities to disclose more detailed information about certain costs and expenses related to purchases of inventory, employee compensation, depreciation and intangible asset amortization amongst other items. This ASU is effective for public business entities for annual reporting periods beginning after December 15, 2026 and interim periods beginning after December 15, 2027. The adoption of the provisions of ASU 2024-03 is not expected to have an impact on the Company's operating results or financial condition, but will impact disclosures.</w:t>
      </w:r>
    </w:p>
    <w:p>
      <w:pPr>
        <w:pStyle w:val="TextBody"/>
        <w:bidi w:val="0"/>
        <w:spacing w:lineRule="auto" w:line="288" w:before="0" w:after="80"/>
        <w:jc w:val="both"/>
        <w:rPr/>
      </w:pPr>
      <w:r>
        <w:rPr>
          <w:rFonts w:ascii="Times New Roman;serif" w:hAnsi="Times New Roman;serif"/>
          <w:b w:val="false"/>
          <w:i/>
          <w:color w:val="000000"/>
          <w:sz w:val="18"/>
        </w:rPr>
        <w:t xml:space="preserve">ASU 2025-06, "Intangibles—Goodwill and Other—Internal-Use Software (Subtopic 350-40): Targeted Improvements to the Accounting for Internal-Use Software." </w:t>
      </w:r>
      <w:r>
        <w:rPr>
          <w:rFonts w:ascii="Times New Roman;serif" w:hAnsi="Times New Roman;serif"/>
          <w:b w:val="false"/>
          <w:color w:val="000000"/>
          <w:sz w:val="18"/>
        </w:rPr>
        <w:t>In September 2025, the FASB issued ASU 2025-06 which removes all references to prescriptive and sequential software development stages (i.e., project stages), instead requiring an entity to start capitalizing software costs when both of the following occur: 1) management has authorized and committed to funding the software project, and 2) it is probable that the project will be completed and the software will be used to perform the intended function. This ASU is effective for public business entities for interim and annual reporting periods beginning after December 15, 2027. The adoption of the provisions of ASU 2025-06 is not expected to have a material effect on the Company's operating results or financial condition.</w:t>
      </w:r>
    </w:p>
    <w:p>
      <w:pPr>
        <w:pStyle w:val="TextBody"/>
        <w:bidi w:val="0"/>
        <w:spacing w:lineRule="auto" w:line="288" w:before="0" w:after="160"/>
        <w:jc w:val="both"/>
        <w:rPr/>
      </w:pPr>
      <w:r>
        <w:rPr>
          <w:rFonts w:ascii="Times New Roman;serif" w:hAnsi="Times New Roman;serif"/>
          <w:b w:val="false"/>
          <w:i/>
          <w:color w:val="000000"/>
          <w:sz w:val="18"/>
        </w:rPr>
        <w:t xml:space="preserve">ASU 2025-08, "Financial Instruments—Credit Losses (Topic 326): Purchased Loans." </w:t>
      </w:r>
      <w:r>
        <w:rPr>
          <w:rFonts w:ascii="Times New Roman;serif" w:hAnsi="Times New Roman;serif"/>
          <w:b w:val="false"/>
          <w:color w:val="000000"/>
          <w:sz w:val="18"/>
        </w:rPr>
        <w:t>In November 2025, the FASB issued ASU 2025-08 which simplifies the accounting for acquired loans under CECL by expanding the use of the gross-up method to a new category of purchased seasoned loans, defined as acquired loans purchased more than 90 days after origination, or through a business combination, when the acquirer was not involved in the origination. This ASU is effective for public business entities for interim and annual reporting periods beginning after December 15, 2026. The adoption of the provisions of ASU 2025-06 is not expected to have an impact on the Company's operating results or financial condition, but will impact the Company's accounting for future purchased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40"/>
        <w:ind w:left="0" w:right="0" w:hanging="270"/>
        <w:jc w:val="left"/>
        <w:rPr/>
      </w:pPr>
      <w:r>
        <w:rPr>
          <w:rFonts w:ascii="Times New Roman;serif" w:hAnsi="Times New Roman;serif"/>
          <w:b/>
          <w:color w:val="000000"/>
          <w:sz w:val="18"/>
        </w:rPr>
        <w:t>3.    </w:t>
      </w:r>
      <w:r>
        <w:rPr>
          <w:rFonts w:ascii="Times New Roman;serif" w:hAnsi="Times New Roman;serif"/>
          <w:b/>
          <w:color w:val="000000"/>
          <w:sz w:val="18"/>
          <w:u w:val="single"/>
        </w:rPr>
        <w:t>Debt Securities</w:t>
      </w:r>
    </w:p>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 consist of the following at the dates indicated:</w:t>
      </w:r>
    </w:p>
    <w:tbl>
      <w:tblPr>
        <w:tblW w:w="8109" w:type="dxa"/>
        <w:jc w:val="left"/>
        <w:tblInd w:w="0" w:type="dxa"/>
        <w:tblLayout w:type="fixed"/>
        <w:tblCellMar>
          <w:top w:w="28" w:type="dxa"/>
          <w:left w:w="28" w:type="dxa"/>
          <w:bottom w:w="28" w:type="dxa"/>
          <w:right w:w="28" w:type="dxa"/>
        </w:tblCellMar>
      </w:tblPr>
      <w:tblGrid>
        <w:gridCol w:w="477"/>
        <w:gridCol w:w="420"/>
        <w:gridCol w:w="422"/>
        <w:gridCol w:w="248"/>
        <w:gridCol w:w="933"/>
        <w:gridCol w:w="138"/>
        <w:gridCol w:w="109"/>
        <w:gridCol w:w="109"/>
        <w:gridCol w:w="109"/>
        <w:gridCol w:w="323"/>
        <w:gridCol w:w="920"/>
        <w:gridCol w:w="182"/>
        <w:gridCol w:w="109"/>
        <w:gridCol w:w="109"/>
        <w:gridCol w:w="109"/>
        <w:gridCol w:w="414"/>
        <w:gridCol w:w="1335"/>
        <w:gridCol w:w="230"/>
        <w:gridCol w:w="109"/>
        <w:gridCol w:w="109"/>
        <w:gridCol w:w="109"/>
        <w:gridCol w:w="196"/>
        <w:gridCol w:w="73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MBS, residential</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142,116 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bonds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146,448 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55" w:type="dxa"/>
        <w:jc w:val="left"/>
        <w:tblInd w:w="0" w:type="dxa"/>
        <w:tblLayout w:type="fixed"/>
        <w:tblCellMar>
          <w:top w:w="28" w:type="dxa"/>
          <w:left w:w="28" w:type="dxa"/>
          <w:bottom w:w="28" w:type="dxa"/>
          <w:right w:w="28" w:type="dxa"/>
        </w:tblCellMar>
      </w:tblPr>
      <w:tblGrid>
        <w:gridCol w:w="477"/>
        <w:gridCol w:w="420"/>
        <w:gridCol w:w="422"/>
        <w:gridCol w:w="248"/>
        <w:gridCol w:w="933"/>
        <w:gridCol w:w="138"/>
        <w:gridCol w:w="109"/>
        <w:gridCol w:w="109"/>
        <w:gridCol w:w="109"/>
        <w:gridCol w:w="323"/>
        <w:gridCol w:w="920"/>
        <w:gridCol w:w="182"/>
        <w:gridCol w:w="109"/>
        <w:gridCol w:w="109"/>
        <w:gridCol w:w="109"/>
        <w:gridCol w:w="298"/>
        <w:gridCol w:w="961"/>
        <w:gridCol w:w="166"/>
        <w:gridCol w:w="109"/>
        <w:gridCol w:w="109"/>
        <w:gridCol w:w="109"/>
        <w:gridCol w:w="196"/>
        <w:gridCol w:w="73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MBS, residential</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134,950 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bonds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141,793 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Debt securities available for sale by contractual maturity at June 30, 2026 and December 31, 2025 are shown below. MBS are not included in the maturity categories because the borrowers in the underlying pools may prepay without penalty; therefore, it is unlikely that the securities will pay at their stated maturity schedule.</w:t>
      </w:r>
    </w:p>
    <w:tbl>
      <w:tblPr>
        <w:tblW w:w="6221" w:type="dxa"/>
        <w:jc w:val="left"/>
        <w:tblInd w:w="0" w:type="dxa"/>
        <w:tblLayout w:type="fixed"/>
        <w:tblCellMar>
          <w:top w:w="28" w:type="dxa"/>
          <w:left w:w="28" w:type="dxa"/>
          <w:bottom w:w="28" w:type="dxa"/>
          <w:right w:w="28" w:type="dxa"/>
        </w:tblCellMar>
      </w:tblPr>
      <w:tblGrid>
        <w:gridCol w:w="1011"/>
        <w:gridCol w:w="884"/>
        <w:gridCol w:w="895"/>
        <w:gridCol w:w="248"/>
        <w:gridCol w:w="933"/>
        <w:gridCol w:w="138"/>
        <w:gridCol w:w="109"/>
        <w:gridCol w:w="109"/>
        <w:gridCol w:w="109"/>
        <w:gridCol w:w="322"/>
        <w:gridCol w:w="1210"/>
        <w:gridCol w:w="253"/>
      </w:tblGrid>
      <w:tr>
        <w:trPr/>
        <w:tc>
          <w:tcPr>
            <w:tcW w:w="10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2112" w:type="dxa"/>
            <w:gridSpan w:val="6"/>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within one year</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one year through five years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five years through ten years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ten years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MBS, residential</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141,735 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146,448 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145,880 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56" w:type="dxa"/>
        <w:jc w:val="left"/>
        <w:tblInd w:w="0" w:type="dxa"/>
        <w:tblLayout w:type="fixed"/>
        <w:tblCellMar>
          <w:top w:w="28" w:type="dxa"/>
          <w:left w:w="28" w:type="dxa"/>
          <w:bottom w:w="28" w:type="dxa"/>
          <w:right w:w="28" w:type="dxa"/>
        </w:tblCellMar>
      </w:tblPr>
      <w:tblGrid>
        <w:gridCol w:w="1011"/>
        <w:gridCol w:w="884"/>
        <w:gridCol w:w="895"/>
        <w:gridCol w:w="248"/>
        <w:gridCol w:w="933"/>
        <w:gridCol w:w="138"/>
        <w:gridCol w:w="109"/>
        <w:gridCol w:w="109"/>
        <w:gridCol w:w="109"/>
        <w:gridCol w:w="327"/>
        <w:gridCol w:w="1230"/>
        <w:gridCol w:w="182"/>
        <w:gridCol w:w="109"/>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within one year</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one year through five years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five years through ten years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ten years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MBS, residential</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141,793 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Company had no sales of debt securities available for sale and no gross realized gains or losses were recognized during the six months ended June 30, 2026 or 2025.</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Debt securities available for sale with amortized costs totaling $25,658 and $73,944 and market values of $25,474 and $74,987 at June 30, 2026 and December 31, 2025, respectively, were pledged as collateral to secure various public deposits and other borrowings.</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The gross unrealized losses and the fair value of debt securities available for sale aggregated by the length of time that individual securities have been in a continuous unrealized loss position as of June 30, 2026 and December 31, 2025 were as follows:</w:t>
      </w:r>
    </w:p>
    <w:tbl>
      <w:tblPr>
        <w:tblW w:w="8655" w:type="dxa"/>
        <w:jc w:val="left"/>
        <w:tblInd w:w="0" w:type="dxa"/>
        <w:tblLayout w:type="fixed"/>
        <w:tblCellMar>
          <w:top w:w="28" w:type="dxa"/>
          <w:left w:w="28" w:type="dxa"/>
          <w:bottom w:w="28" w:type="dxa"/>
          <w:right w:w="28" w:type="dxa"/>
        </w:tblCellMar>
      </w:tblPr>
      <w:tblGrid>
        <w:gridCol w:w="477"/>
        <w:gridCol w:w="420"/>
        <w:gridCol w:w="422"/>
        <w:gridCol w:w="196"/>
        <w:gridCol w:w="646"/>
        <w:gridCol w:w="109"/>
        <w:gridCol w:w="109"/>
        <w:gridCol w:w="109"/>
        <w:gridCol w:w="109"/>
        <w:gridCol w:w="246"/>
        <w:gridCol w:w="547"/>
        <w:gridCol w:w="138"/>
        <w:gridCol w:w="109"/>
        <w:gridCol w:w="109"/>
        <w:gridCol w:w="109"/>
        <w:gridCol w:w="196"/>
        <w:gridCol w:w="646"/>
        <w:gridCol w:w="109"/>
        <w:gridCol w:w="109"/>
        <w:gridCol w:w="109"/>
        <w:gridCol w:w="109"/>
        <w:gridCol w:w="196"/>
        <w:gridCol w:w="631"/>
        <w:gridCol w:w="109"/>
        <w:gridCol w:w="109"/>
        <w:gridCol w:w="109"/>
        <w:gridCol w:w="109"/>
        <w:gridCol w:w="196"/>
        <w:gridCol w:w="646"/>
        <w:gridCol w:w="109"/>
        <w:gridCol w:w="109"/>
        <w:gridCol w:w="109"/>
        <w:gridCol w:w="109"/>
        <w:gridCol w:w="196"/>
        <w:gridCol w:w="63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MBS, 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8565" w:type="dxa"/>
        <w:jc w:val="left"/>
        <w:tblInd w:w="0" w:type="dxa"/>
        <w:tblLayout w:type="fixed"/>
        <w:tblCellMar>
          <w:top w:w="28" w:type="dxa"/>
          <w:left w:w="28" w:type="dxa"/>
          <w:bottom w:w="28" w:type="dxa"/>
          <w:right w:w="28" w:type="dxa"/>
        </w:tblCellMar>
      </w:tblPr>
      <w:tblGrid>
        <w:gridCol w:w="477"/>
        <w:gridCol w:w="420"/>
        <w:gridCol w:w="422"/>
        <w:gridCol w:w="196"/>
        <w:gridCol w:w="556"/>
        <w:gridCol w:w="109"/>
        <w:gridCol w:w="109"/>
        <w:gridCol w:w="109"/>
        <w:gridCol w:w="109"/>
        <w:gridCol w:w="280"/>
        <w:gridCol w:w="494"/>
        <w:gridCol w:w="157"/>
        <w:gridCol w:w="109"/>
        <w:gridCol w:w="109"/>
        <w:gridCol w:w="109"/>
        <w:gridCol w:w="196"/>
        <w:gridCol w:w="646"/>
        <w:gridCol w:w="109"/>
        <w:gridCol w:w="109"/>
        <w:gridCol w:w="109"/>
        <w:gridCol w:w="109"/>
        <w:gridCol w:w="196"/>
        <w:gridCol w:w="631"/>
        <w:gridCol w:w="109"/>
        <w:gridCol w:w="109"/>
        <w:gridCol w:w="109"/>
        <w:gridCol w:w="109"/>
        <w:gridCol w:w="196"/>
        <w:gridCol w:w="646"/>
        <w:gridCol w:w="109"/>
        <w:gridCol w:w="109"/>
        <w:gridCol w:w="109"/>
        <w:gridCol w:w="109"/>
        <w:gridCol w:w="196"/>
        <w:gridCol w:w="63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MBS, residential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bonds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total number of securities with unrealized losses at June 30, 2026 and December 31, 2025 were 137 and 119, respectively.</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June 30, 2026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2025 Form 10-K for further discussion.</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Management excludes the accrued interest receivable balance from the amortized cost basis in measuring ECLs on investment securities and does not record an ACL on accrued interest receivable. As of June 30, 2026 and December 31, 2025, the accrued interest receivable for debt securities available for sale was $589 and $554,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erif" w:hAnsi="Times New Roman;serif"/>
          <w:b/>
          <w:color w:val="000000"/>
          <w:sz w:val="18"/>
        </w:rPr>
        <w:t>4.    </w:t>
      </w:r>
      <w:r>
        <w:rPr>
          <w:rFonts w:ascii="Times New Roman;serif" w:hAnsi="Times New Roman;serif"/>
          <w:b/>
          <w:color w:val="000000"/>
          <w:sz w:val="18"/>
          <w:u w:val="single"/>
        </w:rPr>
        <w:t>Loans Held For Sale</w:t>
      </w:r>
    </w:p>
    <w:p>
      <w:pPr>
        <w:pStyle w:val="TextBody"/>
        <w:bidi w:val="0"/>
        <w:spacing w:lineRule="auto" w:line="288" w:before="0" w:after="4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Loans held for sale, at the lower of cost or fair value, consist of the following as of the dates indicated:</w:t>
      </w:r>
    </w:p>
    <w:tbl>
      <w:tblPr>
        <w:tblW w:w="7526" w:type="dxa"/>
        <w:jc w:val="left"/>
        <w:tblInd w:w="0" w:type="dxa"/>
        <w:tblLayout w:type="fixed"/>
        <w:tblCellMar>
          <w:top w:w="28" w:type="dxa"/>
          <w:left w:w="28" w:type="dxa"/>
          <w:bottom w:w="28" w:type="dxa"/>
          <w:right w:w="28" w:type="dxa"/>
        </w:tblCellMar>
      </w:tblPr>
      <w:tblGrid>
        <w:gridCol w:w="1612"/>
        <w:gridCol w:w="1418"/>
        <w:gridCol w:w="1424"/>
        <w:gridCol w:w="217"/>
        <w:gridCol w:w="817"/>
        <w:gridCol w:w="121"/>
        <w:gridCol w:w="109"/>
        <w:gridCol w:w="109"/>
        <w:gridCol w:w="109"/>
        <w:gridCol w:w="287"/>
        <w:gridCol w:w="1078"/>
        <w:gridCol w:w="225"/>
      </w:tblGrid>
      <w:tr>
        <w:trPr/>
        <w:tc>
          <w:tcPr>
            <w:tcW w:w="16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SBA</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loans held for sale, at the lower of cost or fair value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117,891 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198,688 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The carrying balance of loans held for sale, at fair value, was $2,999 and $7,005 at June 30, 2026 and December 31, 2025, respectively, while the amortized cost of these loans was $2,937 and $6,896, respectively, at the same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40"/>
        <w:ind w:left="0" w:right="0" w:hanging="270"/>
        <w:jc w:val="left"/>
        <w:rPr/>
      </w:pPr>
      <w:r>
        <w:rPr>
          <w:rFonts w:ascii="Times New Roman;serif" w:hAnsi="Times New Roman;serif"/>
          <w:b/>
          <w:color w:val="000000"/>
          <w:sz w:val="18"/>
        </w:rPr>
        <w:t>5.    </w:t>
      </w:r>
      <w:r>
        <w:rPr>
          <w:rFonts w:ascii="Times New Roman;serif" w:hAnsi="Times New Roman;serif"/>
          <w:b/>
          <w:color w:val="000000"/>
          <w:sz w:val="18"/>
          <w:u w:val="single"/>
        </w:rPr>
        <w:t>Loans and Allowance for Credit Losses on Loans</w:t>
      </w:r>
    </w:p>
    <w:p>
      <w:pPr>
        <w:pStyle w:val="TextBody"/>
        <w:bidi w:val="0"/>
        <w:spacing w:lineRule="auto" w:line="288" w:before="0" w:after="0"/>
        <w:jc w:val="both"/>
        <w:rPr/>
      </w:pPr>
      <w:r>
        <w:rPr>
          <w:rFonts w:ascii="Times New Roman;serif" w:hAnsi="Times New Roman;serif"/>
          <w:b w:val="false"/>
          <w:color w:val="000000"/>
          <w:sz w:val="18"/>
        </w:rPr>
        <w:t>Loans consist of the following at the dates indicated</w:t>
      </w:r>
      <w:r>
        <w:rPr>
          <w:rFonts w:ascii="Times New Roman;serif" w:hAnsi="Times New Roman;serif"/>
          <w:b w:val="false"/>
          <w:color w:val="000000"/>
          <w:sz w:val="13"/>
        </w:rPr>
        <w:t>(1)</w:t>
      </w:r>
      <w:r>
        <w:rPr>
          <w:rFonts w:ascii="Times New Roman;serif" w:hAnsi="Times New Roman;serif"/>
          <w:b w:val="false"/>
          <w:color w:val="000000"/>
          <w:sz w:val="18"/>
        </w:rPr>
        <w:t>:</w:t>
      </w:r>
    </w:p>
    <w:tbl>
      <w:tblPr>
        <w:tblW w:w="6751" w:type="dxa"/>
        <w:jc w:val="left"/>
        <w:tblInd w:w="0" w:type="dxa"/>
        <w:tblLayout w:type="fixed"/>
        <w:tblCellMar>
          <w:top w:w="28" w:type="dxa"/>
          <w:left w:w="28" w:type="dxa"/>
          <w:bottom w:w="28" w:type="dxa"/>
          <w:right w:w="28" w:type="dxa"/>
        </w:tblCellMar>
      </w:tblPr>
      <w:tblGrid>
        <w:gridCol w:w="1327"/>
        <w:gridCol w:w="1163"/>
        <w:gridCol w:w="1169"/>
        <w:gridCol w:w="196"/>
        <w:gridCol w:w="871"/>
        <w:gridCol w:w="109"/>
        <w:gridCol w:w="109"/>
        <w:gridCol w:w="109"/>
        <w:gridCol w:w="109"/>
        <w:gridCol w:w="255"/>
        <w:gridCol w:w="1134"/>
        <w:gridCol w:w="200"/>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real estate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277,028 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832,502 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110,912 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1,782,491 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378,686 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856,438 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Residential real estate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217,310 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896,438 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loans, net of deferred loan fees and costs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3,578,154 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3,536,675 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June 30, 2026 and December 31, 2025 accrued interest receivable of $13,845 and $15,305 was accounted for separately from the amortized cost basis.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All qualifying one-to-four family loans, HELOCs, commercial real estate loans and FHLB of Atlanta stock are pledged as collateral by a blanket pledge to secure outstanding FHLB advances.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Loans are made to the Company's executive officers, directors and their associates during the ordinary course of business. The aggregate amount of loans to related parties totaled $0 at both June 30, 2026 and December 31, 2025. In relation to these loans are unfunded commitments that totaled approximately $3 at both June 30, 2026 and December 31, 2025.</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pStyle w:val="TextBody"/>
        <w:bidi w:val="0"/>
        <w:spacing w:lineRule="auto" w:line="288" w:before="0" w:after="40"/>
        <w:jc w:val="both"/>
        <w:rPr/>
      </w:pPr>
      <w:r>
        <w:rPr>
          <w:rFonts w:ascii="Times New Roman;serif" w:hAnsi="Times New Roman;serif"/>
          <w:b w:val="false"/>
          <w:color w:val="000000"/>
          <w:sz w:val="18"/>
          <w:u w:val="single"/>
        </w:rPr>
        <w:t>Pass</w:t>
      </w:r>
      <w:r>
        <w:rPr>
          <w:color w:val="000000"/>
        </w:rPr>
        <w:t xml:space="preserve"> – </w:t>
      </w:r>
      <w:r>
        <w:rPr>
          <w:rFonts w:ascii="Times New Roman;serif" w:hAnsi="Times New Roman;serif"/>
          <w:b w:val="false"/>
          <w:color w:val="000000"/>
          <w:sz w:val="18"/>
        </w:rPr>
        <w:t>A pass rated loan is not adversely classified because it does not display any of the characteristics for adverse classification.</w:t>
      </w:r>
    </w:p>
    <w:p>
      <w:pPr>
        <w:pStyle w:val="TextBody"/>
        <w:bidi w:val="0"/>
        <w:spacing w:lineRule="auto" w:line="288" w:before="0" w:after="40"/>
        <w:jc w:val="both"/>
        <w:rPr/>
      </w:pPr>
      <w:r>
        <w:rPr>
          <w:rFonts w:ascii="Times New Roman;serif" w:hAnsi="Times New Roman;serif"/>
          <w:b w:val="false"/>
          <w:color w:val="000000"/>
          <w:sz w:val="18"/>
          <w:u w:val="single"/>
        </w:rPr>
        <w:t>Special Mention</w:t>
      </w:r>
      <w:r>
        <w:rPr>
          <w:color w:val="000000"/>
        </w:rPr>
        <w:t xml:space="preserve"> – </w:t>
      </w:r>
      <w:r>
        <w:rPr>
          <w:rFonts w:ascii="Times New Roman;serif" w:hAnsi="Times New Roman;serif"/>
          <w:b w:val="false"/>
          <w:color w:val="000000"/>
          <w:sz w:val="18"/>
        </w:rPr>
        <w:t>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pStyle w:val="TextBody"/>
        <w:bidi w:val="0"/>
        <w:spacing w:lineRule="auto" w:line="288" w:before="0" w:after="40"/>
        <w:jc w:val="both"/>
        <w:rPr/>
      </w:pPr>
      <w:r>
        <w:rPr>
          <w:rFonts w:ascii="Times New Roman;serif" w:hAnsi="Times New Roman;serif"/>
          <w:b w:val="false"/>
          <w:color w:val="000000"/>
          <w:sz w:val="18"/>
          <w:u w:val="single"/>
        </w:rPr>
        <w:t>Substandard</w:t>
      </w:r>
      <w:r>
        <w:rPr>
          <w:color w:val="000000"/>
        </w:rPr>
        <w:t xml:space="preserve"> – </w:t>
      </w:r>
      <w:r>
        <w:rPr>
          <w:rFonts w:ascii="Times New Roman;serif" w:hAnsi="Times New Roman;serif"/>
          <w:b w:val="false"/>
          <w:color w:val="000000"/>
          <w:sz w:val="18"/>
        </w:rPr>
        <w:t>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pStyle w:val="TextBody"/>
        <w:bidi w:val="0"/>
        <w:spacing w:lineRule="auto" w:line="288" w:before="0" w:after="40"/>
        <w:jc w:val="both"/>
        <w:rPr/>
      </w:pPr>
      <w:r>
        <w:rPr>
          <w:rFonts w:ascii="Times New Roman;serif" w:hAnsi="Times New Roman;serif"/>
          <w:b w:val="false"/>
          <w:color w:val="000000"/>
          <w:sz w:val="18"/>
          <w:u w:val="single"/>
        </w:rPr>
        <w:t>Doubtful</w:t>
      </w:r>
      <w:r>
        <w:rPr>
          <w:color w:val="000000"/>
        </w:rPr>
        <w:t xml:space="preserve"> – </w:t>
      </w:r>
      <w:r>
        <w:rPr>
          <w:rFonts w:ascii="Times New Roman;serif" w:hAnsi="Times New Roman;serif"/>
          <w:b w:val="false"/>
          <w:color w:val="000000"/>
          <w:sz w:val="18"/>
        </w:rPr>
        <w:t>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pStyle w:val="TextBody"/>
        <w:bidi w:val="0"/>
        <w:spacing w:lineRule="auto" w:line="288" w:before="0" w:after="80"/>
        <w:jc w:val="both"/>
        <w:rPr/>
      </w:pPr>
      <w:r>
        <w:rPr>
          <w:rFonts w:ascii="Times New Roman;serif" w:hAnsi="Times New Roman;serif"/>
          <w:b w:val="false"/>
          <w:color w:val="000000"/>
          <w:sz w:val="18"/>
          <w:u w:val="single"/>
        </w:rPr>
        <w:t>Loss</w:t>
      </w:r>
      <w:r>
        <w:rPr>
          <w:color w:val="000000"/>
        </w:rPr>
        <w:t xml:space="preserve"> – </w:t>
      </w:r>
      <w:r>
        <w:rPr>
          <w:rFonts w:ascii="Times New Roman;serif" w:hAnsi="Times New Roman;serif"/>
          <w:b w:val="false"/>
          <w:color w:val="000000"/>
          <w:sz w:val="18"/>
        </w:rPr>
        <w:t>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credit risk profile by risk grade for commercial real estate, commercial, residential real estate and consumer loans by origination year as of June 30, 2026. Also included in the table detailing loan balances are gross charge-offs for the six months ended June 30, 2026:</w:t>
      </w:r>
    </w:p>
    <w:tbl>
      <w:tblPr>
        <w:tblW w:w="11683" w:type="dxa"/>
        <w:jc w:val="left"/>
        <w:tblInd w:w="0" w:type="dxa"/>
        <w:tblLayout w:type="fixed"/>
        <w:tblCellMar>
          <w:top w:w="28" w:type="dxa"/>
          <w:left w:w="28" w:type="dxa"/>
          <w:bottom w:w="28" w:type="dxa"/>
          <w:right w:w="28" w:type="dxa"/>
        </w:tblCellMar>
      </w:tblPr>
      <w:tblGrid>
        <w:gridCol w:w="411"/>
        <w:gridCol w:w="362"/>
        <w:gridCol w:w="29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2023-S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Commercial real estate – owner occupied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 – 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 – non-owner occupied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 – non-owner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Multifamily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multifamily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commercial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pStyle w:val="TextBody"/>
        <w:bidi w:val="0"/>
        <w:spacing w:before="0" w:after="80"/>
        <w:ind w:left="0" w:right="0" w:hanging="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1308" w:type="dxa"/>
        <w:jc w:val="left"/>
        <w:tblInd w:w="0" w:type="dxa"/>
        <w:tblLayout w:type="fixed"/>
        <w:tblCellMar>
          <w:top w:w="28" w:type="dxa"/>
          <w:left w:w="28" w:type="dxa"/>
          <w:bottom w:w="28" w:type="dxa"/>
          <w:right w:w="28" w:type="dxa"/>
        </w:tblCellMar>
      </w:tblPr>
      <w:tblGrid>
        <w:gridCol w:w="411"/>
        <w:gridCol w:w="362"/>
        <w:gridCol w:w="23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4"/>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2023-S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and industrial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Equipment finance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equipment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Municipal leases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municipal leases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commercial</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823,157 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1368" w:type="dxa"/>
        <w:jc w:val="left"/>
        <w:tblInd w:w="0" w:type="dxa"/>
        <w:tblLayout w:type="fixed"/>
        <w:tblCellMar>
          <w:top w:w="28" w:type="dxa"/>
          <w:left w:w="28" w:type="dxa"/>
          <w:bottom w:w="28" w:type="dxa"/>
          <w:right w:w="28" w:type="dxa"/>
        </w:tblCellMar>
      </w:tblPr>
      <w:tblGrid>
        <w:gridCol w:w="411"/>
        <w:gridCol w:w="362"/>
        <w:gridCol w:w="29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2023-S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One-to-four family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one-to-four 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617,469 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HELOCs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HELOCs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901,520 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84"/>
        <w:gridCol w:w="409"/>
        <w:gridCol w:w="198"/>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227"/>
        <w:gridCol w:w="487"/>
        <w:gridCol w:w="127"/>
        <w:gridCol w:w="109"/>
        <w:gridCol w:w="109"/>
        <w:gridCol w:w="109"/>
        <w:gridCol w:w="196"/>
        <w:gridCol w:w="646"/>
        <w:gridCol w:w="156"/>
      </w:tblGrid>
      <w:tr>
        <w:trPr/>
        <w:tc>
          <w:tcPr>
            <w:tcW w:w="4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2023-S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consumer</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40"/>
        <w:jc w:val="both"/>
        <w:rPr/>
      </w:pPr>
      <w:r>
        <w:rPr>
          <w:rFonts w:ascii="Times New Roman;serif" w:hAnsi="Times New Roman;serif"/>
          <w:b w:val="false"/>
          <w:color w:val="000000"/>
          <w:sz w:val="18"/>
        </w:rPr>
        <w:t>The following table presents the credit risk profile by risk grade for commercial real estate, commercial, residential real estate and consumer loans by origination year as of December 31, 2025.</w:t>
      </w:r>
      <w:r>
        <w:rPr>
          <w:color w:val="000000"/>
        </w:rPr>
        <w:t xml:space="preserve"> </w:t>
      </w:r>
      <w:r>
        <w:rPr>
          <w:rFonts w:ascii="Times New Roman;serif" w:hAnsi="Times New Roman;serif"/>
          <w:b w:val="false"/>
          <w:color w:val="000000"/>
          <w:sz w:val="18"/>
        </w:rPr>
        <w:t>Also included in the table detailing loan balances are gross charge-offs for the year ended December 31, 2025:</w:t>
      </w:r>
    </w:p>
    <w:tbl>
      <w:tblPr>
        <w:tblW w:w="11683" w:type="dxa"/>
        <w:jc w:val="left"/>
        <w:tblInd w:w="0" w:type="dxa"/>
        <w:tblLayout w:type="fixed"/>
        <w:tblCellMar>
          <w:top w:w="28" w:type="dxa"/>
          <w:left w:w="28" w:type="dxa"/>
          <w:bottom w:w="28" w:type="dxa"/>
          <w:right w:w="28" w:type="dxa"/>
        </w:tblCellMar>
      </w:tblPr>
      <w:tblGrid>
        <w:gridCol w:w="529"/>
        <w:gridCol w:w="268"/>
        <w:gridCol w:w="26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2023-S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Commercial real estate</w:t>
            </w:r>
            <w:r>
              <w:rPr>
                <w:color w:val="000000"/>
              </w:rPr>
              <w:t xml:space="preserve"> – </w:t>
            </w:r>
            <w:r>
              <w:rPr>
                <w:rFonts w:ascii="Times New Roman;serif" w:hAnsi="Times New Roman;serif"/>
                <w:b/>
                <w:color w:val="000000"/>
                <w:sz w:val="16"/>
              </w:rPr>
              <w:t xml:space="preserve">owner occupied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 – 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color w:val="000000"/>
                <w:sz w:val="16"/>
              </w:rPr>
              <w:t>Commercial real estate</w:t>
            </w:r>
            <w:r>
              <w:rPr>
                <w:color w:val="000000"/>
              </w:rPr>
              <w:t xml:space="preserve"> – </w:t>
            </w:r>
            <w:r>
              <w:rPr>
                <w:rFonts w:ascii="Times New Roman;serif" w:hAnsi="Times New Roman;serif"/>
                <w:b/>
                <w:color w:val="000000"/>
                <w:sz w:val="16"/>
              </w:rPr>
              <w:t>non-owner occupied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 – non-owner occupied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832,502 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Multifamily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multifamily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commercial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(1)As previously announced, on July 24, 2023, the Board of Directors approved a change in the Company's fiscal year end from June 30 to December 31. "2023-S" represents the six-month transition period ended December 31, 2023. All subsequent periods are based on a calendar year 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1398" w:type="dxa"/>
        <w:jc w:val="left"/>
        <w:tblInd w:w="0" w:type="dxa"/>
        <w:tblLayout w:type="fixed"/>
        <w:tblCellMar>
          <w:top w:w="28" w:type="dxa"/>
          <w:left w:w="28" w:type="dxa"/>
          <w:bottom w:w="28" w:type="dxa"/>
          <w:right w:w="28" w:type="dxa"/>
        </w:tblCellMar>
      </w:tblPr>
      <w:tblGrid>
        <w:gridCol w:w="469"/>
        <w:gridCol w:w="268"/>
        <w:gridCol w:w="26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2023-S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and industrial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378,686 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Equipment finance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equipment finance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Municipal leases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municipal leases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commercial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856,438 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hanging="9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1458" w:type="dxa"/>
        <w:jc w:val="left"/>
        <w:tblInd w:w="0" w:type="dxa"/>
        <w:tblLayout w:type="fixed"/>
        <w:tblCellMar>
          <w:top w:w="28" w:type="dxa"/>
          <w:left w:w="28" w:type="dxa"/>
          <w:bottom w:w="28" w:type="dxa"/>
          <w:right w:w="28" w:type="dxa"/>
        </w:tblCellMar>
      </w:tblPr>
      <w:tblGrid>
        <w:gridCol w:w="529"/>
        <w:gridCol w:w="268"/>
        <w:gridCol w:w="26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2023-S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land development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One-to-four family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one-to-four family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HELOCs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HELOCs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residential real estate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real estate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896,438 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48" w:type="dxa"/>
        <w:jc w:val="left"/>
        <w:tblInd w:w="0" w:type="dxa"/>
        <w:tblLayout w:type="fixed"/>
        <w:tblCellMar>
          <w:top w:w="28" w:type="dxa"/>
          <w:left w:w="28" w:type="dxa"/>
          <w:bottom w:w="28" w:type="dxa"/>
          <w:right w:w="28" w:type="dxa"/>
        </w:tblCellMar>
      </w:tblPr>
      <w:tblGrid>
        <w:gridCol w:w="439"/>
        <w:gridCol w:w="268"/>
        <w:gridCol w:w="26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227"/>
        <w:gridCol w:w="487"/>
        <w:gridCol w:w="127"/>
        <w:gridCol w:w="109"/>
        <w:gridCol w:w="109"/>
        <w:gridCol w:w="109"/>
        <w:gridCol w:w="196"/>
        <w:gridCol w:w="646"/>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By Origination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2023-S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consumer</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Doubtful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period gross charge-offs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The following tables present aging analyses of past due loans (including nonaccrual loans) by segment and class as of the dates indicated.</w:t>
      </w:r>
    </w:p>
    <w:tbl>
      <w:tblPr>
        <w:tblW w:w="10130" w:type="dxa"/>
        <w:jc w:val="left"/>
        <w:tblInd w:w="0" w:type="dxa"/>
        <w:tblLayout w:type="fixed"/>
        <w:tblCellMar>
          <w:top w:w="28" w:type="dxa"/>
          <w:left w:w="28" w:type="dxa"/>
          <w:bottom w:w="28" w:type="dxa"/>
          <w:right w:w="28" w:type="dxa"/>
        </w:tblCellMar>
      </w:tblPr>
      <w:tblGrid>
        <w:gridCol w:w="1207"/>
        <w:gridCol w:w="1066"/>
        <w:gridCol w:w="1072"/>
        <w:gridCol w:w="198"/>
        <w:gridCol w:w="652"/>
        <w:gridCol w:w="110"/>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Loans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real estate</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leases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Residential real estate</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Consumer</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loans</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911" w:type="dxa"/>
        <w:jc w:val="left"/>
        <w:tblInd w:w="0" w:type="dxa"/>
        <w:tblLayout w:type="fixed"/>
        <w:tblCellMar>
          <w:top w:w="28" w:type="dxa"/>
          <w:left w:w="28" w:type="dxa"/>
          <w:bottom w:w="28" w:type="dxa"/>
          <w:right w:w="28" w:type="dxa"/>
        </w:tblCellMar>
      </w:tblPr>
      <w:tblGrid>
        <w:gridCol w:w="1212"/>
        <w:gridCol w:w="1064"/>
        <w:gridCol w:w="1068"/>
        <w:gridCol w:w="198"/>
        <w:gridCol w:w="652"/>
        <w:gridCol w:w="110"/>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Past Due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Loans</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real estate</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w:t>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leases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856,438 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Residential real estate</w:t>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Consumer</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loans</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3,578,154 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(1)Of the past due totals presented above, $19,193 and $14,307 of these balances were fully guaranteed by the SBA as of June 30, 2026 and December 31, 2025, respectively.</w:t>
      </w:r>
    </w:p>
    <w:p>
      <w:pPr>
        <w:pStyle w:val="TextBody"/>
        <w:bidi w:val="0"/>
        <w:spacing w:lineRule="auto" w:line="288" w:before="0" w:after="8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(2)Reflects a change in prior period disclosures where, for loans with monthly payments, they were previously considered past due when a loan is in arrears two or more payments. Under the updated disclosure, these loans are considered past due when the loan is in arrears one or more payments. The most significant impact was to the "30-89 Days" column where the total balance increased by $37,194, with the one-to-four family residential real estate portfolio making up $22,393 of the change.</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recorded investment in loans on nonaccrual status, by segment and class, including restructured loans. It also includes interest income recognized on nonaccrual loans for the six months ended June 30, 2026.</w:t>
      </w:r>
    </w:p>
    <w:tbl>
      <w:tblPr>
        <w:tblW w:w="10205" w:type="dxa"/>
        <w:jc w:val="left"/>
        <w:tblInd w:w="0" w:type="dxa"/>
        <w:tblLayout w:type="fixed"/>
        <w:tblCellMar>
          <w:top w:w="28" w:type="dxa"/>
          <w:left w:w="28" w:type="dxa"/>
          <w:bottom w:w="28" w:type="dxa"/>
          <w:right w:w="28" w:type="dxa"/>
        </w:tblCellMar>
      </w:tblPr>
      <w:tblGrid>
        <w:gridCol w:w="596"/>
        <w:gridCol w:w="523"/>
        <w:gridCol w:w="526"/>
        <w:gridCol w:w="109"/>
        <w:gridCol w:w="109"/>
        <w:gridCol w:w="109"/>
        <w:gridCol w:w="214"/>
        <w:gridCol w:w="708"/>
        <w:gridCol w:w="119"/>
        <w:gridCol w:w="109"/>
        <w:gridCol w:w="109"/>
        <w:gridCol w:w="109"/>
        <w:gridCol w:w="235"/>
        <w:gridCol w:w="777"/>
        <w:gridCol w:w="131"/>
        <w:gridCol w:w="109"/>
        <w:gridCol w:w="109"/>
        <w:gridCol w:w="109"/>
        <w:gridCol w:w="109"/>
        <w:gridCol w:w="109"/>
        <w:gridCol w:w="354"/>
        <w:gridCol w:w="736"/>
        <w:gridCol w:w="198"/>
        <w:gridCol w:w="109"/>
        <w:gridCol w:w="109"/>
        <w:gridCol w:w="109"/>
        <w:gridCol w:w="377"/>
        <w:gridCol w:w="1073"/>
        <w:gridCol w:w="213"/>
        <w:gridCol w:w="109"/>
        <w:gridCol w:w="109"/>
        <w:gridCol w:w="109"/>
        <w:gridCol w:w="296"/>
        <w:gridCol w:w="840"/>
        <w:gridCol w:w="165"/>
        <w:gridCol w:w="109"/>
        <w:gridCol w:w="162"/>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June 30, 2026</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December 31, 2025</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90 Days+ &amp;</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Still Accruing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Nonaccrual with No ACL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 Recognized</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(1)Of the nonaccrual totals presented above, $23,563 and $14,885 of these balances were fully guaranteed by the SBA as of June 30, 2026 and December 31, 2025, respectively.</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 analyses of the ACL on loans by segment for the periods indicated below. In addition to the provision (benefit) for credit losses on loans presented below, benefits of $100 and $675 for off-balance sheet credit exposures were recorded for the three and six months ended June 30, 2026, respectively. A benefit of $82 and a provision of $658 for off-balance sheet credit exposures were recorded for the three and six months ended June 30, 2025, respectively.</w:t>
      </w:r>
    </w:p>
    <w:tbl>
      <w:tblPr>
        <w:tblW w:w="10205" w:type="dxa"/>
        <w:jc w:val="left"/>
        <w:tblInd w:w="0" w:type="dxa"/>
        <w:tblLayout w:type="fixed"/>
        <w:tblCellMar>
          <w:top w:w="28" w:type="dxa"/>
          <w:left w:w="28" w:type="dxa"/>
          <w:bottom w:w="28" w:type="dxa"/>
          <w:right w:w="28" w:type="dxa"/>
        </w:tblCellMar>
      </w:tblPr>
      <w:tblGrid>
        <w:gridCol w:w="739"/>
        <w:gridCol w:w="596"/>
        <w:gridCol w:w="598"/>
        <w:gridCol w:w="330"/>
        <w:gridCol w:w="1091"/>
        <w:gridCol w:w="185"/>
        <w:gridCol w:w="109"/>
        <w:gridCol w:w="109"/>
        <w:gridCol w:w="109"/>
        <w:gridCol w:w="213"/>
        <w:gridCol w:w="703"/>
        <w:gridCol w:w="120"/>
        <w:gridCol w:w="109"/>
        <w:gridCol w:w="109"/>
        <w:gridCol w:w="109"/>
        <w:gridCol w:w="347"/>
        <w:gridCol w:w="989"/>
        <w:gridCol w:w="196"/>
        <w:gridCol w:w="109"/>
        <w:gridCol w:w="109"/>
        <w:gridCol w:w="109"/>
        <w:gridCol w:w="247"/>
        <w:gridCol w:w="531"/>
        <w:gridCol w:w="138"/>
        <w:gridCol w:w="109"/>
        <w:gridCol w:w="109"/>
        <w:gridCol w:w="109"/>
        <w:gridCol w:w="196"/>
        <w:gridCol w:w="646"/>
        <w:gridCol w:w="109"/>
        <w:gridCol w:w="109"/>
        <w:gridCol w:w="109"/>
        <w:gridCol w:w="109"/>
        <w:gridCol w:w="109"/>
        <w:gridCol w:w="109"/>
        <w:gridCol w:w="109"/>
        <w:gridCol w:w="109"/>
        <w:gridCol w:w="160"/>
      </w:tblGrid>
      <w:tr>
        <w:trPr/>
        <w:tc>
          <w:tcPr>
            <w:tcW w:w="73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19,781 </w:t>
            </w:r>
          </w:p>
        </w:tc>
        <w:tc>
          <w:tcPr>
            <w:tcW w:w="18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12,047 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8,452 </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recoveries</w:t>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3"/>
        <w:gridCol w:w="611"/>
        <w:gridCol w:w="614"/>
        <w:gridCol w:w="325"/>
        <w:gridCol w:w="1072"/>
        <w:gridCol w:w="182"/>
        <w:gridCol w:w="109"/>
        <w:gridCol w:w="109"/>
        <w:gridCol w:w="109"/>
        <w:gridCol w:w="213"/>
        <w:gridCol w:w="703"/>
        <w:gridCol w:w="120"/>
        <w:gridCol w:w="109"/>
        <w:gridCol w:w="109"/>
        <w:gridCol w:w="109"/>
        <w:gridCol w:w="341"/>
        <w:gridCol w:w="971"/>
        <w:gridCol w:w="192"/>
        <w:gridCol w:w="109"/>
        <w:gridCol w:w="109"/>
        <w:gridCol w:w="109"/>
        <w:gridCol w:w="247"/>
        <w:gridCol w:w="531"/>
        <w:gridCol w:w="138"/>
        <w:gridCol w:w="109"/>
        <w:gridCol w:w="109"/>
        <w:gridCol w:w="109"/>
        <w:gridCol w:w="196"/>
        <w:gridCol w:w="646"/>
        <w:gridCol w:w="109"/>
        <w:gridCol w:w="109"/>
        <w:gridCol w:w="109"/>
        <w:gridCol w:w="109"/>
        <w:gridCol w:w="109"/>
        <w:gridCol w:w="109"/>
        <w:gridCol w:w="109"/>
        <w:gridCol w:w="109"/>
        <w:gridCol w:w="160"/>
      </w:tblGrid>
      <w:tr>
        <w:trPr/>
        <w:tc>
          <w:tcPr>
            <w:tcW w:w="76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19,565 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14,863 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9,330 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recoveries</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19,045 </w:t>
            </w:r>
          </w:p>
        </w:tc>
        <w:tc>
          <w:tcPr>
            <w:tcW w:w="1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15,569 </w:t>
            </w:r>
          </w:p>
        </w:tc>
        <w:tc>
          <w:tcPr>
            <w:tcW w:w="1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8,722 </w:t>
            </w:r>
          </w:p>
        </w:tc>
        <w:tc>
          <w:tcPr>
            <w:tcW w:w="19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3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763"/>
        <w:gridCol w:w="611"/>
        <w:gridCol w:w="614"/>
        <w:gridCol w:w="325"/>
        <w:gridCol w:w="1072"/>
        <w:gridCol w:w="182"/>
        <w:gridCol w:w="109"/>
        <w:gridCol w:w="109"/>
        <w:gridCol w:w="109"/>
        <w:gridCol w:w="213"/>
        <w:gridCol w:w="703"/>
        <w:gridCol w:w="120"/>
        <w:gridCol w:w="109"/>
        <w:gridCol w:w="109"/>
        <w:gridCol w:w="109"/>
        <w:gridCol w:w="341"/>
        <w:gridCol w:w="971"/>
        <w:gridCol w:w="192"/>
        <w:gridCol w:w="109"/>
        <w:gridCol w:w="109"/>
        <w:gridCol w:w="109"/>
        <w:gridCol w:w="247"/>
        <w:gridCol w:w="531"/>
        <w:gridCol w:w="138"/>
        <w:gridCol w:w="109"/>
        <w:gridCol w:w="109"/>
        <w:gridCol w:w="109"/>
        <w:gridCol w:w="196"/>
        <w:gridCol w:w="646"/>
        <w:gridCol w:w="109"/>
        <w:gridCol w:w="109"/>
        <w:gridCol w:w="109"/>
        <w:gridCol w:w="109"/>
        <w:gridCol w:w="109"/>
        <w:gridCol w:w="109"/>
        <w:gridCol w:w="109"/>
        <w:gridCol w:w="109"/>
        <w:gridCol w:w="160"/>
      </w:tblGrid>
      <w:tr>
        <w:trPr/>
        <w:tc>
          <w:tcPr>
            <w:tcW w:w="76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19,298 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13,331 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recoveries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3"/>
        <w:gridCol w:w="611"/>
        <w:gridCol w:w="614"/>
        <w:gridCol w:w="325"/>
        <w:gridCol w:w="1072"/>
        <w:gridCol w:w="182"/>
        <w:gridCol w:w="109"/>
        <w:gridCol w:w="109"/>
        <w:gridCol w:w="109"/>
        <w:gridCol w:w="213"/>
        <w:gridCol w:w="703"/>
        <w:gridCol w:w="120"/>
        <w:gridCol w:w="109"/>
        <w:gridCol w:w="109"/>
        <w:gridCol w:w="109"/>
        <w:gridCol w:w="341"/>
        <w:gridCol w:w="971"/>
        <w:gridCol w:w="192"/>
        <w:gridCol w:w="109"/>
        <w:gridCol w:w="109"/>
        <w:gridCol w:w="109"/>
        <w:gridCol w:w="208"/>
        <w:gridCol w:w="591"/>
        <w:gridCol w:w="117"/>
        <w:gridCol w:w="109"/>
        <w:gridCol w:w="109"/>
        <w:gridCol w:w="109"/>
        <w:gridCol w:w="196"/>
        <w:gridCol w:w="646"/>
        <w:gridCol w:w="109"/>
        <w:gridCol w:w="109"/>
        <w:gridCol w:w="109"/>
        <w:gridCol w:w="109"/>
        <w:gridCol w:w="109"/>
        <w:gridCol w:w="109"/>
        <w:gridCol w:w="109"/>
        <w:gridCol w:w="109"/>
        <w:gridCol w:w="160"/>
      </w:tblGrid>
      <w:tr>
        <w:trPr/>
        <w:tc>
          <w:tcPr>
            <w:tcW w:w="76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19,284 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15,267 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credit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recoveries</w:t>
            </w:r>
          </w:p>
        </w:tc>
        <w:tc>
          <w:tcPr>
            <w:tcW w:w="13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8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19,045 </w:t>
            </w:r>
          </w:p>
        </w:tc>
        <w:tc>
          <w:tcPr>
            <w:tcW w:w="18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15,569 </w:t>
            </w:r>
          </w:p>
        </w:tc>
        <w:tc>
          <w:tcPr>
            <w:tcW w:w="12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8,722 </w:t>
            </w:r>
          </w:p>
        </w:tc>
        <w:tc>
          <w:tcPr>
            <w:tcW w:w="19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1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A loan is considered to be collateral dependent when the borrower is experiencing financial difficulty and the repayment is expected to be provided substantially through the operation or sale of the collateral. The following tables provide a breakdown between loans identified as CDAs and non-CDAs, by segment and class, as well as collateral coverage for those loans at the dates indicated below:</w:t>
      </w:r>
    </w:p>
    <w:tbl>
      <w:tblPr>
        <w:tblW w:w="10205" w:type="dxa"/>
        <w:jc w:val="left"/>
        <w:tblInd w:w="0" w:type="dxa"/>
        <w:tblLayout w:type="fixed"/>
        <w:tblCellMar>
          <w:top w:w="28" w:type="dxa"/>
          <w:left w:w="28" w:type="dxa"/>
          <w:bottom w:w="28" w:type="dxa"/>
          <w:right w:w="28" w:type="dxa"/>
        </w:tblCellMar>
      </w:tblPr>
      <w:tblGrid>
        <w:gridCol w:w="466"/>
        <w:gridCol w:w="412"/>
        <w:gridCol w:w="302"/>
        <w:gridCol w:w="275"/>
        <w:gridCol w:w="571"/>
        <w:gridCol w:w="155"/>
        <w:gridCol w:w="109"/>
        <w:gridCol w:w="109"/>
        <w:gridCol w:w="109"/>
        <w:gridCol w:w="280"/>
        <w:gridCol w:w="580"/>
        <w:gridCol w:w="156"/>
        <w:gridCol w:w="109"/>
        <w:gridCol w:w="109"/>
        <w:gridCol w:w="109"/>
        <w:gridCol w:w="244"/>
        <w:gridCol w:w="695"/>
        <w:gridCol w:w="137"/>
        <w:gridCol w:w="109"/>
        <w:gridCol w:w="109"/>
        <w:gridCol w:w="109"/>
        <w:gridCol w:w="223"/>
        <w:gridCol w:w="462"/>
        <w:gridCol w:w="125"/>
        <w:gridCol w:w="109"/>
        <w:gridCol w:w="976"/>
        <w:gridCol w:w="109"/>
        <w:gridCol w:w="109"/>
        <w:gridCol w:w="109"/>
        <w:gridCol w:w="196"/>
        <w:gridCol w:w="871"/>
        <w:gridCol w:w="109"/>
        <w:gridCol w:w="109"/>
        <w:gridCol w:w="109"/>
        <w:gridCol w:w="109"/>
        <w:gridCol w:w="196"/>
        <w:gridCol w:w="871"/>
        <w:gridCol w:w="159"/>
      </w:tblGrid>
      <w:tr>
        <w:trPr/>
        <w:tc>
          <w:tcPr>
            <w:tcW w:w="46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Type and Extent of Collateral Securing CDAs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Non-CDAs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6"/>
            <w:tcBorders/>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Residential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Assets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real estate</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875,143 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1,867,095 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leases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823,157 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Residential real estate</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901,520 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Consumer</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3,618,206 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3,622,244 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collateral value</w:t>
            </w:r>
          </w:p>
        </w:tc>
        <w:tc>
          <w:tcPr>
            <w:tcW w:w="2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5,164 </w:t>
            </w:r>
          </w:p>
        </w:tc>
        <w:tc>
          <w:tcPr>
            <w:tcW w:w="1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516"/>
        <w:gridCol w:w="314"/>
        <w:gridCol w:w="315"/>
        <w:gridCol w:w="272"/>
        <w:gridCol w:w="564"/>
        <w:gridCol w:w="153"/>
        <w:gridCol w:w="109"/>
        <w:gridCol w:w="109"/>
        <w:gridCol w:w="109"/>
        <w:gridCol w:w="277"/>
        <w:gridCol w:w="573"/>
        <w:gridCol w:w="154"/>
        <w:gridCol w:w="109"/>
        <w:gridCol w:w="109"/>
        <w:gridCol w:w="109"/>
        <w:gridCol w:w="241"/>
        <w:gridCol w:w="688"/>
        <w:gridCol w:w="135"/>
        <w:gridCol w:w="109"/>
        <w:gridCol w:w="109"/>
        <w:gridCol w:w="109"/>
        <w:gridCol w:w="200"/>
        <w:gridCol w:w="568"/>
        <w:gridCol w:w="111"/>
        <w:gridCol w:w="109"/>
        <w:gridCol w:w="976"/>
        <w:gridCol w:w="109"/>
        <w:gridCol w:w="109"/>
        <w:gridCol w:w="109"/>
        <w:gridCol w:w="196"/>
        <w:gridCol w:w="871"/>
        <w:gridCol w:w="109"/>
        <w:gridCol w:w="109"/>
        <w:gridCol w:w="109"/>
        <w:gridCol w:w="109"/>
        <w:gridCol w:w="196"/>
        <w:gridCol w:w="871"/>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Type and Extent of Collateral Securing CDAs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Non-CDAs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6"/>
            <w:tcBorders/>
          </w:tcPr>
          <w:p>
            <w:pPr>
              <w:pStyle w:val="TableContents"/>
              <w:bidi w:val="0"/>
              <w:spacing w:before="0" w:after="283"/>
              <w:jc w:val="left"/>
              <w:rPr>
                <w:sz w:val="4"/>
                <w:szCs w:val="4"/>
              </w:rPr>
            </w:pPr>
            <w:r>
              <w:rPr>
                <w:sz w:val="4"/>
                <w:szCs w:val="4"/>
              </w:rPr>
            </w:r>
          </w:p>
        </w:tc>
      </w:tr>
      <w:tr>
        <w:trPr/>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Residential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Investment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Commercial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Business Assets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real estate</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832,502 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leases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856,438 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Residential real estate</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896,438 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Consumer</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3,578,154 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collateral value</w:t>
            </w:r>
          </w:p>
        </w:tc>
        <w:tc>
          <w:tcPr>
            <w:tcW w:w="2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9,605 </w:t>
            </w:r>
          </w:p>
        </w:tc>
        <w:tc>
          <w:tcPr>
            <w:tcW w:w="1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Modifications to Borrowers Experiencing Financial Difficulty</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Company modifies loans to borrowers experiencing financial difficulty by providing principal forgiveness, a term extension, an other-than-insignificant payment delay or interest rate adjustments. In some cases, the Company provides multiple types of modifications on one loan. Typically, one type of modification, such as a term extension, is granted initially. If the borrower continues to experience financial difficulty, another modification, such as principal forgiveness, may be granted. For loans included in the combination columns in the table below, multiple types of modifications have been made on the same loan within the current reporting period.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 the amortized cost basis of loans at June 30, 2026 and 2025, that were both experiencing financial difficulty and modified during the three and six months ended June 30, 2026 and 2025, by class and type of modification. The percentage of the amortized cost basis of loans that were modified to borrowers in financial difficulty as compared to the amortized cost basis of each class of financing receivable is also presented.</w:t>
      </w:r>
    </w:p>
    <w:tbl>
      <w:tblPr>
        <w:tblW w:w="10402" w:type="dxa"/>
        <w:jc w:val="left"/>
        <w:tblInd w:w="0" w:type="dxa"/>
        <w:tblLayout w:type="fixed"/>
        <w:tblCellMar>
          <w:top w:w="28" w:type="dxa"/>
          <w:left w:w="28" w:type="dxa"/>
          <w:bottom w:w="28" w:type="dxa"/>
          <w:right w:w="28" w:type="dxa"/>
        </w:tblCellMar>
      </w:tblPr>
      <w:tblGrid>
        <w:gridCol w:w="381"/>
        <w:gridCol w:w="334"/>
        <w:gridCol w:w="336"/>
        <w:gridCol w:w="277"/>
        <w:gridCol w:w="574"/>
        <w:gridCol w:w="155"/>
        <w:gridCol w:w="109"/>
        <w:gridCol w:w="109"/>
        <w:gridCol w:w="109"/>
        <w:gridCol w:w="210"/>
        <w:gridCol w:w="452"/>
        <w:gridCol w:w="119"/>
        <w:gridCol w:w="109"/>
        <w:gridCol w:w="109"/>
        <w:gridCol w:w="109"/>
        <w:gridCol w:w="240"/>
        <w:gridCol w:w="497"/>
        <w:gridCol w:w="134"/>
        <w:gridCol w:w="109"/>
        <w:gridCol w:w="109"/>
        <w:gridCol w:w="109"/>
        <w:gridCol w:w="235"/>
        <w:gridCol w:w="669"/>
        <w:gridCol w:w="132"/>
        <w:gridCol w:w="109"/>
        <w:gridCol w:w="109"/>
        <w:gridCol w:w="109"/>
        <w:gridCol w:w="310"/>
        <w:gridCol w:w="642"/>
        <w:gridCol w:w="174"/>
        <w:gridCol w:w="109"/>
        <w:gridCol w:w="109"/>
        <w:gridCol w:w="109"/>
        <w:gridCol w:w="256"/>
        <w:gridCol w:w="727"/>
        <w:gridCol w:w="143"/>
        <w:gridCol w:w="109"/>
        <w:gridCol w:w="109"/>
        <w:gridCol w:w="109"/>
        <w:gridCol w:w="256"/>
        <w:gridCol w:w="210"/>
        <w:gridCol w:w="496"/>
        <w:gridCol w:w="109"/>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0"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481"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Combination Term Extension &amp; 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Combination Term Extension &amp;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0482" w:type="dxa"/>
        <w:jc w:val="left"/>
        <w:tblInd w:w="0" w:type="dxa"/>
        <w:tblLayout w:type="fixed"/>
        <w:tblCellMar>
          <w:top w:w="28" w:type="dxa"/>
          <w:left w:w="28" w:type="dxa"/>
          <w:bottom w:w="28" w:type="dxa"/>
          <w:right w:w="28" w:type="dxa"/>
        </w:tblCellMar>
      </w:tblPr>
      <w:tblGrid>
        <w:gridCol w:w="381"/>
        <w:gridCol w:w="334"/>
        <w:gridCol w:w="336"/>
        <w:gridCol w:w="277"/>
        <w:gridCol w:w="574"/>
        <w:gridCol w:w="155"/>
        <w:gridCol w:w="109"/>
        <w:gridCol w:w="109"/>
        <w:gridCol w:w="109"/>
        <w:gridCol w:w="196"/>
        <w:gridCol w:w="556"/>
        <w:gridCol w:w="109"/>
        <w:gridCol w:w="109"/>
        <w:gridCol w:w="109"/>
        <w:gridCol w:w="109"/>
        <w:gridCol w:w="235"/>
        <w:gridCol w:w="505"/>
        <w:gridCol w:w="131"/>
        <w:gridCol w:w="109"/>
        <w:gridCol w:w="109"/>
        <w:gridCol w:w="109"/>
        <w:gridCol w:w="285"/>
        <w:gridCol w:w="591"/>
        <w:gridCol w:w="160"/>
        <w:gridCol w:w="109"/>
        <w:gridCol w:w="109"/>
        <w:gridCol w:w="109"/>
        <w:gridCol w:w="310"/>
        <w:gridCol w:w="642"/>
        <w:gridCol w:w="174"/>
        <w:gridCol w:w="109"/>
        <w:gridCol w:w="109"/>
        <w:gridCol w:w="109"/>
        <w:gridCol w:w="310"/>
        <w:gridCol w:w="642"/>
        <w:gridCol w:w="174"/>
        <w:gridCol w:w="109"/>
        <w:gridCol w:w="109"/>
        <w:gridCol w:w="109"/>
        <w:gridCol w:w="256"/>
        <w:gridCol w:w="210"/>
        <w:gridCol w:w="496"/>
        <w:gridCol w:w="109"/>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Combination Term Extension &amp; 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Combination Term Extension &amp;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real estate loans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482" w:type="dxa"/>
        <w:jc w:val="left"/>
        <w:tblInd w:w="0" w:type="dxa"/>
        <w:tblLayout w:type="fixed"/>
        <w:tblCellMar>
          <w:top w:w="28" w:type="dxa"/>
          <w:left w:w="28" w:type="dxa"/>
          <w:bottom w:w="28" w:type="dxa"/>
          <w:right w:w="28" w:type="dxa"/>
        </w:tblCellMar>
      </w:tblPr>
      <w:tblGrid>
        <w:gridCol w:w="381"/>
        <w:gridCol w:w="334"/>
        <w:gridCol w:w="336"/>
        <w:gridCol w:w="277"/>
        <w:gridCol w:w="574"/>
        <w:gridCol w:w="155"/>
        <w:gridCol w:w="109"/>
        <w:gridCol w:w="109"/>
        <w:gridCol w:w="109"/>
        <w:gridCol w:w="196"/>
        <w:gridCol w:w="556"/>
        <w:gridCol w:w="109"/>
        <w:gridCol w:w="109"/>
        <w:gridCol w:w="109"/>
        <w:gridCol w:w="109"/>
        <w:gridCol w:w="235"/>
        <w:gridCol w:w="505"/>
        <w:gridCol w:w="131"/>
        <w:gridCol w:w="109"/>
        <w:gridCol w:w="109"/>
        <w:gridCol w:w="109"/>
        <w:gridCol w:w="235"/>
        <w:gridCol w:w="669"/>
        <w:gridCol w:w="132"/>
        <w:gridCol w:w="109"/>
        <w:gridCol w:w="109"/>
        <w:gridCol w:w="109"/>
        <w:gridCol w:w="310"/>
        <w:gridCol w:w="642"/>
        <w:gridCol w:w="174"/>
        <w:gridCol w:w="109"/>
        <w:gridCol w:w="109"/>
        <w:gridCol w:w="109"/>
        <w:gridCol w:w="256"/>
        <w:gridCol w:w="727"/>
        <w:gridCol w:w="143"/>
        <w:gridCol w:w="109"/>
        <w:gridCol w:w="109"/>
        <w:gridCol w:w="109"/>
        <w:gridCol w:w="256"/>
        <w:gridCol w:w="210"/>
        <w:gridCol w:w="496"/>
        <w:gridCol w:w="109"/>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481"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Combination Term Extension &amp; 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Combination Term Extension &amp;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482" w:type="dxa"/>
        <w:jc w:val="left"/>
        <w:tblInd w:w="0" w:type="dxa"/>
        <w:tblLayout w:type="fixed"/>
        <w:tblCellMar>
          <w:top w:w="28" w:type="dxa"/>
          <w:left w:w="28" w:type="dxa"/>
          <w:bottom w:w="28" w:type="dxa"/>
          <w:right w:w="28" w:type="dxa"/>
        </w:tblCellMar>
      </w:tblPr>
      <w:tblGrid>
        <w:gridCol w:w="381"/>
        <w:gridCol w:w="334"/>
        <w:gridCol w:w="336"/>
        <w:gridCol w:w="277"/>
        <w:gridCol w:w="574"/>
        <w:gridCol w:w="155"/>
        <w:gridCol w:w="109"/>
        <w:gridCol w:w="109"/>
        <w:gridCol w:w="109"/>
        <w:gridCol w:w="196"/>
        <w:gridCol w:w="556"/>
        <w:gridCol w:w="109"/>
        <w:gridCol w:w="109"/>
        <w:gridCol w:w="109"/>
        <w:gridCol w:w="109"/>
        <w:gridCol w:w="235"/>
        <w:gridCol w:w="505"/>
        <w:gridCol w:w="131"/>
        <w:gridCol w:w="109"/>
        <w:gridCol w:w="109"/>
        <w:gridCol w:w="109"/>
        <w:gridCol w:w="279"/>
        <w:gridCol w:w="600"/>
        <w:gridCol w:w="157"/>
        <w:gridCol w:w="109"/>
        <w:gridCol w:w="109"/>
        <w:gridCol w:w="109"/>
        <w:gridCol w:w="310"/>
        <w:gridCol w:w="642"/>
        <w:gridCol w:w="174"/>
        <w:gridCol w:w="109"/>
        <w:gridCol w:w="109"/>
        <w:gridCol w:w="109"/>
        <w:gridCol w:w="310"/>
        <w:gridCol w:w="642"/>
        <w:gridCol w:w="174"/>
        <w:gridCol w:w="109"/>
        <w:gridCol w:w="109"/>
        <w:gridCol w:w="109"/>
        <w:gridCol w:w="256"/>
        <w:gridCol w:w="210"/>
        <w:gridCol w:w="496"/>
        <w:gridCol w:w="109"/>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Combination Term Extension &amp; 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Combination Term Extension &amp; 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real estate loans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financial effect of the loan modifications presented above to borrowers experiencing financial difficulty for the periods indicated below:</w:t>
      </w:r>
    </w:p>
    <w:tbl>
      <w:tblPr>
        <w:tblW w:w="10205" w:type="dxa"/>
        <w:jc w:val="left"/>
        <w:tblInd w:w="0" w:type="dxa"/>
        <w:tblLayout w:type="fixed"/>
        <w:tblCellMar>
          <w:top w:w="28" w:type="dxa"/>
          <w:left w:w="28" w:type="dxa"/>
          <w:bottom w:w="28" w:type="dxa"/>
          <w:right w:w="28" w:type="dxa"/>
        </w:tblCellMar>
      </w:tblPr>
      <w:tblGrid>
        <w:gridCol w:w="802"/>
        <w:gridCol w:w="703"/>
        <w:gridCol w:w="707"/>
        <w:gridCol w:w="396"/>
        <w:gridCol w:w="821"/>
        <w:gridCol w:w="221"/>
        <w:gridCol w:w="129"/>
        <w:gridCol w:w="129"/>
        <w:gridCol w:w="129"/>
        <w:gridCol w:w="608"/>
        <w:gridCol w:w="608"/>
        <w:gridCol w:w="1430"/>
        <w:gridCol w:w="129"/>
        <w:gridCol w:w="129"/>
        <w:gridCol w:w="129"/>
        <w:gridCol w:w="882"/>
        <w:gridCol w:w="882"/>
        <w:gridCol w:w="883"/>
        <w:gridCol w:w="109"/>
        <w:gridCol w:w="109"/>
        <w:gridCol w:w="109"/>
        <w:gridCol w:w="161"/>
      </w:tblGrid>
      <w:tr>
        <w:trPr/>
        <w:tc>
          <w:tcPr>
            <w:tcW w:w="8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488" w:type="dxa"/>
            <w:gridSpan w:val="4"/>
            <w:tcBorders/>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Interest Rate Reduction</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Term Extension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883"/>
        <w:gridCol w:w="757"/>
        <w:gridCol w:w="761"/>
        <w:gridCol w:w="388"/>
        <w:gridCol w:w="805"/>
        <w:gridCol w:w="217"/>
        <w:gridCol w:w="127"/>
        <w:gridCol w:w="127"/>
        <w:gridCol w:w="127"/>
        <w:gridCol w:w="591"/>
        <w:gridCol w:w="591"/>
        <w:gridCol w:w="1389"/>
        <w:gridCol w:w="127"/>
        <w:gridCol w:w="127"/>
        <w:gridCol w:w="127"/>
        <w:gridCol w:w="856"/>
        <w:gridCol w:w="856"/>
        <w:gridCol w:w="858"/>
        <w:gridCol w:w="109"/>
        <w:gridCol w:w="109"/>
        <w:gridCol w:w="109"/>
        <w:gridCol w:w="164"/>
      </w:tblGrid>
      <w:tr>
        <w:trPr/>
        <w:tc>
          <w:tcPr>
            <w:tcW w:w="88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491" w:type="dxa"/>
            <w:gridSpan w:val="4"/>
            <w:tcBorders/>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Interest Rate Reduction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Term Extension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Commercial real estate – non-owner occupied</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real estate loans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6"/>
        <w:gridCol w:w="706"/>
        <w:gridCol w:w="710"/>
        <w:gridCol w:w="397"/>
        <w:gridCol w:w="824"/>
        <w:gridCol w:w="222"/>
        <w:gridCol w:w="122"/>
        <w:gridCol w:w="122"/>
        <w:gridCol w:w="122"/>
        <w:gridCol w:w="611"/>
        <w:gridCol w:w="611"/>
        <w:gridCol w:w="1436"/>
        <w:gridCol w:w="122"/>
        <w:gridCol w:w="122"/>
        <w:gridCol w:w="122"/>
        <w:gridCol w:w="885"/>
        <w:gridCol w:w="885"/>
        <w:gridCol w:w="887"/>
        <w:gridCol w:w="109"/>
        <w:gridCol w:w="109"/>
        <w:gridCol w:w="109"/>
        <w:gridCol w:w="166"/>
      </w:tblGrid>
      <w:tr>
        <w:trPr/>
        <w:tc>
          <w:tcPr>
            <w:tcW w:w="8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493" w:type="dxa"/>
            <w:gridSpan w:val="4"/>
            <w:tcBorders/>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Interest Rate Reduction</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Term Extension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2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8"/>
        <w:gridCol w:w="761"/>
        <w:gridCol w:w="765"/>
        <w:gridCol w:w="389"/>
        <w:gridCol w:w="807"/>
        <w:gridCol w:w="217"/>
        <w:gridCol w:w="121"/>
        <w:gridCol w:w="121"/>
        <w:gridCol w:w="121"/>
        <w:gridCol w:w="593"/>
        <w:gridCol w:w="593"/>
        <w:gridCol w:w="1394"/>
        <w:gridCol w:w="121"/>
        <w:gridCol w:w="121"/>
        <w:gridCol w:w="121"/>
        <w:gridCol w:w="860"/>
        <w:gridCol w:w="860"/>
        <w:gridCol w:w="861"/>
        <w:gridCol w:w="109"/>
        <w:gridCol w:w="109"/>
        <w:gridCol w:w="109"/>
        <w:gridCol w:w="164"/>
      </w:tblGrid>
      <w:tr>
        <w:trPr/>
        <w:tc>
          <w:tcPr>
            <w:tcW w:w="88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491" w:type="dxa"/>
            <w:gridSpan w:val="4"/>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Interest Rate Reduction</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Term Extension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Commercial real estate – non-owner occupied</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real estate loans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5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 loans that had a payment default during the periods indicated that had previously been modified within the prior twelve months. For purposes of these tables, a loan is considered to be in default when it becomes 30 days contractually past due under the modified terms.</w:t>
      </w:r>
    </w:p>
    <w:tbl>
      <w:tblPr>
        <w:tblW w:w="10205" w:type="dxa"/>
        <w:jc w:val="left"/>
        <w:tblInd w:w="0" w:type="dxa"/>
        <w:tblLayout w:type="fixed"/>
        <w:tblCellMar>
          <w:top w:w="28" w:type="dxa"/>
          <w:left w:w="28" w:type="dxa"/>
          <w:bottom w:w="28" w:type="dxa"/>
          <w:right w:w="28" w:type="dxa"/>
        </w:tblCellMar>
      </w:tblPr>
      <w:tblGrid>
        <w:gridCol w:w="986"/>
        <w:gridCol w:w="864"/>
        <w:gridCol w:w="869"/>
        <w:gridCol w:w="448"/>
        <w:gridCol w:w="930"/>
        <w:gridCol w:w="251"/>
        <w:gridCol w:w="109"/>
        <w:gridCol w:w="109"/>
        <w:gridCol w:w="109"/>
        <w:gridCol w:w="273"/>
        <w:gridCol w:w="775"/>
        <w:gridCol w:w="151"/>
        <w:gridCol w:w="109"/>
        <w:gridCol w:w="109"/>
        <w:gridCol w:w="109"/>
        <w:gridCol w:w="341"/>
        <w:gridCol w:w="733"/>
        <w:gridCol w:w="189"/>
        <w:gridCol w:w="109"/>
        <w:gridCol w:w="109"/>
        <w:gridCol w:w="109"/>
        <w:gridCol w:w="529"/>
        <w:gridCol w:w="1099"/>
        <w:gridCol w:w="297"/>
        <w:gridCol w:w="109"/>
        <w:gridCol w:w="109"/>
        <w:gridCol w:w="109"/>
        <w:gridCol w:w="162"/>
      </w:tblGrid>
      <w:tr>
        <w:trPr/>
        <w:tc>
          <w:tcPr>
            <w:tcW w:w="98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489" w:type="dxa"/>
            <w:gridSpan w:val="4"/>
            <w:tcBorders/>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9382" w:type="dxa"/>
        <w:jc w:val="left"/>
        <w:tblInd w:w="0" w:type="dxa"/>
        <w:tblLayout w:type="fixed"/>
        <w:tblCellMar>
          <w:top w:w="28" w:type="dxa"/>
          <w:left w:w="28" w:type="dxa"/>
          <w:bottom w:w="28" w:type="dxa"/>
          <w:right w:w="28" w:type="dxa"/>
        </w:tblCellMar>
      </w:tblPr>
      <w:tblGrid>
        <w:gridCol w:w="544"/>
        <w:gridCol w:w="477"/>
        <w:gridCol w:w="479"/>
        <w:gridCol w:w="479"/>
        <w:gridCol w:w="993"/>
        <w:gridCol w:w="268"/>
        <w:gridCol w:w="109"/>
        <w:gridCol w:w="109"/>
        <w:gridCol w:w="109"/>
        <w:gridCol w:w="347"/>
        <w:gridCol w:w="718"/>
        <w:gridCol w:w="195"/>
        <w:gridCol w:w="109"/>
        <w:gridCol w:w="109"/>
        <w:gridCol w:w="109"/>
        <w:gridCol w:w="368"/>
        <w:gridCol w:w="762"/>
        <w:gridCol w:w="205"/>
        <w:gridCol w:w="109"/>
        <w:gridCol w:w="109"/>
        <w:gridCol w:w="109"/>
        <w:gridCol w:w="561"/>
        <w:gridCol w:w="1208"/>
        <w:gridCol w:w="316"/>
        <w:gridCol w:w="109"/>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986"/>
        <w:gridCol w:w="864"/>
        <w:gridCol w:w="869"/>
        <w:gridCol w:w="448"/>
        <w:gridCol w:w="930"/>
        <w:gridCol w:w="251"/>
        <w:gridCol w:w="109"/>
        <w:gridCol w:w="109"/>
        <w:gridCol w:w="109"/>
        <w:gridCol w:w="273"/>
        <w:gridCol w:w="775"/>
        <w:gridCol w:w="151"/>
        <w:gridCol w:w="109"/>
        <w:gridCol w:w="109"/>
        <w:gridCol w:w="109"/>
        <w:gridCol w:w="341"/>
        <w:gridCol w:w="733"/>
        <w:gridCol w:w="189"/>
        <w:gridCol w:w="109"/>
        <w:gridCol w:w="109"/>
        <w:gridCol w:w="109"/>
        <w:gridCol w:w="529"/>
        <w:gridCol w:w="1099"/>
        <w:gridCol w:w="297"/>
        <w:gridCol w:w="109"/>
        <w:gridCol w:w="109"/>
        <w:gridCol w:w="109"/>
        <w:gridCol w:w="162"/>
      </w:tblGrid>
      <w:tr>
        <w:trPr/>
        <w:tc>
          <w:tcPr>
            <w:tcW w:w="98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489" w:type="dxa"/>
            <w:gridSpan w:val="4"/>
            <w:tcBorders/>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8"/>
        <w:gridCol w:w="866"/>
        <w:gridCol w:w="870"/>
        <w:gridCol w:w="449"/>
        <w:gridCol w:w="931"/>
        <w:gridCol w:w="251"/>
        <w:gridCol w:w="109"/>
        <w:gridCol w:w="109"/>
        <w:gridCol w:w="109"/>
        <w:gridCol w:w="320"/>
        <w:gridCol w:w="688"/>
        <w:gridCol w:w="181"/>
        <w:gridCol w:w="109"/>
        <w:gridCol w:w="109"/>
        <w:gridCol w:w="109"/>
        <w:gridCol w:w="341"/>
        <w:gridCol w:w="734"/>
        <w:gridCol w:w="189"/>
        <w:gridCol w:w="109"/>
        <w:gridCol w:w="109"/>
        <w:gridCol w:w="109"/>
        <w:gridCol w:w="519"/>
        <w:gridCol w:w="1118"/>
        <w:gridCol w:w="292"/>
        <w:gridCol w:w="109"/>
        <w:gridCol w:w="109"/>
        <w:gridCol w:w="109"/>
        <w:gridCol w:w="160"/>
      </w:tblGrid>
      <w:tr>
        <w:trPr/>
        <w:tc>
          <w:tcPr>
            <w:tcW w:w="98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487" w:type="dxa"/>
            <w:gridSpan w:val="4"/>
            <w:tcBorders/>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Off-Balance Sheet Credit Exposure</w:t>
      </w:r>
    </w:p>
    <w:p>
      <w:pPr>
        <w:pStyle w:val="TextBody"/>
        <w:bidi w:val="0"/>
        <w:spacing w:lineRule="auto" w:line="288" w:before="0" w:after="160"/>
        <w:jc w:val="both"/>
        <w:rPr/>
      </w:pPr>
      <w:r>
        <w:rPr>
          <w:rFonts w:ascii="Times New Roman;serif" w:hAnsi="Times New Roman;serif"/>
          <w:b w:val="false"/>
          <w:color w:val="000000"/>
          <w:sz w:val="18"/>
        </w:rPr>
        <w:t xml:space="preserve">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June 30, 2026 and </w:t>
      </w:r>
      <w:r>
        <w:rPr>
          <w:rFonts w:ascii="Times New Roman;serif" w:hAnsi="Times New Roman;serif"/>
          <w:b w:val="false"/>
          <w:color w:val="000000"/>
          <w:sz w:val="18"/>
          <w:shd w:fill="FFFFFF" w:val="clear"/>
        </w:rPr>
        <w:t>December 31, 2025</w:t>
      </w:r>
      <w:r>
        <w:rPr>
          <w:rFonts w:ascii="Times New Roman;serif" w:hAnsi="Times New Roman;serif"/>
          <w:b w:val="false"/>
          <w:color w:val="000000"/>
          <w:sz w:val="18"/>
        </w:rPr>
        <w:t>, the ACL on off-balance sheet credit exposures included in other liabilities was $3,470 and $4,145,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erif" w:hAnsi="Times New Roman;serif"/>
          <w:b/>
          <w:color w:val="000000"/>
          <w:sz w:val="18"/>
        </w:rPr>
        <w:t>6.    </w:t>
      </w:r>
      <w:r>
        <w:rPr>
          <w:rFonts w:ascii="Times New Roman;serif" w:hAnsi="Times New Roman;serif"/>
          <w:b/>
          <w:color w:val="000000"/>
          <w:sz w:val="18"/>
          <w:u w:val="single"/>
        </w:rPr>
        <w:t>Deposits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Deposit accounts at the dates indicated consist of the following:</w:t>
      </w:r>
    </w:p>
    <w:tbl>
      <w:tblPr>
        <w:tblW w:w="6154" w:type="dxa"/>
        <w:jc w:val="left"/>
        <w:tblInd w:w="0" w:type="dxa"/>
        <w:tblLayout w:type="fixed"/>
        <w:tblCellMar>
          <w:top w:w="28" w:type="dxa"/>
          <w:left w:w="28" w:type="dxa"/>
          <w:bottom w:w="28" w:type="dxa"/>
          <w:right w:w="28" w:type="dxa"/>
        </w:tblCellMar>
      </w:tblPr>
      <w:tblGrid>
        <w:gridCol w:w="794"/>
        <w:gridCol w:w="696"/>
        <w:gridCol w:w="699"/>
        <w:gridCol w:w="196"/>
        <w:gridCol w:w="871"/>
        <w:gridCol w:w="109"/>
        <w:gridCol w:w="109"/>
        <w:gridCol w:w="109"/>
        <w:gridCol w:w="109"/>
        <w:gridCol w:w="257"/>
        <w:gridCol w:w="1145"/>
        <w:gridCol w:w="143"/>
        <w:gridCol w:w="109"/>
        <w:gridCol w:w="109"/>
        <w:gridCol w:w="109"/>
        <w:gridCol w:w="109"/>
        <w:gridCol w:w="109"/>
        <w:gridCol w:w="109"/>
        <w:gridCol w:w="109"/>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accounts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707,748 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546,387 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1,374,635 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909,772 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3,606,847 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3,709,997 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erif" w:hAnsi="Times New Roman;serif"/>
          <w:b w:val="false"/>
          <w:color w:val="000000"/>
          <w:sz w:val="18"/>
        </w:rPr>
        <w:t xml:space="preserve">Deposits received from executive officers, directors and their associates totaled approximately $1,799 and $1,105 at June 30, 2026 and </w:t>
      </w:r>
      <w:r>
        <w:rPr>
          <w:rFonts w:ascii="Times New Roman;serif" w:hAnsi="Times New Roman;serif"/>
          <w:b w:val="false"/>
          <w:color w:val="000000"/>
          <w:sz w:val="18"/>
          <w:shd w:fill="FFFFFF" w:val="clear"/>
        </w:rPr>
        <w:t>December 31, 2025</w:t>
      </w:r>
      <w:r>
        <w:rPr>
          <w:rFonts w:ascii="Times New Roman;serif" w:hAnsi="Times New Roman;serif"/>
          <w:b w:val="false"/>
          <w:color w:val="000000"/>
          <w:sz w:val="18"/>
        </w:rPr>
        <w:t>, respectively.</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As of June 30, 2026, scheduled maturities of certificates of deposit were as follows:</w:t>
      </w:r>
    </w:p>
    <w:tbl>
      <w:tblPr>
        <w:tblW w:w="2788" w:type="dxa"/>
        <w:jc w:val="left"/>
        <w:tblInd w:w="0" w:type="dxa"/>
        <w:tblLayout w:type="fixed"/>
        <w:tblCellMar>
          <w:top w:w="28" w:type="dxa"/>
          <w:left w:w="28" w:type="dxa"/>
          <w:bottom w:w="28" w:type="dxa"/>
          <w:right w:w="28" w:type="dxa"/>
        </w:tblCellMar>
      </w:tblPr>
      <w:tblGrid>
        <w:gridCol w:w="538"/>
        <w:gridCol w:w="472"/>
        <w:gridCol w:w="474"/>
        <w:gridCol w:w="196"/>
        <w:gridCol w:w="736"/>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000000"/>
          <w:sz w:val="18"/>
        </w:rPr>
        <w:t xml:space="preserve">Certificates of deposit with balances of $250 or greater totaled $158,439 and $198,473 at June 30, 2026 and </w:t>
      </w:r>
      <w:r>
        <w:rPr>
          <w:rFonts w:ascii="Times New Roman;serif" w:hAnsi="Times New Roman;serif"/>
          <w:b w:val="false"/>
          <w:color w:val="000000"/>
          <w:sz w:val="18"/>
          <w:shd w:fill="FFFFFF" w:val="clear"/>
        </w:rPr>
        <w:t>December 31, 2025</w:t>
      </w:r>
      <w:r>
        <w:rPr>
          <w:rFonts w:ascii="Times New Roman;serif" w:hAnsi="Times New Roman;serif"/>
          <w:b w:val="false"/>
          <w:color w:val="000000"/>
          <w:sz w:val="18"/>
        </w:rPr>
        <w:t>, respectively. Generally, deposit amounts in excess of $250 are not federally insured.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erif" w:hAnsi="Times New Roman;serif"/>
          <w:b/>
          <w:color w:val="000000"/>
          <w:sz w:val="18"/>
        </w:rPr>
        <w:t>7.    </w:t>
      </w:r>
      <w:r>
        <w:rPr>
          <w:rFonts w:ascii="Times New Roman;serif" w:hAnsi="Times New Roman;serif"/>
          <w:b/>
          <w:color w:val="000000"/>
          <w:sz w:val="18"/>
          <w:u w:val="single"/>
        </w:rPr>
        <w:t>Borrowings</w:t>
      </w:r>
    </w:p>
    <w:p>
      <w:pPr>
        <w:pStyle w:val="TextBody"/>
        <w:bidi w:val="0"/>
        <w:spacing w:lineRule="auto" w:line="288" w:before="0" w:after="40"/>
        <w:jc w:val="both"/>
        <w:rPr>
          <w:rFonts w:ascii="Times New Roman;serif" w:hAnsi="Times New Roman;serif"/>
          <w:b w:val="false"/>
          <w:i/>
          <w:color w:val="000000"/>
          <w:sz w:val="18"/>
        </w:rPr>
      </w:pPr>
      <w:r>
        <w:rPr>
          <w:rFonts w:ascii="Times New Roman;serif" w:hAnsi="Times New Roman;serif"/>
          <w:b w:val="false"/>
          <w:i/>
          <w:color w:val="000000"/>
          <w:sz w:val="18"/>
        </w:rPr>
        <w:t>Junior Subordinated Debentures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 xml:space="preserve">On February 21, 2007, Quantum formed a Delaware statutory trust, Quantum Capital Statutory Trust II (the "Trust"), which issued $11,000 of trust preferred securities that were designed to qualify as Tier I capital under Federal Reserve Board guidelines. All of the common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common securities of the Trust.</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trust preferred securities, which accrued and paid quarterly distributions at a floating rate of 3-month Term SOFR plus 2.20%, were mandatorily redeemable upon maturity of the debentures on March 15, 2037 or upon earlier redemption as provided in the indenture, and the Company elected to redeem the trust preferred securities in whole on June 15, 2026. The redemption price was the principal amount and any accrued but unpaid interest. The Company had previously established a fair value mark (discount) on the junior subordinated debt securities when accounting for the referenced merger, which was being accreted into income through interest expense. Associated with the redemption of the debt instruments, the remaining unaccreted discount of $1,079 was written off through other noninterest expense.</w:t>
      </w:r>
    </w:p>
    <w:p>
      <w:pPr>
        <w:pStyle w:val="TextBody"/>
        <w:bidi w:val="0"/>
        <w:spacing w:lineRule="auto" w:line="288" w:before="0" w:after="40"/>
        <w:jc w:val="both"/>
        <w:rPr>
          <w:rFonts w:ascii="Times New Roman;serif" w:hAnsi="Times New Roman;serif"/>
          <w:b w:val="false"/>
          <w:i/>
          <w:color w:val="000000"/>
          <w:sz w:val="18"/>
        </w:rPr>
      </w:pPr>
      <w:r>
        <w:rPr>
          <w:rFonts w:ascii="Times New Roman;serif" w:hAnsi="Times New Roman;serif"/>
          <w:b w:val="false"/>
          <w:i/>
          <w:color w:val="000000"/>
          <w:sz w:val="18"/>
        </w:rPr>
        <w:t>Other Borrowings</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Borrowings, outside of junior subordinated debt, consisted of the following at the dates indicated:</w:t>
      </w:r>
    </w:p>
    <w:tbl>
      <w:tblPr>
        <w:tblW w:w="9001" w:type="dxa"/>
        <w:jc w:val="left"/>
        <w:tblInd w:w="0" w:type="dxa"/>
        <w:tblLayout w:type="fixed"/>
        <w:tblCellMar>
          <w:top w:w="28" w:type="dxa"/>
          <w:left w:w="28" w:type="dxa"/>
          <w:bottom w:w="28" w:type="dxa"/>
          <w:right w:w="28" w:type="dxa"/>
        </w:tblCellMar>
      </w:tblPr>
      <w:tblGrid>
        <w:gridCol w:w="745"/>
        <w:gridCol w:w="653"/>
        <w:gridCol w:w="657"/>
        <w:gridCol w:w="196"/>
        <w:gridCol w:w="736"/>
        <w:gridCol w:w="109"/>
        <w:gridCol w:w="109"/>
        <w:gridCol w:w="109"/>
        <w:gridCol w:w="109"/>
        <w:gridCol w:w="440"/>
        <w:gridCol w:w="440"/>
        <w:gridCol w:w="1039"/>
        <w:gridCol w:w="109"/>
        <w:gridCol w:w="109"/>
        <w:gridCol w:w="109"/>
        <w:gridCol w:w="196"/>
        <w:gridCol w:w="736"/>
        <w:gridCol w:w="109"/>
        <w:gridCol w:w="109"/>
        <w:gridCol w:w="109"/>
        <w:gridCol w:w="109"/>
        <w:gridCol w:w="412"/>
        <w:gridCol w:w="412"/>
        <w:gridCol w:w="1140"/>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Rate</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FRB advances (short-term)</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erif" w:hAnsi="Times New Roman;serif"/>
          <w:b w:val="false"/>
          <w:color w:val="000000"/>
          <w:sz w:val="18"/>
        </w:rPr>
        <w:t xml:space="preserve">All qualifying one-to-four family loans, HELOCs, commercial real estate loans, multifamily loans and FHLB of Atlanta stock are pledged as collateral to secure outstanding FHLB advances while commercial construction loans, indirect auto loans, and equipment and municipal leases are pledged as collateral to secure outstanding FRB advances. At June 30, 2026 and </w:t>
      </w:r>
      <w:r>
        <w:rPr>
          <w:rFonts w:ascii="Times New Roman;serif" w:hAnsi="Times New Roman;serif"/>
          <w:b w:val="false"/>
          <w:color w:val="000000"/>
          <w:sz w:val="18"/>
          <w:shd w:fill="FFFFFF" w:val="clear"/>
        </w:rPr>
        <w:t>December 31, 2025</w:t>
      </w:r>
      <w:r>
        <w:rPr>
          <w:rFonts w:ascii="Times New Roman;serif" w:hAnsi="Times New Roman;serif"/>
          <w:b w:val="false"/>
          <w:color w:val="000000"/>
          <w:sz w:val="18"/>
        </w:rPr>
        <w:t>, the Company had the ability to borrow $373,387 and $355,296, respectively, through additional FHLB advances and $30,618 and $66,347, respectively, through the unused portion of a line of credit with the FRB.</w:t>
      </w:r>
    </w:p>
    <w:p>
      <w:pPr>
        <w:pStyle w:val="TextBody"/>
        <w:bidi w:val="0"/>
        <w:spacing w:lineRule="auto" w:line="288" w:before="0" w:after="160"/>
        <w:jc w:val="both"/>
        <w:rPr/>
      </w:pPr>
      <w:r>
        <w:rPr>
          <w:rFonts w:ascii="Times New Roman;serif" w:hAnsi="Times New Roman;serif"/>
          <w:b w:val="false"/>
          <w:color w:val="000000"/>
          <w:sz w:val="18"/>
        </w:rPr>
        <w:t xml:space="preserve">At June 30, 2026 and </w:t>
      </w:r>
      <w:r>
        <w:rPr>
          <w:rFonts w:ascii="Times New Roman;serif" w:hAnsi="Times New Roman;serif"/>
          <w:b w:val="false"/>
          <w:color w:val="000000"/>
          <w:sz w:val="18"/>
          <w:shd w:fill="FFFFFF" w:val="clear"/>
        </w:rPr>
        <w:t>December 31</w:t>
      </w:r>
      <w:r>
        <w:rPr>
          <w:rFonts w:ascii="Times New Roman;serif" w:hAnsi="Times New Roman;serif"/>
          <w:b w:val="false"/>
          <w:color w:val="000000"/>
          <w:sz w:val="18"/>
        </w:rPr>
        <w:t>, 2025</w:t>
      </w:r>
      <w:r>
        <w:rPr>
          <w:rFonts w:ascii="Times New Roman;serif" w:hAnsi="Times New Roman;serif"/>
          <w:b w:val="false"/>
          <w:color w:val="000000"/>
          <w:sz w:val="18"/>
          <w:shd w:fill="FFFFFF" w:val="clear"/>
        </w:rPr>
        <w:t>, the Company maintai</w:t>
      </w:r>
      <w:r>
        <w:rPr>
          <w:rFonts w:ascii="Times New Roman;serif" w:hAnsi="Times New Roman;serif"/>
          <w:b w:val="false"/>
          <w:color w:val="000000"/>
          <w:sz w:val="18"/>
        </w:rPr>
        <w:t>ned revolving lines of credit with four unaffiliated banks which totaled $135,000 and $165,000, respectively. At both dates, the aggregate outstanding balance on the revolving lines of credit was $0.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erif" w:hAnsi="Times New Roman;serif"/>
          <w:b/>
          <w:color w:val="000000"/>
          <w:sz w:val="18"/>
        </w:rPr>
        <w:t>8.    </w:t>
      </w:r>
      <w:r>
        <w:rPr>
          <w:rFonts w:ascii="Times New Roman;serif" w:hAnsi="Times New Roman;serif"/>
          <w:b/>
          <w:color w:val="000000"/>
          <w:sz w:val="18"/>
          <w:u w:val="single"/>
        </w:rPr>
        <w:t>Leases</w:t>
      </w:r>
    </w:p>
    <w:p>
      <w:pPr>
        <w:pStyle w:val="TextBody"/>
        <w:bidi w:val="0"/>
        <w:spacing w:lineRule="auto" w:line="288" w:before="0" w:after="40"/>
        <w:jc w:val="both"/>
        <w:rPr>
          <w:rFonts w:ascii="Times New Roman;serif" w:hAnsi="Times New Roman;serif"/>
          <w:b w:val="false"/>
          <w:i/>
          <w:color w:val="000000"/>
          <w:sz w:val="18"/>
        </w:rPr>
      </w:pPr>
      <w:r>
        <w:rPr>
          <w:rFonts w:ascii="Times New Roman;serif" w:hAnsi="Times New Roman;serif"/>
          <w:b w:val="false"/>
          <w:i/>
          <w:color w:val="000000"/>
          <w:sz w:val="18"/>
        </w:rPr>
        <w:t>As Lessee - Operating Leases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 supplemental balance sheet information related to operating leases. ROU assets are included in other assets and lease liabilities are included in other liabilities.</w:t>
      </w:r>
    </w:p>
    <w:tbl>
      <w:tblPr>
        <w:tblW w:w="6580" w:type="dxa"/>
        <w:jc w:val="left"/>
        <w:tblInd w:w="0" w:type="dxa"/>
        <w:tblLayout w:type="fixed"/>
        <w:tblCellMar>
          <w:top w:w="28" w:type="dxa"/>
          <w:left w:w="28" w:type="dxa"/>
          <w:bottom w:w="28" w:type="dxa"/>
          <w:right w:w="28" w:type="dxa"/>
        </w:tblCellMar>
      </w:tblPr>
      <w:tblGrid>
        <w:gridCol w:w="1579"/>
        <w:gridCol w:w="1006"/>
        <w:gridCol w:w="924"/>
        <w:gridCol w:w="224"/>
        <w:gridCol w:w="637"/>
        <w:gridCol w:w="293"/>
        <w:gridCol w:w="109"/>
        <w:gridCol w:w="109"/>
        <w:gridCol w:w="109"/>
        <w:gridCol w:w="296"/>
        <w:gridCol w:w="840"/>
        <w:gridCol w:w="454"/>
      </w:tblGrid>
      <w:tr>
        <w:trPr/>
        <w:tc>
          <w:tcPr>
            <w:tcW w:w="157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terms (years)</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following schedule summarizes aggregate future minimum lease payments under these operating leases at June 30, 2026:</w:t>
      </w:r>
    </w:p>
    <w:tbl>
      <w:tblPr>
        <w:tblW w:w="4205" w:type="dxa"/>
        <w:jc w:val="left"/>
        <w:tblInd w:w="0" w:type="dxa"/>
        <w:tblLayout w:type="fixed"/>
        <w:tblCellMar>
          <w:top w:w="28" w:type="dxa"/>
          <w:left w:w="28" w:type="dxa"/>
          <w:bottom w:w="28" w:type="dxa"/>
          <w:right w:w="28" w:type="dxa"/>
        </w:tblCellMar>
      </w:tblPr>
      <w:tblGrid>
        <w:gridCol w:w="1196"/>
        <w:gridCol w:w="1049"/>
        <w:gridCol w:w="1054"/>
        <w:gridCol w:w="196"/>
        <w:gridCol w:w="55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undiscounted minimum lease payments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 representing interest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lease liability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components of operating lease expense for the periods indicated:</w:t>
      </w:r>
    </w:p>
    <w:tbl>
      <w:tblPr>
        <w:tblW w:w="9244" w:type="dxa"/>
        <w:jc w:val="left"/>
        <w:tblInd w:w="0" w:type="dxa"/>
        <w:tblLayout w:type="fixed"/>
        <w:tblCellMar>
          <w:top w:w="28" w:type="dxa"/>
          <w:left w:w="28" w:type="dxa"/>
          <w:bottom w:w="28" w:type="dxa"/>
          <w:right w:w="28" w:type="dxa"/>
        </w:tblCellMar>
      </w:tblPr>
      <w:tblGrid>
        <w:gridCol w:w="1519"/>
        <w:gridCol w:w="1336"/>
        <w:gridCol w:w="1345"/>
        <w:gridCol w:w="269"/>
        <w:gridCol w:w="578"/>
        <w:gridCol w:w="149"/>
        <w:gridCol w:w="149"/>
        <w:gridCol w:w="149"/>
        <w:gridCol w:w="149"/>
        <w:gridCol w:w="269"/>
        <w:gridCol w:w="578"/>
        <w:gridCol w:w="149"/>
        <w:gridCol w:w="109"/>
        <w:gridCol w:w="109"/>
        <w:gridCol w:w="109"/>
        <w:gridCol w:w="245"/>
        <w:gridCol w:w="526"/>
        <w:gridCol w:w="136"/>
        <w:gridCol w:w="136"/>
        <w:gridCol w:w="136"/>
        <w:gridCol w:w="136"/>
        <w:gridCol w:w="245"/>
        <w:gridCol w:w="526"/>
        <w:gridCol w:w="192"/>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lease cost (included in occupancy expense, net)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Variable lease cost (included in occupancy expense, net)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Sublease income (included in other noninterest income)</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lease expense, net</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supplemental operating lease cash flow information for the periods indicated:</w:t>
      </w:r>
    </w:p>
    <w:tbl>
      <w:tblPr>
        <w:tblW w:w="7317" w:type="dxa"/>
        <w:jc w:val="left"/>
        <w:tblInd w:w="0" w:type="dxa"/>
        <w:tblLayout w:type="fixed"/>
        <w:tblCellMar>
          <w:top w:w="28" w:type="dxa"/>
          <w:left w:w="28" w:type="dxa"/>
          <w:bottom w:w="28" w:type="dxa"/>
          <w:right w:w="28" w:type="dxa"/>
        </w:tblCellMar>
      </w:tblPr>
      <w:tblGrid>
        <w:gridCol w:w="1828"/>
        <w:gridCol w:w="1603"/>
        <w:gridCol w:w="1609"/>
        <w:gridCol w:w="247"/>
        <w:gridCol w:w="511"/>
        <w:gridCol w:w="137"/>
        <w:gridCol w:w="137"/>
        <w:gridCol w:w="137"/>
        <w:gridCol w:w="137"/>
        <w:gridCol w:w="247"/>
        <w:gridCol w:w="530"/>
        <w:gridCol w:w="194"/>
      </w:tblGrid>
      <w:tr>
        <w:trPr/>
        <w:tc>
          <w:tcPr>
            <w:tcW w:w="182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ROU assets - noncash additions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i/>
          <w:color w:val="000000"/>
          <w:sz w:val="18"/>
        </w:rPr>
      </w:pPr>
      <w:r>
        <w:rPr>
          <w:rFonts w:ascii="Times New Roman;serif" w:hAnsi="Times New Roman;serif"/>
          <w:b w:val="false"/>
          <w:i/>
          <w:color w:val="000000"/>
          <w:sz w:val="18"/>
        </w:rPr>
        <w:t>As Lessor - General</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pStyle w:val="TextBody"/>
        <w:bidi w:val="0"/>
        <w:spacing w:lineRule="auto" w:line="288" w:before="0" w:after="40"/>
        <w:jc w:val="both"/>
        <w:rPr>
          <w:rFonts w:ascii="Times New Roman;serif" w:hAnsi="Times New Roman;serif"/>
          <w:b w:val="false"/>
          <w:i/>
          <w:color w:val="000000"/>
          <w:sz w:val="18"/>
        </w:rPr>
      </w:pPr>
      <w:r>
        <w:rPr>
          <w:rFonts w:ascii="Times New Roman;serif" w:hAnsi="Times New Roman;serif"/>
          <w:b w:val="false"/>
          <w:i/>
          <w:color w:val="000000"/>
          <w:sz w:val="18"/>
        </w:rPr>
        <w:t>As Lessor - Operating Leases</w:t>
      </w:r>
    </w:p>
    <w:p>
      <w:pPr>
        <w:pStyle w:val="TextBody"/>
        <w:bidi w:val="0"/>
        <w:spacing w:lineRule="auto" w:line="288" w:before="0" w:after="80"/>
        <w:jc w:val="both"/>
        <w:rPr/>
      </w:pPr>
      <w:r>
        <w:rPr>
          <w:rFonts w:ascii="Times New Roman;serif" w:hAnsi="Times New Roman;serif"/>
          <w:b w:val="false"/>
          <w:color w:val="000000"/>
          <w:sz w:val="18"/>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$19,917 and $25,415 with a residual value of $10,686 and $13,167 as of June 30, 2026 and December 31</w:t>
      </w:r>
      <w:r>
        <w:rPr>
          <w:rFonts w:ascii="Times New Roman;serif" w:hAnsi="Times New Roman;serif"/>
          <w:b w:val="false"/>
          <w:color w:val="000000"/>
          <w:sz w:val="18"/>
          <w:shd w:fill="FFFFFF" w:val="clear"/>
        </w:rPr>
        <w:t>, 2025</w:t>
      </w:r>
      <w:r>
        <w:rPr>
          <w:rFonts w:ascii="Times New Roman;serif" w:hAnsi="Times New Roman;serif"/>
          <w:b w:val="false"/>
          <w:color w:val="000000"/>
          <w:sz w:val="18"/>
        </w:rPr>
        <w:t xml:space="preserve">, respectively. </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The following schedule summarizes, as of June 30, 2026, aggregate future minimum lease payments to be received:</w:t>
      </w:r>
    </w:p>
    <w:tbl>
      <w:tblPr>
        <w:tblW w:w="3831" w:type="dxa"/>
        <w:jc w:val="left"/>
        <w:tblInd w:w="0" w:type="dxa"/>
        <w:tblLayout w:type="fixed"/>
        <w:tblCellMar>
          <w:top w:w="28" w:type="dxa"/>
          <w:left w:w="28" w:type="dxa"/>
          <w:bottom w:w="28" w:type="dxa"/>
          <w:right w:w="28" w:type="dxa"/>
        </w:tblCellMar>
      </w:tblPr>
      <w:tblGrid>
        <w:gridCol w:w="1028"/>
        <w:gridCol w:w="902"/>
        <w:gridCol w:w="905"/>
        <w:gridCol w:w="196"/>
        <w:gridCol w:w="646"/>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of future minimum payments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i/>
          <w:color w:val="000000"/>
          <w:sz w:val="18"/>
        </w:rPr>
      </w:pPr>
      <w:r>
        <w:rPr>
          <w:rFonts w:ascii="Times New Roman;serif" w:hAnsi="Times New Roman;serif"/>
          <w:b w:val="false"/>
          <w:i/>
          <w:color w:val="000000"/>
          <w:sz w:val="18"/>
        </w:rPr>
        <w:t>As Lessor - Financing Leases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 xml:space="preserve">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June 30, 2026 and 2025, interest income on equipment finance leases totaled $1,481 and $1,283, respectively. For the six months ended June 30, 2026 and 2025, interest income on equipment finance leases totaled $2,980 and $2,501, respectively. </w:t>
      </w:r>
    </w:p>
    <w:p>
      <w:pPr>
        <w:pStyle w:val="TextBody"/>
        <w:bidi w:val="0"/>
        <w:spacing w:lineRule="auto" w:line="288" w:before="0" w:after="80"/>
        <w:jc w:val="both"/>
        <w:rPr/>
      </w:pPr>
      <w:r>
        <w:rPr>
          <w:rFonts w:ascii="Times New Roman;serif" w:hAnsi="Times New Roman;serif"/>
          <w:b w:val="false"/>
          <w:color w:val="000000"/>
          <w:sz w:val="18"/>
        </w:rPr>
        <w:t>The lease receivable component of finance lease net investment included within the equipment finance class of financing receivables was $78,144 and $82,305 at June 30, 2026 and December 31</w:t>
      </w:r>
      <w:r>
        <w:rPr>
          <w:rFonts w:ascii="Times New Roman;serif" w:hAnsi="Times New Roman;serif"/>
          <w:b w:val="false"/>
          <w:color w:val="000000"/>
          <w:sz w:val="18"/>
          <w:shd w:fill="FFFFFF" w:val="clear"/>
        </w:rPr>
        <w:t>, 2025</w:t>
      </w:r>
      <w:r>
        <w:rPr>
          <w:rFonts w:ascii="Times New Roman;serif" w:hAnsi="Times New Roman;serif"/>
          <w:b w:val="false"/>
          <w:color w:val="000000"/>
          <w:sz w:val="18"/>
        </w:rPr>
        <w:t>, respectively.</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The following schedule summarizes, as of June 30, 2026, aggregate future minimum finance lease payments to be received:</w:t>
      </w:r>
    </w:p>
    <w:tbl>
      <w:tblPr>
        <w:tblW w:w="4295" w:type="dxa"/>
        <w:jc w:val="left"/>
        <w:tblInd w:w="0" w:type="dxa"/>
        <w:tblLayout w:type="fixed"/>
        <w:tblCellMar>
          <w:top w:w="28" w:type="dxa"/>
          <w:left w:w="28" w:type="dxa"/>
          <w:bottom w:w="28" w:type="dxa"/>
          <w:right w:w="28" w:type="dxa"/>
        </w:tblCellMar>
      </w:tblPr>
      <w:tblGrid>
        <w:gridCol w:w="1196"/>
        <w:gridCol w:w="1049"/>
        <w:gridCol w:w="1054"/>
        <w:gridCol w:w="196"/>
        <w:gridCol w:w="64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undiscounted minimum lease payments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 representing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lease receivable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erif" w:hAnsi="Times New Roman;serif"/>
          <w:b/>
          <w:color w:val="000000"/>
          <w:sz w:val="18"/>
        </w:rPr>
        <w:t>9.    </w:t>
      </w:r>
      <w:r>
        <w:rPr>
          <w:rFonts w:ascii="Times New Roman;serif" w:hAnsi="Times New Roman;serif"/>
          <w:b/>
          <w:color w:val="000000"/>
          <w:sz w:val="18"/>
          <w:u w:val="single"/>
        </w:rPr>
        <w:t>Equity Incentive Plan</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provides for the same types of awards as described under the 2013 Omnibus Incentive Plan. Going forward, any future grants will be made under this plan.</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table below presents share-based compensation expense and the estimated related tax benefit for stock options and restricted stock for the periods indicated:</w:t>
      </w:r>
    </w:p>
    <w:tbl>
      <w:tblPr>
        <w:tblW w:w="7667" w:type="dxa"/>
        <w:jc w:val="left"/>
        <w:tblInd w:w="0" w:type="dxa"/>
        <w:tblLayout w:type="fixed"/>
        <w:tblCellMar>
          <w:top w:w="28" w:type="dxa"/>
          <w:left w:w="28" w:type="dxa"/>
          <w:bottom w:w="28" w:type="dxa"/>
          <w:right w:w="28" w:type="dxa"/>
        </w:tblCellMar>
      </w:tblPr>
      <w:tblGrid>
        <w:gridCol w:w="951"/>
        <w:gridCol w:w="836"/>
        <w:gridCol w:w="838"/>
        <w:gridCol w:w="269"/>
        <w:gridCol w:w="578"/>
        <w:gridCol w:w="149"/>
        <w:gridCol w:w="149"/>
        <w:gridCol w:w="149"/>
        <w:gridCol w:w="149"/>
        <w:gridCol w:w="269"/>
        <w:gridCol w:w="578"/>
        <w:gridCol w:w="149"/>
        <w:gridCol w:w="109"/>
        <w:gridCol w:w="109"/>
        <w:gridCol w:w="109"/>
        <w:gridCol w:w="228"/>
        <w:gridCol w:w="647"/>
        <w:gridCol w:w="126"/>
        <w:gridCol w:w="126"/>
        <w:gridCol w:w="126"/>
        <w:gridCol w:w="126"/>
        <w:gridCol w:w="228"/>
        <w:gridCol w:w="490"/>
        <w:gridCol w:w="179"/>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The table below presents stock option activity and related information for the periods indicated below:</w:t>
      </w:r>
    </w:p>
    <w:tbl>
      <w:tblPr>
        <w:tblW w:w="10205" w:type="dxa"/>
        <w:jc w:val="left"/>
        <w:tblInd w:w="0" w:type="dxa"/>
        <w:tblLayout w:type="fixed"/>
        <w:tblCellMar>
          <w:top w:w="28" w:type="dxa"/>
          <w:left w:w="28" w:type="dxa"/>
          <w:bottom w:w="28" w:type="dxa"/>
          <w:right w:w="28" w:type="dxa"/>
        </w:tblCellMar>
      </w:tblPr>
      <w:tblGrid>
        <w:gridCol w:w="1042"/>
        <w:gridCol w:w="913"/>
        <w:gridCol w:w="919"/>
        <w:gridCol w:w="397"/>
        <w:gridCol w:w="399"/>
        <w:gridCol w:w="241"/>
        <w:gridCol w:w="109"/>
        <w:gridCol w:w="109"/>
        <w:gridCol w:w="109"/>
        <w:gridCol w:w="541"/>
        <w:gridCol w:w="1539"/>
        <w:gridCol w:w="303"/>
        <w:gridCol w:w="109"/>
        <w:gridCol w:w="109"/>
        <w:gridCol w:w="109"/>
        <w:gridCol w:w="664"/>
        <w:gridCol w:w="664"/>
        <w:gridCol w:w="665"/>
        <w:gridCol w:w="109"/>
        <w:gridCol w:w="109"/>
        <w:gridCol w:w="109"/>
        <w:gridCol w:w="201"/>
        <w:gridCol w:w="571"/>
        <w:gridCol w:w="165"/>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Contractual 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 outstanding at December 31, 2024</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413,637 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 outstanding at June 30, 2025</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398,537 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Exercisable at June 30, 2025</w:t>
            </w:r>
          </w:p>
        </w:tc>
        <w:tc>
          <w:tcPr>
            <w:tcW w:w="7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373,157 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25.93 </w:t>
            </w:r>
          </w:p>
        </w:tc>
        <w:tc>
          <w:tcPr>
            <w:tcW w:w="3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4,285 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Non-vested at June 30, 2025</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 outstanding at December 31, 2025</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Options outstanding at June 30, 2026</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Exercisable at June 30, 2026</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219,587 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5,171 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Non-vested at June 30, 2026</w:t>
            </w:r>
          </w:p>
        </w:tc>
        <w:tc>
          <w:tcPr>
            <w:tcW w:w="79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9,080 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30.34 </w:t>
            </w:r>
          </w:p>
        </w:tc>
        <w:tc>
          <w:tcPr>
            <w:tcW w:w="3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There were no options granted during the six months ended June 30, 2026 or 2025.</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At June 30, 2026, the Company had $48 of unrecognized compensation expense related to 9,080 stock options originally scheduled to vest over a five-year period. The weighted average period over which compensation cost related to non-vested awards is expected to be recognized was 0.6 years at June 30, 2026. At June 30, 2025, the Company had $156 of unrecognized compensation expense related to 25,380 stock options originally scheduled to vest over a five-year period. The weighted average period over which compensation cost related to non-vested awards is expected to be recognized was 0.9 years at June 30, 2025.</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table below presents restricted stock award activity and related information:</w:t>
      </w:r>
    </w:p>
    <w:tbl>
      <w:tblPr>
        <w:tblW w:w="9744" w:type="dxa"/>
        <w:jc w:val="left"/>
        <w:tblInd w:w="0" w:type="dxa"/>
        <w:tblLayout w:type="fixed"/>
        <w:tblCellMar>
          <w:top w:w="28" w:type="dxa"/>
          <w:left w:w="28" w:type="dxa"/>
          <w:bottom w:w="28" w:type="dxa"/>
          <w:right w:w="28" w:type="dxa"/>
        </w:tblCellMar>
      </w:tblPr>
      <w:tblGrid>
        <w:gridCol w:w="967"/>
        <w:gridCol w:w="849"/>
        <w:gridCol w:w="854"/>
        <w:gridCol w:w="449"/>
        <w:gridCol w:w="449"/>
        <w:gridCol w:w="451"/>
        <w:gridCol w:w="109"/>
        <w:gridCol w:w="109"/>
        <w:gridCol w:w="109"/>
        <w:gridCol w:w="809"/>
        <w:gridCol w:w="809"/>
        <w:gridCol w:w="811"/>
        <w:gridCol w:w="109"/>
        <w:gridCol w:w="109"/>
        <w:gridCol w:w="109"/>
        <w:gridCol w:w="300"/>
        <w:gridCol w:w="851"/>
        <w:gridCol w:w="168"/>
        <w:gridCol w:w="109"/>
        <w:gridCol w:w="109"/>
        <w:gridCol w:w="109"/>
        <w:gridCol w:w="196"/>
        <w:gridCol w:w="64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Restricted</w:t>
            </w:r>
          </w:p>
          <w:p>
            <w:pPr>
              <w:pStyle w:val="TableContents"/>
              <w:bidi w:val="0"/>
              <w:spacing w:lineRule="auto" w:line="240" w:before="0" w:after="0"/>
              <w:jc w:val="center"/>
              <w:rPr/>
            </w:pPr>
            <w:r>
              <w:rPr>
                <w:rFonts w:ascii="Times New Roman;serif" w:hAnsi="Times New Roman;serif"/>
                <w:b/>
                <w:color w:val="000000"/>
                <w:sz w:val="18"/>
              </w:rPr>
              <w:t>Stock Awards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Performance-Based Restricted</w:t>
            </w:r>
          </w:p>
          <w:p>
            <w:pPr>
              <w:pStyle w:val="TableContents"/>
              <w:bidi w:val="0"/>
              <w:spacing w:lineRule="auto" w:line="240" w:before="0" w:after="0"/>
              <w:jc w:val="center"/>
              <w:rPr/>
            </w:pPr>
            <w:r>
              <w:rPr>
                <w:rFonts w:ascii="Times New Roman;serif" w:hAnsi="Times New Roman;serif"/>
                <w:b/>
                <w:color w:val="000000"/>
                <w:sz w:val="18"/>
              </w:rPr>
              <w:t>Stock Units</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Non-vested at December 31, 2024</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138,582 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30,001 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59,329 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15,444 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(50,326)</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Non-vested at June 30, 2025</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143,964 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45,445 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Non-vested at December 31, 2025</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144,964 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31,341 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26,034 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(49,745)</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Non-vested at June 30, 2026</w:t>
            </w:r>
          </w:p>
        </w:tc>
        <w:tc>
          <w:tcPr>
            <w:tcW w:w="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152,808 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57,375 </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(1)Restricted stock awards granted in calendar year 2026 are scheduled to vest over 1.0 year for director awards and 3.0 years for employee awards. All restricted stock awards granted prior to calendar year 2026 are scheduled to vest over 1.0 year for director awards and 5.0 years for employee awards.</w:t>
      </w:r>
    </w:p>
    <w:p>
      <w:pPr>
        <w:pStyle w:val="TextBody"/>
        <w:bidi w:val="0"/>
        <w:spacing w:lineRule="auto" w:line="288" w:before="0" w:after="8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(2)Performance-based restricted stock units are scheduled to vest over 3.0 years assuming the applicable financial goals are met.</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At June 30, 2026, unrecognized compensation expense was $6,308 related to 210,183 shares of restricted stock. The weighted average period over which compensation cost related to non-vested awards is expected to be recognized was 1.7 years at June 30, 2026. At June 30, 2025, unrecognized compensation expense was $4,803 related to 189,409 shares of restricted stock. The weighted average period over which compensation cost related to non-vested awards is expected to be recognized was 1.8 years at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40"/>
        <w:ind w:left="0" w:right="0" w:hanging="270"/>
        <w:jc w:val="left"/>
        <w:rPr/>
      </w:pPr>
      <w:r>
        <w:rPr>
          <w:rFonts w:ascii="Times New Roman;serif" w:hAnsi="Times New Roman;serif"/>
          <w:b/>
          <w:color w:val="000000"/>
          <w:sz w:val="18"/>
        </w:rPr>
        <w:t>10.    </w:t>
      </w:r>
      <w:r>
        <w:rPr>
          <w:rFonts w:ascii="Times New Roman;serif" w:hAnsi="Times New Roman;serif"/>
          <w:b/>
          <w:color w:val="000000"/>
          <w:sz w:val="18"/>
          <w:u w:val="single"/>
        </w:rPr>
        <w:t>Net Income per Share</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is a reconciliation of the numerator and denominator of basic and diluted net income per share of common stock for the periods indicated:</w:t>
      </w:r>
    </w:p>
    <w:tbl>
      <w:tblPr>
        <w:tblW w:w="10205" w:type="dxa"/>
        <w:jc w:val="left"/>
        <w:tblInd w:w="0" w:type="dxa"/>
        <w:tblLayout w:type="fixed"/>
        <w:tblCellMar>
          <w:top w:w="28" w:type="dxa"/>
          <w:left w:w="28" w:type="dxa"/>
          <w:bottom w:w="28" w:type="dxa"/>
          <w:right w:w="28" w:type="dxa"/>
        </w:tblCellMar>
      </w:tblPr>
      <w:tblGrid>
        <w:gridCol w:w="1824"/>
        <w:gridCol w:w="1511"/>
        <w:gridCol w:w="1526"/>
        <w:gridCol w:w="223"/>
        <w:gridCol w:w="738"/>
        <w:gridCol w:w="116"/>
        <w:gridCol w:w="116"/>
        <w:gridCol w:w="116"/>
        <w:gridCol w:w="116"/>
        <w:gridCol w:w="223"/>
        <w:gridCol w:w="738"/>
        <w:gridCol w:w="116"/>
        <w:gridCol w:w="109"/>
        <w:gridCol w:w="109"/>
        <w:gridCol w:w="109"/>
        <w:gridCol w:w="223"/>
        <w:gridCol w:w="738"/>
        <w:gridCol w:w="109"/>
        <w:gridCol w:w="109"/>
        <w:gridCol w:w="109"/>
        <w:gridCol w:w="109"/>
        <w:gridCol w:w="223"/>
        <w:gridCol w:w="738"/>
        <w:gridCol w:w="157"/>
      </w:tblGrid>
      <w:tr>
        <w:trPr/>
        <w:tc>
          <w:tcPr>
            <w:tcW w:w="182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Allocation of earnings to participating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 for basic and diluted EPS - net income available to common stockholders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16,311,782 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17,006,141 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17,008,699 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assumed 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16,423,442 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17,106,448 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16,569,902 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17,109,842 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 basic</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 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Potential dilutive shares are excluded from the computation of earnings per share if their effect is anti-dilutive. There were no stock options that were anti-dilutive as of June 30,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erif" w:hAnsi="Times New Roman;serif"/>
          <w:b/>
          <w:color w:val="000000"/>
          <w:sz w:val="18"/>
        </w:rPr>
        <w:t>11.    </w:t>
      </w:r>
      <w:r>
        <w:rPr>
          <w:rFonts w:ascii="Times New Roman;serif" w:hAnsi="Times New Roman;serif"/>
          <w:b/>
          <w:color w:val="000000"/>
          <w:sz w:val="18"/>
          <w:u w:val="single"/>
        </w:rPr>
        <w:t>Commitments and Contingencies</w:t>
      </w:r>
    </w:p>
    <w:p>
      <w:pPr>
        <w:pStyle w:val="TextBody"/>
        <w:bidi w:val="0"/>
        <w:spacing w:lineRule="auto" w:line="288" w:before="0" w:after="80"/>
        <w:jc w:val="both"/>
        <w:rPr/>
      </w:pPr>
      <w:r>
        <w:rPr>
          <w:rFonts w:ascii="Times New Roman;serif" w:hAnsi="Times New Roman;serif"/>
          <w:b w:val="false"/>
          <w:color w:val="000000"/>
          <w:sz w:val="18"/>
          <w:u w:val="single"/>
        </w:rPr>
        <w:t>Loan Commitments</w:t>
      </w:r>
      <w:r>
        <w:rPr>
          <w:color w:val="000000"/>
        </w:rPr>
        <w:t xml:space="preserve"> – </w:t>
      </w:r>
      <w:r>
        <w:rPr>
          <w:rFonts w:ascii="Times New Roman;serif" w:hAnsi="Times New Roman;serif"/>
          <w:b w:val="false"/>
          <w:color w:val="000000"/>
          <w:sz w:val="18"/>
        </w:rPr>
        <w:t>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table below presents details of loan commitments outstanding as of the dates indicated:</w:t>
      </w:r>
    </w:p>
    <w:tbl>
      <w:tblPr>
        <w:tblW w:w="6447" w:type="dxa"/>
        <w:jc w:val="left"/>
        <w:tblInd w:w="0" w:type="dxa"/>
        <w:tblLayout w:type="fixed"/>
        <w:tblCellMar>
          <w:top w:w="28" w:type="dxa"/>
          <w:left w:w="28" w:type="dxa"/>
          <w:bottom w:w="28" w:type="dxa"/>
          <w:right w:w="28" w:type="dxa"/>
        </w:tblCellMar>
      </w:tblPr>
      <w:tblGrid>
        <w:gridCol w:w="1157"/>
        <w:gridCol w:w="1015"/>
        <w:gridCol w:w="1023"/>
        <w:gridCol w:w="251"/>
        <w:gridCol w:w="945"/>
        <w:gridCol w:w="139"/>
        <w:gridCol w:w="109"/>
        <w:gridCol w:w="109"/>
        <w:gridCol w:w="109"/>
        <w:gridCol w:w="287"/>
        <w:gridCol w:w="1078"/>
        <w:gridCol w:w="225"/>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Variable rate commitments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Fixed rate commitments</w:t>
            </w:r>
            <w:r>
              <w:rPr>
                <w:rFonts w:ascii="Times New Roman;serif" w:hAnsi="Times New Roman;serif"/>
                <w:b w:val="false"/>
                <w:color w:val="000000"/>
                <w:sz w:val="12"/>
              </w:rPr>
              <w:t>(1)</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 commitments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71,888 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121,975 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Range of fixed interest rates</w:t>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2.00% - 12.85%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4.12% - 9.75%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8"/>
              </w:rPr>
            </w:pPr>
            <w:r>
              <w:rPr>
                <w:rFonts w:ascii="Times New Roman;serif" w:hAnsi="Times New Roman;serif"/>
                <w:b w:val="false"/>
                <w:color w:val="000000"/>
                <w:sz w:val="18"/>
              </w:rPr>
              <w:t>Undisbursed portions of construction loans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Pre-approved but unused lines of credit</w:t>
            </w:r>
            <w:r>
              <w:rPr>
                <w:rFonts w:ascii="Times New Roman;serif" w:hAnsi="Times New Roman;serif"/>
                <w:b w:val="false"/>
                <w:color w:val="000000"/>
                <w:sz w:val="12"/>
              </w:rPr>
              <w:t>(2)</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(1)Fixed rate commitments had terms ranging from three to 30 years as of each date presented.</w:t>
      </w:r>
    </w:p>
    <w:p>
      <w:pPr>
        <w:pStyle w:val="TextBody"/>
        <w:bidi w:val="0"/>
        <w:spacing w:lineRule="auto" w:line="288" w:before="0" w:after="8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(2)Principally second mortgage home equity loans and overdraft protection loans.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commitments presented in the above table represent the Company’s exposure to credit risk and, in the opinion of management, have no more than the normal lending risk that the Company commits to its borrowers.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June 30, 2026 or December 31, 2025.</w:t>
      </w:r>
    </w:p>
    <w:p>
      <w:pPr>
        <w:pStyle w:val="TextBody"/>
        <w:bidi w:val="0"/>
        <w:spacing w:lineRule="auto" w:line="288" w:before="0" w:after="60"/>
        <w:jc w:val="both"/>
        <w:rPr/>
      </w:pPr>
      <w:r>
        <w:rPr>
          <w:rFonts w:ascii="Times New Roman;serif" w:hAnsi="Times New Roman;serif"/>
          <w:b w:val="false"/>
          <w:color w:val="000000"/>
          <w:sz w:val="18"/>
          <w:u w:val="single"/>
        </w:rPr>
        <w:t>Equity Investment Commitments</w:t>
      </w:r>
      <w:r>
        <w:rPr>
          <w:color w:val="000000"/>
        </w:rPr>
        <w:t xml:space="preserve"> – </w:t>
      </w:r>
      <w:r>
        <w:rPr>
          <w:rFonts w:ascii="Times New Roman;serif" w:hAnsi="Times New Roman;serif"/>
          <w:b w:val="false"/>
          <w:color w:val="000000"/>
          <w:sz w:val="18"/>
        </w:rPr>
        <w:t>The Company invests in a variety of equity investments. For investments where the Company's original commitment amount has not been funded in full, the table below summarizes the Company's outstanding commitments:</w:t>
      </w:r>
    </w:p>
    <w:tbl>
      <w:tblPr>
        <w:tblW w:w="10205" w:type="dxa"/>
        <w:jc w:val="left"/>
        <w:tblInd w:w="0" w:type="dxa"/>
        <w:tblLayout w:type="fixed"/>
        <w:tblCellMar>
          <w:top w:w="28" w:type="dxa"/>
          <w:left w:w="28" w:type="dxa"/>
          <w:bottom w:w="28" w:type="dxa"/>
          <w:right w:w="28" w:type="dxa"/>
        </w:tblCellMar>
      </w:tblPr>
      <w:tblGrid>
        <w:gridCol w:w="568"/>
        <w:gridCol w:w="497"/>
        <w:gridCol w:w="504"/>
        <w:gridCol w:w="363"/>
        <w:gridCol w:w="1197"/>
        <w:gridCol w:w="203"/>
        <w:gridCol w:w="109"/>
        <w:gridCol w:w="109"/>
        <w:gridCol w:w="109"/>
        <w:gridCol w:w="419"/>
        <w:gridCol w:w="1384"/>
        <w:gridCol w:w="235"/>
        <w:gridCol w:w="109"/>
        <w:gridCol w:w="109"/>
        <w:gridCol w:w="109"/>
        <w:gridCol w:w="363"/>
        <w:gridCol w:w="1197"/>
        <w:gridCol w:w="203"/>
        <w:gridCol w:w="109"/>
        <w:gridCol w:w="109"/>
        <w:gridCol w:w="109"/>
        <w:gridCol w:w="410"/>
        <w:gridCol w:w="1351"/>
        <w:gridCol w:w="330"/>
      </w:tblGrid>
      <w:tr>
        <w:trPr/>
        <w:tc>
          <w:tcPr>
            <w:tcW w:w="56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Original Commitment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Original Commitment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Commitments</w:t>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Fintech</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Low income housing</w:t>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SBIC</w:t>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Solar tax equity</w:t>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36,000 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13,419 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33,500 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12,985 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Although the remaining capital contributions may or may not be called in the future, under the terms of the associated agreements, the Company's exposure will not extend beyond the amount of the original commitments. The disclosure does not include equity investments where either the Company's capital commitments have been fully funded or the investment is winding down.</w:t>
      </w:r>
    </w:p>
    <w:p>
      <w:pPr>
        <w:pStyle w:val="TextBody"/>
        <w:bidi w:val="0"/>
        <w:spacing w:lineRule="auto" w:line="288" w:before="0" w:after="80"/>
        <w:jc w:val="both"/>
        <w:rPr/>
      </w:pPr>
      <w:r>
        <w:rPr>
          <w:rFonts w:ascii="Times New Roman;serif" w:hAnsi="Times New Roman;serif"/>
          <w:b w:val="false"/>
          <w:color w:val="000000"/>
          <w:sz w:val="18"/>
          <w:u w:val="single"/>
        </w:rPr>
        <w:t>Guarantees</w:t>
      </w:r>
      <w:r>
        <w:rPr>
          <w:color w:val="000000"/>
        </w:rPr>
        <w:t xml:space="preserve"> – </w:t>
      </w:r>
      <w:r>
        <w:rPr>
          <w:rFonts w:ascii="Times New Roman;serif" w:hAnsi="Times New Roman;serif"/>
          <w:b w:val="false"/>
          <w:color w:val="000000"/>
          <w:sz w:val="18"/>
        </w:rPr>
        <w:t>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June 30, 2026 and December 31, 2025 were $52,765 and $55,491, respectively. There was no liability recorded for these letters of credit at June 30, 2026 or December 31, 2025.</w:t>
      </w:r>
    </w:p>
    <w:p>
      <w:pPr>
        <w:pStyle w:val="TextBody"/>
        <w:bidi w:val="0"/>
        <w:spacing w:lineRule="auto" w:line="288" w:before="0" w:after="160"/>
        <w:jc w:val="both"/>
        <w:rPr/>
      </w:pPr>
      <w:r>
        <w:rPr>
          <w:rFonts w:ascii="Times New Roman;serif" w:hAnsi="Times New Roman;serif"/>
          <w:b w:val="false"/>
          <w:color w:val="000000"/>
          <w:sz w:val="18"/>
          <w:u w:val="single"/>
        </w:rPr>
        <w:t>Litigation</w:t>
      </w:r>
      <w:r>
        <w:rPr>
          <w:color w:val="000000"/>
        </w:rPr>
        <w:t xml:space="preserve"> – </w:t>
      </w:r>
      <w:r>
        <w:rPr>
          <w:rFonts w:ascii="Times New Roman;serif" w:hAnsi="Times New Roman;serif"/>
          <w:b w:val="false"/>
          <w:color w:val="000000"/>
          <w:sz w:val="18"/>
        </w:rPr>
        <w:t>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serif" w:hAnsi="Times New Roman;serif"/>
          <w:b/>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270"/>
        <w:jc w:val="left"/>
        <w:rPr/>
      </w:pPr>
      <w:r>
        <w:rPr>
          <w:rFonts w:ascii="Times New Roman;serif" w:hAnsi="Times New Roman;serif"/>
          <w:b/>
          <w:color w:val="000000"/>
          <w:sz w:val="18"/>
        </w:rPr>
        <w:t>12.    </w:t>
      </w:r>
      <w:r>
        <w:rPr>
          <w:rFonts w:ascii="Times New Roman;serif" w:hAnsi="Times New Roman;serif"/>
          <w:b/>
          <w:color w:val="000000"/>
          <w:sz w:val="18"/>
          <w:u w:val="single"/>
        </w:rPr>
        <w:t>Fair Value of Financial Instruments</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pStyle w:val="TextBody"/>
        <w:bidi w:val="0"/>
        <w:spacing w:lineRule="auto" w:line="288" w:before="0" w:after="40"/>
        <w:ind w:left="0" w:right="0" w:hanging="810"/>
        <w:jc w:val="both"/>
        <w:rPr>
          <w:rFonts w:ascii="Times New Roman;serif" w:hAnsi="Times New Roman;serif"/>
          <w:b w:val="false"/>
          <w:color w:val="000000"/>
          <w:sz w:val="18"/>
        </w:rPr>
      </w:pPr>
      <w:r>
        <w:rPr>
          <w:rFonts w:ascii="Times New Roman;serif" w:hAnsi="Times New Roman;serif"/>
          <w:b w:val="false"/>
          <w:color w:val="000000"/>
          <w:sz w:val="18"/>
        </w:rPr>
        <w:t>Level 1:    Quoted prices (unadjusted) for identical assets or liabilities in active markets that the entity has the ability to access as of the measurement date.</w:t>
      </w:r>
    </w:p>
    <w:p>
      <w:pPr>
        <w:pStyle w:val="TextBody"/>
        <w:bidi w:val="0"/>
        <w:spacing w:lineRule="auto" w:line="288" w:before="0" w:after="40"/>
        <w:ind w:left="0" w:right="0" w:hanging="810"/>
        <w:jc w:val="both"/>
        <w:rPr>
          <w:rFonts w:ascii="Times New Roman;serif" w:hAnsi="Times New Roman;serif"/>
          <w:b w:val="false"/>
          <w:color w:val="000000"/>
          <w:sz w:val="18"/>
        </w:rPr>
      </w:pPr>
      <w:r>
        <w:rPr>
          <w:rFonts w:ascii="Times New Roman;serif" w:hAnsi="Times New Roman;serif"/>
          <w:b w:val="false"/>
          <w:color w:val="000000"/>
          <w:sz w:val="18"/>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lineRule="auto" w:line="288" w:before="0" w:after="80"/>
        <w:ind w:left="0" w:right="0" w:hanging="810"/>
        <w:jc w:val="both"/>
        <w:rPr>
          <w:rFonts w:ascii="Times New Roman;serif" w:hAnsi="Times New Roman;serif"/>
          <w:b w:val="false"/>
          <w:color w:val="000000"/>
          <w:sz w:val="18"/>
        </w:rPr>
      </w:pPr>
      <w:r>
        <w:rPr>
          <w:rFonts w:ascii="Times New Roman;serif" w:hAnsi="Times New Roman;serif"/>
          <w:b w:val="false"/>
          <w:color w:val="000000"/>
          <w:sz w:val="18"/>
        </w:rPr>
        <w:t>Level 3:    Significant unobservable inputs that reflect a company's own assumptions about the assumptions that market participants would use in pricing an asset or liability.</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A financial instrument's level within the fair value hierarchy is based on the lowest level of any input that is significant to the fair value measurement. The following is a description of valuation methodologies used for assets recorded at fair value. As of June 30, 2026 and December 31, 2025, the Company did not have any liabilities recorded at fair value.</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methods of determining the fair value of assets and liabilities presented in this note are consistent with the methodologies disclosed in Note 20 of the 2025 Form 10-K.</w:t>
      </w: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Financial Assets Recorded at Fair Value</w:t>
      </w:r>
    </w:p>
    <w:p>
      <w:pPr>
        <w:pStyle w:val="TextBody"/>
        <w:bidi w:val="0"/>
        <w:spacing w:lineRule="auto" w:line="288" w:before="0" w:after="4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financial assets measured at fair value on a recurring basis at the dates indicated:</w:t>
      </w:r>
    </w:p>
    <w:tbl>
      <w:tblPr>
        <w:tblW w:w="7515" w:type="dxa"/>
        <w:jc w:val="left"/>
        <w:tblInd w:w="0" w:type="dxa"/>
        <w:tblLayout w:type="fixed"/>
        <w:tblCellMar>
          <w:top w:w="28" w:type="dxa"/>
          <w:left w:w="28" w:type="dxa"/>
          <w:bottom w:w="28" w:type="dxa"/>
          <w:right w:w="28" w:type="dxa"/>
        </w:tblCellMar>
      </w:tblPr>
      <w:tblGrid>
        <w:gridCol w:w="1080"/>
        <w:gridCol w:w="951"/>
        <w:gridCol w:w="954"/>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96"/>
        <w:gridCol w:w="40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Debt securities available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MBS, 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 securities available for sale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Loans held for sale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tbl>
      <w:tblPr>
        <w:tblW w:w="7515" w:type="dxa"/>
        <w:jc w:val="left"/>
        <w:tblInd w:w="0" w:type="dxa"/>
        <w:tblLayout w:type="fixed"/>
        <w:tblCellMar>
          <w:top w:w="28" w:type="dxa"/>
          <w:left w:w="28" w:type="dxa"/>
          <w:bottom w:w="28" w:type="dxa"/>
          <w:right w:w="28" w:type="dxa"/>
        </w:tblCellMar>
      </w:tblPr>
      <w:tblGrid>
        <w:gridCol w:w="1080"/>
        <w:gridCol w:w="951"/>
        <w:gridCol w:w="954"/>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96"/>
        <w:gridCol w:w="40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Debt securities available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MBS, 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 securities available for sale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Loans held for sale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Loans held for sale carried at fair value are valued at the individual loan level using quoted secondary market prices.</w:t>
      </w:r>
    </w:p>
    <w:p>
      <w:pPr>
        <w:pStyle w:val="TextBody"/>
        <w:bidi w:val="0"/>
        <w:spacing w:lineRule="auto" w:line="288" w:before="0" w:after="80"/>
        <w:jc w:val="left"/>
        <w:rPr>
          <w:rFonts w:ascii="Times New Roman;serif" w:hAnsi="Times New Roman;serif"/>
          <w:b w:val="false"/>
          <w:color w:val="000000"/>
          <w:sz w:val="18"/>
        </w:rPr>
      </w:pPr>
      <w:r>
        <w:rPr>
          <w:rFonts w:ascii="Times New Roman;serif" w:hAnsi="Times New Roman;serif"/>
          <w:b w:val="false"/>
          <w:color w:val="000000"/>
          <w:sz w:val="18"/>
        </w:rPr>
        <w:t>There were no transfers between levels during the six months ended June 30,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financial assets measured at fair value on a non-recurring basis at the dates indicated:</w:t>
      </w:r>
    </w:p>
    <w:tbl>
      <w:tblPr>
        <w:tblW w:w="7244" w:type="dxa"/>
        <w:jc w:val="left"/>
        <w:tblInd w:w="0" w:type="dxa"/>
        <w:tblLayout w:type="fixed"/>
        <w:tblCellMar>
          <w:top w:w="28" w:type="dxa"/>
          <w:left w:w="28" w:type="dxa"/>
          <w:bottom w:w="28" w:type="dxa"/>
          <w:right w:w="28" w:type="dxa"/>
        </w:tblCellMar>
      </w:tblPr>
      <w:tblGrid>
        <w:gridCol w:w="1211"/>
        <w:gridCol w:w="1063"/>
        <w:gridCol w:w="1070"/>
        <w:gridCol w:w="196"/>
        <w:gridCol w:w="421"/>
        <w:gridCol w:w="109"/>
        <w:gridCol w:w="109"/>
        <w:gridCol w:w="109"/>
        <w:gridCol w:w="109"/>
        <w:gridCol w:w="196"/>
        <w:gridCol w:w="406"/>
        <w:gridCol w:w="109"/>
        <w:gridCol w:w="109"/>
        <w:gridCol w:w="109"/>
        <w:gridCol w:w="109"/>
        <w:gridCol w:w="196"/>
        <w:gridCol w:w="406"/>
        <w:gridCol w:w="109"/>
        <w:gridCol w:w="109"/>
        <w:gridCol w:w="109"/>
        <w:gridCol w:w="109"/>
        <w:gridCol w:w="196"/>
        <w:gridCol w:w="42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Collateral dependent loans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 loans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7514" w:type="dxa"/>
        <w:jc w:val="left"/>
        <w:tblInd w:w="0" w:type="dxa"/>
        <w:tblLayout w:type="fixed"/>
        <w:tblCellMar>
          <w:top w:w="28" w:type="dxa"/>
          <w:left w:w="28" w:type="dxa"/>
          <w:bottom w:w="28" w:type="dxa"/>
          <w:right w:w="28" w:type="dxa"/>
        </w:tblCellMar>
      </w:tblPr>
      <w:tblGrid>
        <w:gridCol w:w="1211"/>
        <w:gridCol w:w="1063"/>
        <w:gridCol w:w="1070"/>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Collateral dependent loans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loans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stated carrying value and estimated fair value amounts of financial instruments as of June 30, 2026 and December 31, 2025, are summarized below:</w:t>
      </w:r>
    </w:p>
    <w:tbl>
      <w:tblPr>
        <w:tblW w:w="10205" w:type="dxa"/>
        <w:jc w:val="center"/>
        <w:tblInd w:w="0" w:type="dxa"/>
        <w:tblLayout w:type="fixed"/>
        <w:tblCellMar>
          <w:top w:w="28" w:type="dxa"/>
          <w:left w:w="28" w:type="dxa"/>
          <w:bottom w:w="28" w:type="dxa"/>
          <w:right w:w="28" w:type="dxa"/>
        </w:tblCellMar>
      </w:tblPr>
      <w:tblGrid>
        <w:gridCol w:w="1369"/>
        <w:gridCol w:w="1194"/>
        <w:gridCol w:w="120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82"/>
        <w:gridCol w:w="589"/>
        <w:gridCol w:w="109"/>
        <w:gridCol w:w="109"/>
        <w:gridCol w:w="109"/>
        <w:gridCol w:w="109"/>
        <w:gridCol w:w="282"/>
        <w:gridCol w:w="589"/>
        <w:gridCol w:w="155"/>
      </w:tblGrid>
      <w:tr>
        <w:trPr/>
        <w:tc>
          <w:tcPr>
            <w:tcW w:w="136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 in other banks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the lower of cost or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3,555,865 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and NOW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HOMETRUST BANCSHARES, INC. AND SUBSIDIARY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Notes to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1369"/>
        <w:gridCol w:w="1194"/>
        <w:gridCol w:w="120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82"/>
        <w:gridCol w:w="589"/>
        <w:gridCol w:w="109"/>
        <w:gridCol w:w="109"/>
        <w:gridCol w:w="109"/>
        <w:gridCol w:w="109"/>
        <w:gridCol w:w="282"/>
        <w:gridCol w:w="589"/>
        <w:gridCol w:w="155"/>
      </w:tblGrid>
      <w:tr>
        <w:trPr/>
        <w:tc>
          <w:tcPr>
            <w:tcW w:w="136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 in other banks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the lower of cost or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3,521,272 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and NOW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Company had off-balance sheet financial commitments, which included approximately $1,142,544 and $1,234,381 of commitments to originate loans, undisbursed portions of construction loans, unused lines of credit and standby letters of credit at June 30, 2026 and December 31, 2025, respectively (see "Note 11 – Commitments and Contingencies"). Since these commitments are based on current rates, the carrying amount approximates the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left"/>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Forward-Looking Statements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 xml:space="preserve">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factors that could result in material differentiation include, but are not limited to:</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changes in general economic conditions, both nationally and in our market areas;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the impact of geopolitical instability and trade policies on our operations including the imposition of tariffs and retaliatory tariffs;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effects of natural disasters, other severe weather events, epidemics and other public health issues, and other external events;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changes in interest rate levels and the duration of such changes, whether or not through actions by the Federal Reserve, which could materially affect our net interest margin, funding costs, asset values, and access to capital and liquidity;</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the impact of inflation or a potential recession, including monetary and fiscal policy responses thereto, and the impact on consumer and business behavior;</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the effects of a Federal government shutdown, a debt ceiling standoff, or other fiscal policy uncertainty;</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fluctuations in the demand for loans, the number of unsold homes, land and other properties and fluctuations in real estate values in our market areas;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decreases in the secondary market for the sale of loans that we originate;</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expected revenues, cost savings, synergies and other benefits from our merger and acquisition activities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results of examinations of us by the Federal Reserve, the NCCOB or other regulatory authorities, including the possibility that any such regulatory authority may, among other things, require us to increase our ACL, write-down assets, increase our regulatory capital position or affect our ability to borrow funds or maintain or increase deposits, which could adversely affect our liquidity and earnings;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changes in laws or regulations, changes in regulatory policies and principles or the application or interpretation of laws and regulations by regulatory agencies and tax authorities, including changes in deferred tax asset and liability activity, and the interpretation of regulatory capital or other rules;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the availability of resources to address changes in laws, rules or regulations, or to respond to regulatory actions;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our ability to attract and retain deposits;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our ability to access cost-effective funding and maintain sufficient liquidity;</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management's assumptions in determining the adequacy of the ACL;</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our ability to control operating costs and expenses, including costs associated with our operation as a public company;</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the use of estimates in determining the fair value of certain assets, which estimates may prove to be incorrect and result in significant declines in valuation;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difficulties in reducing risks associated with the loans on our balance sheet;</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staffing fluctuations in response to product demand or the implementation of corporate strategies that affect our workforce and potential associated charges;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 xml:space="preserve">the ability to adapt to rapid technological changes, including advancements in artificial intelligence, digital banking and cybersecurity;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disruptions, security breaches or other adverse events, failures or interruptions in, or attacks on, our information technology systems or on the third-party vendors who perform several of our critical processing functions;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our ability to retain key members of our senior management team;</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costs and effects of litigation, including settlements and judgments;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the impact of bank failures or adverse developments involving other banks and related negative press about the banking industry in general on investor and depositor sentiment;</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increased competitive pressures among financial services companies;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changes in consumer spending, borrowing and savings habits;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adverse changes in the securities markets;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inability of key third-party providers to perform their obligations to us;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changes in accounting principles, policies or guidelines and practices, as may be adopted by the financial institution regulatory agencies, the Public Company Accounting Oversight Board or the FASB;</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18"/>
        </w:rPr>
        <w:t>other economic, competitive, governmental, regulatory and technological factors affecting our operations, pricing, products and services; and</w:t>
      </w:r>
    </w:p>
    <w:p>
      <w:pPr>
        <w:pStyle w:val="TextBody"/>
        <w:bidi w:val="0"/>
        <w:spacing w:lineRule="auto" w:line="288" w:before="0" w:after="80"/>
        <w:ind w:left="0" w:right="0" w:hanging="270"/>
        <w:jc w:val="both"/>
        <w:rPr/>
      </w:pPr>
      <w:r>
        <w:rPr>
          <w:color w:val="000000"/>
        </w:rPr>
        <w:t>•</w:t>
      </w:r>
      <w:r>
        <w:rPr>
          <w:rFonts w:ascii="Times New Roman;serif" w:hAnsi="Times New Roman;serif"/>
          <w:b w:val="false"/>
          <w:color w:val="000000"/>
          <w:sz w:val="18"/>
        </w:rPr>
        <w:t>other risks detailed from time to time in documents we file with or furnish to the SEC, including this Form 10-Q.</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As used throughout this report, the terms “we,” “our,” “us,” “HomeTrust Bancshares” or the “Company” refer to HomeTrust Bancshares, Inc. and its consolidated subsidiaries, including HomeTrust Bank (“HomeTrust” or "Bank")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Overview</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For the quarter ended June 30, 2026 compared to the quarter ended March 31, 2026:</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net income was $15.6 million compared to $16.8 million;</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diluted EPS were $0.94 compared to $0.99;</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annualized ROA was 1.46% compared to 1.55%;</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annualized ROE was 10.44% compared to 11.35%;</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net interest margin was 4.41% compared to 4.31%;</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provision for credit losses was $920,000 compared to $370,000;</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gain on the sale of real estate was $1.1 million compared to $377,000;</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loss on the redemption of junior subordinated debt securities was $1.1 million compared to $0;</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quarterly cash dividends increased $0.02 per share, or 15.4%, to $0.15 per share totaling $2.4 million compared to $0.13 per share totaling $2.2 million; and</w:t>
      </w:r>
    </w:p>
    <w:p>
      <w:pPr>
        <w:pStyle w:val="TextBody"/>
        <w:bidi w:val="0"/>
        <w:spacing w:lineRule="auto" w:line="288" w:before="0" w:after="80"/>
        <w:ind w:left="0" w:right="0" w:hanging="270"/>
        <w:jc w:val="left"/>
        <w:rPr/>
      </w:pPr>
      <w:r>
        <w:rPr>
          <w:color w:val="000000"/>
        </w:rPr>
        <w:t>•</w:t>
      </w:r>
      <w:r>
        <w:rPr>
          <w:rFonts w:ascii="Times New Roman;serif" w:hAnsi="Times New Roman;serif"/>
          <w:b w:val="false"/>
          <w:color w:val="000000"/>
          <w:sz w:val="18"/>
        </w:rPr>
        <w:t>153,606 shares of Company common stock were repurchased during the current quarter at an average price of $46.31 compared to 533,240 shares repurchased at an average price of $42.85 in the prior quarter.</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For the six months ended June 30, 2026 compared to the six months ended June 30, 2025:</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net income was $32.4 million compared to $31.7 million;</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diluted EPS were $1.93 compared to $1.84;</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annualized ROA was 1.51% compared to 1.46%;</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annualized ROE was 10.89% compared to 11.26%;</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net interest margin was 4.36% compared to 4.25%;</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provision for credit losses was $1.3 million compared to $2.8 million;</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18"/>
        </w:rPr>
        <w:t>cash dividends were $0.28 per share totaling $4.6 million compared to $0.24 per share totaling $4.1 million; and</w:t>
      </w:r>
    </w:p>
    <w:p>
      <w:pPr>
        <w:pStyle w:val="TextBody"/>
        <w:bidi w:val="0"/>
        <w:spacing w:lineRule="auto" w:line="288" w:before="0" w:after="80"/>
        <w:ind w:left="0" w:right="0" w:hanging="270"/>
        <w:jc w:val="left"/>
        <w:rPr/>
      </w:pPr>
      <w:r>
        <w:rPr>
          <w:color w:val="000000"/>
        </w:rPr>
        <w:t>•</w:t>
      </w:r>
      <w:r>
        <w:rPr>
          <w:rFonts w:ascii="Times New Roman;serif" w:hAnsi="Times New Roman;serif"/>
          <w:b w:val="false"/>
          <w:color w:val="000000"/>
          <w:sz w:val="18"/>
        </w:rPr>
        <w:t>686,846 shares of Company common stock were repurchased at an average price of $43.62 compared to 93,212 shares of Company common stock repurchased at an average price of $35.41 in the same period last year.</w:t>
      </w:r>
    </w:p>
    <w:tbl>
      <w:tblPr>
        <w:tblW w:w="9731" w:type="dxa"/>
        <w:jc w:val="left"/>
        <w:tblInd w:w="0" w:type="dxa"/>
        <w:tblLayout w:type="fixed"/>
        <w:tblCellMar>
          <w:top w:w="28" w:type="dxa"/>
          <w:left w:w="28" w:type="dxa"/>
          <w:bottom w:w="28" w:type="dxa"/>
          <w:right w:w="28" w:type="dxa"/>
        </w:tblCellMar>
      </w:tblPr>
      <w:tblGrid>
        <w:gridCol w:w="1349"/>
        <w:gridCol w:w="1190"/>
        <w:gridCol w:w="1195"/>
        <w:gridCol w:w="238"/>
        <w:gridCol w:w="785"/>
        <w:gridCol w:w="132"/>
        <w:gridCol w:w="109"/>
        <w:gridCol w:w="109"/>
        <w:gridCol w:w="109"/>
        <w:gridCol w:w="266"/>
        <w:gridCol w:w="876"/>
        <w:gridCol w:w="147"/>
        <w:gridCol w:w="109"/>
        <w:gridCol w:w="109"/>
        <w:gridCol w:w="109"/>
        <w:gridCol w:w="109"/>
        <w:gridCol w:w="109"/>
        <w:gridCol w:w="217"/>
        <w:gridCol w:w="817"/>
        <w:gridCol w:w="121"/>
        <w:gridCol w:w="109"/>
        <w:gridCol w:w="109"/>
        <w:gridCol w:w="109"/>
        <w:gridCol w:w="216"/>
        <w:gridCol w:w="813"/>
        <w:gridCol w:w="170"/>
      </w:tblGrid>
      <w:tr>
        <w:trPr/>
        <w:tc>
          <w:tcPr>
            <w:tcW w:w="134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127,276 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87,136 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credit losses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per common share</w:t>
            </w:r>
            <w:r>
              <w:rPr>
                <w:rFonts w:ascii="Times New Roman;serif" w:hAnsi="Times New Roman;serif"/>
                <w:b w:val="false"/>
                <w:color w:val="000000"/>
                <w:sz w:val="12"/>
              </w:rPr>
              <w:t>(1)</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per common share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 at end of period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Tangible book value per share at end of period</w:t>
            </w:r>
            <w:r>
              <w:rPr>
                <w:rFonts w:ascii="Times New Roman;serif" w:hAnsi="Times New Roman;serif"/>
                <w:b w:val="false"/>
                <w:color w:val="000000"/>
                <w:sz w:val="12"/>
              </w:rPr>
              <w:t>(2)</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price per share at end of period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(1)Basic and diluted net income per common share have been prepared in accordance with the two-class method.</w:t>
      </w:r>
    </w:p>
    <w:p>
      <w:pPr>
        <w:pStyle w:val="TextBody"/>
        <w:bidi w:val="0"/>
        <w:spacing w:lineRule="auto" w:line="288" w:before="0" w:after="12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(2)See Non-GAAP reconciliations below for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Critical Accounting Policies and Estimates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represents our critical accounting policy:</w:t>
      </w:r>
    </w:p>
    <w:p>
      <w:pPr>
        <w:pStyle w:val="TextBody"/>
        <w:bidi w:val="0"/>
        <w:spacing w:lineRule="auto" w:line="288" w:before="0" w:after="80"/>
        <w:jc w:val="both"/>
        <w:rPr/>
      </w:pPr>
      <w:r>
        <w:rPr>
          <w:rFonts w:ascii="Times New Roman;serif" w:hAnsi="Times New Roman;serif"/>
          <w:b/>
          <w:i/>
          <w:color w:val="000000"/>
          <w:sz w:val="18"/>
        </w:rPr>
        <w:t>Allowance for Credit Losses, or ACL, on Loans.</w:t>
      </w:r>
      <w:r>
        <w:rPr>
          <w:color w:val="000000"/>
        </w:rPr>
        <w:t> </w:t>
      </w:r>
      <w:r>
        <w:rPr>
          <w:rFonts w:ascii="Times New Roman;serif" w:hAnsi="Times New Roman;serif"/>
          <w:b w:val="false"/>
          <w:color w:val="000000"/>
          <w:sz w:val="18"/>
        </w:rPr>
        <w:t xml:space="preserve">The ACL on loans held for investment reflects our estimate of credit losses that will result from the inability of our borrowers to make required loan payments. We charge off loans against the ACL and subsequent recoveries, if any, increase the ACL when they are recognized. We use a systematic methodology to determine our ACL for loans held for investment and certain off-balance sheet credit exposures. The ACL on loans held for investment is a valuation account that is deducted from the amortized cost basis to present the net amount expected to be collected on the loan portfolio. The estimate of our ACL on loans held for investment involves a high degree of judgment including consideration of the effects of past events, current conditions and reasonable and supportable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forecasts on the collectability of the loan portfolio. We recognize in net income the amount needed to adjust the ACL on loans held for investment and certain off-balance sheet credit exposures for management’s current estimate of ECLs. Our ACL on loans held for investment is calculated using collectively evaluated and individually evaluated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left"/>
        <w:rPr>
          <w:rFonts w:ascii="Times New Roman;serif" w:hAnsi="Times New Roman;serif"/>
          <w:b/>
          <w:color w:val="000000"/>
          <w:sz w:val="18"/>
        </w:rPr>
      </w:pPr>
      <w:r>
        <w:rPr>
          <w:rFonts w:ascii="Times New Roman;serif" w:hAnsi="Times New Roman;serif"/>
          <w:b/>
          <w:color w:val="000000"/>
          <w:sz w:val="18"/>
        </w:rPr>
        <w:t>GAAP Reconciliation of Non-GAAP Financial Measures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Set forth below is a reconciliation to US GAAP of tangible book value and tangible book value per share:</w:t>
      </w:r>
    </w:p>
    <w:tbl>
      <w:tblPr>
        <w:tblW w:w="9323" w:type="dxa"/>
        <w:jc w:val="left"/>
        <w:tblInd w:w="0" w:type="dxa"/>
        <w:tblLayout w:type="fixed"/>
        <w:tblCellMar>
          <w:top w:w="28" w:type="dxa"/>
          <w:left w:w="28" w:type="dxa"/>
          <w:bottom w:w="28" w:type="dxa"/>
          <w:right w:w="28" w:type="dxa"/>
        </w:tblCellMar>
      </w:tblPr>
      <w:tblGrid>
        <w:gridCol w:w="1386"/>
        <w:gridCol w:w="1218"/>
        <w:gridCol w:w="1221"/>
        <w:gridCol w:w="217"/>
        <w:gridCol w:w="817"/>
        <w:gridCol w:w="121"/>
        <w:gridCol w:w="109"/>
        <w:gridCol w:w="109"/>
        <w:gridCol w:w="109"/>
        <w:gridCol w:w="243"/>
        <w:gridCol w:w="912"/>
        <w:gridCol w:w="135"/>
        <w:gridCol w:w="109"/>
        <w:gridCol w:w="109"/>
        <w:gridCol w:w="109"/>
        <w:gridCol w:w="217"/>
        <w:gridCol w:w="817"/>
        <w:gridCol w:w="121"/>
        <w:gridCol w:w="109"/>
        <w:gridCol w:w="109"/>
        <w:gridCol w:w="109"/>
        <w:gridCol w:w="109"/>
        <w:gridCol w:w="109"/>
        <w:gridCol w:w="109"/>
        <w:gridCol w:w="109"/>
        <w:gridCol w:w="109"/>
        <w:gridCol w:w="109"/>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 except per share data)</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592,407 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579,274 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goodwill, core deposit intangibles, net of taxes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book value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554,851 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outstanding</w:t>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16,727,821 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16,803,185 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17,492,143 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book value per share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Set forth below is a reconciliation to GAAP of tangible equity to tangible assets:</w:t>
      </w:r>
    </w:p>
    <w:tbl>
      <w:tblPr>
        <w:tblW w:w="8601" w:type="dxa"/>
        <w:jc w:val="left"/>
        <w:tblInd w:w="0" w:type="dxa"/>
        <w:tblLayout w:type="fixed"/>
        <w:tblCellMar>
          <w:top w:w="28" w:type="dxa"/>
          <w:left w:w="28" w:type="dxa"/>
          <w:bottom w:w="28" w:type="dxa"/>
          <w:right w:w="28" w:type="dxa"/>
        </w:tblCellMar>
      </w:tblPr>
      <w:tblGrid>
        <w:gridCol w:w="1382"/>
        <w:gridCol w:w="1219"/>
        <w:gridCol w:w="1223"/>
        <w:gridCol w:w="196"/>
        <w:gridCol w:w="871"/>
        <w:gridCol w:w="109"/>
        <w:gridCol w:w="109"/>
        <w:gridCol w:w="109"/>
        <w:gridCol w:w="109"/>
        <w:gridCol w:w="215"/>
        <w:gridCol w:w="956"/>
        <w:gridCol w:w="119"/>
        <w:gridCol w:w="109"/>
        <w:gridCol w:w="109"/>
        <w:gridCol w:w="109"/>
        <w:gridCol w:w="196"/>
        <w:gridCol w:w="871"/>
        <w:gridCol w:w="109"/>
        <w:gridCol w:w="109"/>
        <w:gridCol w:w="109"/>
        <w:gridCol w:w="109"/>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481" w:type="dxa"/>
            <w:gridSpan w:val="4"/>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Tangible equity</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554,851 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4,386,341 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goodwill, core deposit intangibles, net of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tangible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4,348,785 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358" w:type="dxa"/>
        <w:jc w:val="left"/>
        <w:tblInd w:w="0" w:type="dxa"/>
        <w:tblLayout w:type="fixed"/>
        <w:tblCellMar>
          <w:top w:w="28" w:type="dxa"/>
          <w:left w:w="28" w:type="dxa"/>
          <w:bottom w:w="28" w:type="dxa"/>
          <w:right w:w="28" w:type="dxa"/>
        </w:tblCellMar>
      </w:tblPr>
      <w:tblGrid>
        <w:gridCol w:w="889"/>
        <w:gridCol w:w="782"/>
        <w:gridCol w:w="789"/>
        <w:gridCol w:w="278"/>
        <w:gridCol w:w="278"/>
        <w:gridCol w:w="256"/>
        <w:gridCol w:w="109"/>
        <w:gridCol w:w="109"/>
        <w:gridCol w:w="109"/>
        <w:gridCol w:w="278"/>
        <w:gridCol w:w="278"/>
        <w:gridCol w:w="256"/>
        <w:gridCol w:w="109"/>
        <w:gridCol w:w="109"/>
        <w:gridCol w:w="109"/>
        <w:gridCol w:w="109"/>
        <w:gridCol w:w="109"/>
        <w:gridCol w:w="109"/>
        <w:gridCol w:w="278"/>
        <w:gridCol w:w="278"/>
        <w:gridCol w:w="256"/>
        <w:gridCol w:w="109"/>
        <w:gridCol w:w="109"/>
        <w:gridCol w:w="109"/>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equity to tangible assets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(1)Tangible equity (or tangible book value) is equal to total stockholders' equity less goodwill and core deposit intangibles, net of related deferred tax liabilities.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40"/>
        <w:jc w:val="both"/>
        <w:rPr>
          <w:rFonts w:ascii="Times New Roman;serif" w:hAnsi="Times New Roman;serif"/>
          <w:b/>
          <w:color w:val="000000"/>
          <w:sz w:val="18"/>
        </w:rPr>
      </w:pPr>
      <w:r>
        <w:rPr>
          <w:rFonts w:ascii="Times New Roman;serif" w:hAnsi="Times New Roman;serif"/>
          <w:b/>
          <w:color w:val="000000"/>
          <w:sz w:val="18"/>
        </w:rPr>
        <w:t>Comparison of Results of Operations for the Three Months Ended June 30, 2026 and March 31, 2026</w:t>
      </w:r>
    </w:p>
    <w:p>
      <w:pPr>
        <w:pStyle w:val="TextBody"/>
        <w:bidi w:val="0"/>
        <w:spacing w:lineRule="auto" w:line="288" w:before="0" w:after="80"/>
        <w:jc w:val="both"/>
        <w:rPr/>
      </w:pPr>
      <w:r>
        <w:rPr>
          <w:rFonts w:ascii="Times New Roman;serif" w:hAnsi="Times New Roman;serif"/>
          <w:b/>
          <w:i/>
          <w:color w:val="000000"/>
          <w:sz w:val="18"/>
        </w:rPr>
        <w:t>Net Income.</w:t>
      </w:r>
      <w:r>
        <w:rPr>
          <w:color w:val="000000"/>
        </w:rPr>
        <w:t> </w:t>
      </w:r>
      <w:r>
        <w:rPr>
          <w:rFonts w:ascii="Times New Roman;serif" w:hAnsi="Times New Roman;serif"/>
          <w:b w:val="false"/>
          <w:color w:val="000000"/>
          <w:sz w:val="18"/>
        </w:rPr>
        <w:t>Net income totaled $15.6 million, or $0.94 per diluted share, for the three months ended June 30, 2026 compared to $16.8 million, or $0.99 per diluted share, for the three months ended March 31, 2026, a decrease of $1.2 million, or 6.8%. The results for the three months ended June 30, 2026 compared to the three months ended March 31, 2026 were negatively impacted by a $784,000 decrease in noninterest income and a $1.0 million increase in noninterest expense due to a $1.1 million loss resulting from the redemption of junior subordinated debt securities, partially offset by a $1.0 million increase in net interest income. Details of the changes in the various components of net income are further discussed below.</w:t>
      </w:r>
    </w:p>
    <w:p>
      <w:pPr>
        <w:pStyle w:val="TextBody"/>
        <w:bidi w:val="0"/>
        <w:spacing w:lineRule="auto" w:line="288" w:before="0" w:after="60"/>
        <w:jc w:val="both"/>
        <w:rPr/>
      </w:pPr>
      <w:r>
        <w:rPr>
          <w:rFonts w:ascii="Times New Roman;serif" w:hAnsi="Times New Roman;serif"/>
          <w:b/>
          <w:i/>
          <w:color w:val="000000"/>
          <w:sz w:val="18"/>
        </w:rPr>
        <w:t>Net Interest Income.</w:t>
      </w:r>
      <w:r>
        <w:rPr>
          <w:color w:val="000000"/>
        </w:rPr>
        <w:t> </w:t>
      </w:r>
      <w:r>
        <w:rPr>
          <w:rFonts w:ascii="Times New Roman;serif" w:hAnsi="Times New Roman;serif"/>
          <w:b w:val="false"/>
          <w:color w:val="000000"/>
          <w:sz w:val="18"/>
          <w:shd w:fill="FFFFFF" w:val="clear"/>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tbl>
      <w:tblPr>
        <w:tblW w:w="10205" w:type="dxa"/>
        <w:jc w:val="left"/>
        <w:tblInd w:w="0" w:type="dxa"/>
        <w:tblLayout w:type="fixed"/>
        <w:tblCellMar>
          <w:top w:w="28" w:type="dxa"/>
          <w:left w:w="28" w:type="dxa"/>
          <w:bottom w:w="28" w:type="dxa"/>
          <w:right w:w="28" w:type="dxa"/>
        </w:tblCellMar>
      </w:tblPr>
      <w:tblGrid>
        <w:gridCol w:w="1046"/>
        <w:gridCol w:w="527"/>
        <w:gridCol w:w="465"/>
        <w:gridCol w:w="390"/>
        <w:gridCol w:w="256"/>
        <w:gridCol w:w="580"/>
        <w:gridCol w:w="109"/>
        <w:gridCol w:w="109"/>
        <w:gridCol w:w="109"/>
        <w:gridCol w:w="338"/>
        <w:gridCol w:w="298"/>
        <w:gridCol w:w="303"/>
        <w:gridCol w:w="109"/>
        <w:gridCol w:w="109"/>
        <w:gridCol w:w="109"/>
        <w:gridCol w:w="233"/>
        <w:gridCol w:w="233"/>
        <w:gridCol w:w="284"/>
        <w:gridCol w:w="109"/>
        <w:gridCol w:w="109"/>
        <w:gridCol w:w="109"/>
        <w:gridCol w:w="390"/>
        <w:gridCol w:w="256"/>
        <w:gridCol w:w="580"/>
        <w:gridCol w:w="109"/>
        <w:gridCol w:w="109"/>
        <w:gridCol w:w="109"/>
        <w:gridCol w:w="338"/>
        <w:gridCol w:w="298"/>
        <w:gridCol w:w="303"/>
        <w:gridCol w:w="109"/>
        <w:gridCol w:w="109"/>
        <w:gridCol w:w="109"/>
        <w:gridCol w:w="233"/>
        <w:gridCol w:w="233"/>
        <w:gridCol w:w="284"/>
        <w:gridCol w:w="109"/>
        <w:gridCol w:w="109"/>
        <w:gridCol w:w="109"/>
        <w:gridCol w:w="109"/>
        <w:gridCol w:w="109"/>
        <w:gridCol w:w="157"/>
      </w:tblGrid>
      <w:tr>
        <w:trPr/>
        <w:tc>
          <w:tcPr>
            <w:tcW w:w="10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702" w:type="dxa"/>
            <w:gridSpan w:val="6"/>
            <w:tcBorders/>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Yield /</w:t>
              <w:br/>
              <w:t>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5675" w:type="dxa"/>
            <w:gridSpan w:val="30"/>
            <w:tcBorders/>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Loans receivable</w:t>
            </w:r>
            <w:r>
              <w:rPr>
                <w:rFonts w:ascii="Times New Roman;serif" w:hAnsi="Times New Roman;serif"/>
                <w:b w:val="false"/>
                <w:color w:val="000000"/>
                <w:sz w:val="12"/>
              </w:rPr>
              <w:t>(1)</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interest-earning assets</w:t>
            </w:r>
            <w:r>
              <w:rPr>
                <w:rFonts w:ascii="Times New Roman;serif" w:hAnsi="Times New Roman;serif"/>
                <w:b w:val="false"/>
                <w:color w:val="000000"/>
                <w:sz w:val="12"/>
              </w:rPr>
              <w:t>(2)</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4,165,565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checking accounts</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 assets</w:t>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interest-earning assets to average interest-bearing liabilities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145.19 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140.80 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Non-tax-equivalent</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Tax-equivalent</w:t>
            </w:r>
            <w:r>
              <w:rPr>
                <w:rFonts w:ascii="Times New Roman;serif" w:hAnsi="Times New Roman;serif"/>
                <w:b w:val="false"/>
                <w:color w:val="000000"/>
                <w:sz w:val="12"/>
              </w:rPr>
              <w:t>(4)</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(1)Average loans receivable balances include loans held for sale and nonaccruing loans.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(2)Average other interest-earning assets consist of FRB stock, FHLB stock, SBIC investments and deposits in other banks.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(3)Net interest income divided by average interest-earning assets.</w:t>
      </w:r>
    </w:p>
    <w:p>
      <w:pPr>
        <w:pStyle w:val="TextBody"/>
        <w:bidi w:val="0"/>
        <w:spacing w:lineRule="auto" w:line="288" w:before="0" w:after="8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(4)Tax-equivalent results include adjustments to interest income of $458 and $435 for the three months ended June 30, 2026 and March 31, 2026, respectively, calculated based on a combined federal and state tax rate of 23%.</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Total interest and dividend income for the three months ended June 30, 2026 decreased $324,000, or 0.5%, when compared to the three months ended March 31, 2026. A decline of $605,000 in accretion income was the primary driver of this change, partially offset by the impact of an additional day in the current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Total interest expense for the three months ended June 30, 2026 decreased $1.3 million, or 7.6%, when compared to the three months ended March 31, 2026. A decline of $1.3 million, or 7.5%, in deposit interest expense drove this change, the result of a decline in both the average balance of and rate paid on certificate accounts, specifically brokered deposits.</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tbl>
      <w:tblPr>
        <w:tblW w:w="5689" w:type="dxa"/>
        <w:jc w:val="left"/>
        <w:tblInd w:w="0" w:type="dxa"/>
        <w:tblLayout w:type="fixed"/>
        <w:tblCellMar>
          <w:top w:w="28" w:type="dxa"/>
          <w:left w:w="28" w:type="dxa"/>
          <w:bottom w:w="28" w:type="dxa"/>
          <w:right w:w="28" w:type="dxa"/>
        </w:tblCellMar>
      </w:tblPr>
      <w:tblGrid>
        <w:gridCol w:w="926"/>
        <w:gridCol w:w="817"/>
        <w:gridCol w:w="821"/>
        <w:gridCol w:w="196"/>
        <w:gridCol w:w="421"/>
        <w:gridCol w:w="109"/>
        <w:gridCol w:w="109"/>
        <w:gridCol w:w="109"/>
        <w:gridCol w:w="109"/>
        <w:gridCol w:w="196"/>
        <w:gridCol w:w="496"/>
        <w:gridCol w:w="109"/>
        <w:gridCol w:w="109"/>
        <w:gridCol w:w="109"/>
        <w:gridCol w:w="109"/>
        <w:gridCol w:w="233"/>
        <w:gridCol w:w="526"/>
        <w:gridCol w:w="185"/>
      </w:tblGrid>
      <w:tr>
        <w:trPr/>
        <w:tc>
          <w:tcPr>
            <w:tcW w:w="9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br/>
              <w:t>Due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Increase/</w:t>
              <w:br/>
              <w:t>(Decrease)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Interest-earning 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interest-earning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interest-earning assets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Interest-bearing liabilities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checking accounts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accounts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interest-bearing liabilities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Increase</w:t>
            </w:r>
            <w:r>
              <w:rPr>
                <w:color w:val="EE2724"/>
              </w:rPr>
              <w:t xml:space="preserve"> </w:t>
            </w:r>
            <w:r>
              <w:rPr>
                <w:rFonts w:ascii="Times New Roman;serif" w:hAnsi="Times New Roman;serif"/>
                <w:b/>
                <w:color w:val="000000"/>
                <w:sz w:val="18"/>
              </w:rPr>
              <w:t>in net interest income</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erif" w:hAnsi="Times New Roman;serif"/>
          <w:b/>
          <w:i/>
          <w:color w:val="000000"/>
          <w:sz w:val="18"/>
        </w:rPr>
        <w:t>Provision for Credit Losses.</w:t>
      </w:r>
      <w:r>
        <w:rPr>
          <w:color w:val="000000"/>
        </w:rPr>
        <w:t> </w:t>
      </w:r>
      <w:r>
        <w:rPr>
          <w:rFonts w:ascii="Times New Roman;serif" w:hAnsi="Times New Roman;serif"/>
          <w:b w:val="false"/>
          <w:color w:val="000000"/>
          <w:sz w:val="18"/>
          <w:shd w:fill="FFFFFF" w:val="clear"/>
        </w:rPr>
        <w:t>The provision for credit losses is the amount of expense that, based on our judgment, is required to maintain the ACL at an appropriate level under the current expected credit losses model.</w:t>
      </w:r>
    </w:p>
    <w:p>
      <w:pPr>
        <w:pStyle w:val="TextBody"/>
        <w:bidi w:val="0"/>
        <w:spacing w:lineRule="auto" w:line="288" w:before="0" w:after="6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The following table presents a breakdown of the components of the provision for credit losses:</w:t>
      </w:r>
    </w:p>
    <w:tbl>
      <w:tblPr>
        <w:tblW w:w="7774" w:type="dxa"/>
        <w:jc w:val="left"/>
        <w:tblInd w:w="0" w:type="dxa"/>
        <w:tblLayout w:type="fixed"/>
        <w:tblCellMar>
          <w:top w:w="28" w:type="dxa"/>
          <w:left w:w="28" w:type="dxa"/>
          <w:bottom w:w="28" w:type="dxa"/>
          <w:right w:w="28" w:type="dxa"/>
        </w:tblCellMar>
      </w:tblPr>
      <w:tblGrid>
        <w:gridCol w:w="911"/>
        <w:gridCol w:w="803"/>
        <w:gridCol w:w="805"/>
        <w:gridCol w:w="263"/>
        <w:gridCol w:w="746"/>
        <w:gridCol w:w="146"/>
        <w:gridCol w:w="109"/>
        <w:gridCol w:w="109"/>
        <w:gridCol w:w="109"/>
        <w:gridCol w:w="348"/>
        <w:gridCol w:w="748"/>
        <w:gridCol w:w="193"/>
        <w:gridCol w:w="109"/>
        <w:gridCol w:w="109"/>
        <w:gridCol w:w="109"/>
        <w:gridCol w:w="227"/>
        <w:gridCol w:w="487"/>
        <w:gridCol w:w="127"/>
        <w:gridCol w:w="109"/>
        <w:gridCol w:w="109"/>
        <w:gridCol w:w="109"/>
        <w:gridCol w:w="210"/>
        <w:gridCol w:w="211"/>
        <w:gridCol w:w="568"/>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Provision for credit losses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Off-balance sheet credit exposure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provision for credit losses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40"/>
        <w:jc w:val="both"/>
        <w:rPr/>
      </w:pPr>
      <w:r>
        <w:rPr>
          <w:rFonts w:ascii="Times New Roman;serif" w:hAnsi="Times New Roman;serif"/>
          <w:b w:val="false"/>
          <w:color w:val="000000"/>
          <w:sz w:val="18"/>
          <w:shd w:fill="FFFFFF" w:val="clear"/>
        </w:rPr>
        <w:t xml:space="preserve">For the quarter ended </w:t>
      </w:r>
      <w:r>
        <w:rPr>
          <w:rFonts w:ascii="Times New Roman;serif" w:hAnsi="Times New Roman;serif"/>
          <w:b w:val="false"/>
          <w:color w:val="000000"/>
          <w:sz w:val="18"/>
        </w:rPr>
        <w:t>June 30, 2026</w:t>
      </w:r>
      <w:r>
        <w:rPr>
          <w:rFonts w:ascii="Times New Roman;serif" w:hAnsi="Times New Roman;serif"/>
          <w:b w:val="false"/>
          <w:color w:val="000000"/>
          <w:sz w:val="18"/>
          <w:shd w:fill="FFFFFF" w:val="clear"/>
        </w:rPr>
        <w:t>, the "loans" portion of the provision for credit losses was primarily the result of the following, offset by net charge-offs of $1.8 million during the quarter:</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$0.2 million provision driven by changes in the loan mix.</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$0.4 million benefit due to changes in the projected economic forecast, specifically the national unemployment rate, and changes in qualitative adjustments.</w:t>
      </w:r>
    </w:p>
    <w:p>
      <w:pPr>
        <w:pStyle w:val="TextBody"/>
        <w:bidi w:val="0"/>
        <w:spacing w:lineRule="auto" w:line="288" w:before="0" w:after="80"/>
        <w:ind w:left="0" w:right="0" w:hanging="270"/>
        <w:jc w:val="both"/>
        <w:rPr/>
      </w:pPr>
      <w:r>
        <w:rPr>
          <w:color w:val="000000"/>
          <w:shd w:fill="FFFFFF" w:val="clear"/>
        </w:rPr>
        <w:t>•</w:t>
      </w:r>
      <w:r>
        <w:rPr>
          <w:rFonts w:ascii="Times New Roman;serif" w:hAnsi="Times New Roman;serif"/>
          <w:b w:val="false"/>
          <w:color w:val="000000"/>
          <w:sz w:val="18"/>
          <w:shd w:fill="FFFFFF" w:val="clear"/>
        </w:rPr>
        <w:t>$0.6 million decrease in specific reserves on individually evaluated loans.</w:t>
      </w:r>
    </w:p>
    <w:p>
      <w:pPr>
        <w:pStyle w:val="TextBody"/>
        <w:bidi w:val="0"/>
        <w:spacing w:lineRule="auto" w:line="288" w:before="0" w:after="40"/>
        <w:jc w:val="both"/>
        <w:rPr/>
      </w:pPr>
      <w:r>
        <w:rPr>
          <w:rFonts w:ascii="Times New Roman;serif" w:hAnsi="Times New Roman;serif"/>
          <w:b w:val="false"/>
          <w:color w:val="000000"/>
          <w:sz w:val="18"/>
          <w:shd w:fill="FFFFFF" w:val="clear"/>
        </w:rPr>
        <w:t xml:space="preserve">For the quarter ended </w:t>
      </w:r>
      <w:r>
        <w:rPr>
          <w:rFonts w:ascii="Times New Roman;serif" w:hAnsi="Times New Roman;serif"/>
          <w:b w:val="false"/>
          <w:color w:val="000000"/>
          <w:sz w:val="18"/>
        </w:rPr>
        <w:t>March 31, 2026</w:t>
      </w:r>
      <w:r>
        <w:rPr>
          <w:rFonts w:ascii="Times New Roman;serif" w:hAnsi="Times New Roman;serif"/>
          <w:b w:val="false"/>
          <w:color w:val="000000"/>
          <w:sz w:val="18"/>
          <w:shd w:fill="FFFFFF" w:val="clear"/>
        </w:rPr>
        <w:t>, the "loans" portion of the provision for credit losses was primarily the result of the following, offset by net charge-offs of $1.8 million during the quarter:</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$0.5 million benefit driven by changes in the loan mix.</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$0.2 million provision due to changes in the projected economic forecast, specifically the national unemployment rate, and changes in qualitative adjustments.</w:t>
      </w:r>
    </w:p>
    <w:p>
      <w:pPr>
        <w:pStyle w:val="TextBody"/>
        <w:bidi w:val="0"/>
        <w:spacing w:lineRule="auto" w:line="288" w:before="0" w:after="80"/>
        <w:ind w:left="0" w:right="0" w:hanging="270"/>
        <w:jc w:val="both"/>
        <w:rPr/>
      </w:pPr>
      <w:r>
        <w:rPr>
          <w:color w:val="000000"/>
          <w:shd w:fill="FFFFFF" w:val="clear"/>
        </w:rPr>
        <w:t>•</w:t>
      </w:r>
      <w:r>
        <w:rPr>
          <w:rFonts w:ascii="Times New Roman;serif" w:hAnsi="Times New Roman;serif"/>
          <w:b w:val="false"/>
          <w:color w:val="000000"/>
          <w:sz w:val="18"/>
          <w:shd w:fill="FFFFFF" w:val="clear"/>
        </w:rPr>
        <w:t>$0.6 million decrease in specific reserves on individually evaluated loans.</w:t>
      </w:r>
    </w:p>
    <w:p>
      <w:pPr>
        <w:pStyle w:val="TextBody"/>
        <w:bidi w:val="0"/>
        <w:spacing w:lineRule="auto" w:line="288" w:before="0" w:after="80"/>
        <w:jc w:val="both"/>
        <w:rPr/>
      </w:pPr>
      <w:r>
        <w:rPr>
          <w:rFonts w:ascii="Times New Roman;serif" w:hAnsi="Times New Roman;serif"/>
          <w:b w:val="false"/>
          <w:color w:val="000000"/>
          <w:sz w:val="18"/>
          <w:shd w:fill="FFFFFF" w:val="clear"/>
        </w:rPr>
        <w:t>For the quarters ended June 30</w:t>
      </w:r>
      <w:r>
        <w:rPr>
          <w:rFonts w:ascii="Times New Roman;serif" w:hAnsi="Times New Roman;serif"/>
          <w:b w:val="false"/>
          <w:color w:val="000000"/>
          <w:sz w:val="18"/>
        </w:rPr>
        <w:t xml:space="preserve">, 2026 and </w:t>
      </w:r>
      <w:r>
        <w:rPr>
          <w:rFonts w:ascii="Times New Roman;serif" w:hAnsi="Times New Roman;serif"/>
          <w:b w:val="false"/>
          <w:color w:val="000000"/>
          <w:sz w:val="18"/>
          <w:shd w:fill="FFFFFF" w:val="clear"/>
        </w:rPr>
        <w:t>March 31</w:t>
      </w:r>
      <w:r>
        <w:rPr>
          <w:rFonts w:ascii="Times New Roman;serif" w:hAnsi="Times New Roman;serif"/>
          <w:b w:val="false"/>
          <w:color w:val="000000"/>
          <w:sz w:val="18"/>
        </w:rPr>
        <w:t>, 2026</w:t>
      </w:r>
      <w:r>
        <w:rPr>
          <w:rFonts w:ascii="Times New Roman;serif" w:hAnsi="Times New Roman;serif"/>
          <w:b w:val="false"/>
          <w:color w:val="000000"/>
          <w:sz w:val="18"/>
          <w:shd w:fill="FFFFFF" w:val="clear"/>
        </w:rPr>
        <w:t>, the amounts recorded for off-balance sheet credit exposure were the result of changes in the balance of loan commitments, loan mix, projected economic forecast and qualitative allocations as outlined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erif" w:hAnsi="Times New Roman;serif"/>
          <w:b/>
          <w:i/>
          <w:color w:val="000000"/>
          <w:sz w:val="18"/>
        </w:rPr>
        <w:t>Noninterest Income.</w:t>
      </w:r>
      <w:r>
        <w:rPr>
          <w:color w:val="000000"/>
        </w:rPr>
        <w:t> </w:t>
      </w:r>
      <w:r>
        <w:rPr>
          <w:rFonts w:ascii="Times New Roman;serif" w:hAnsi="Times New Roman;serif"/>
          <w:b w:val="false"/>
          <w:color w:val="000000"/>
          <w:sz w:val="18"/>
        </w:rPr>
        <w:t>Noninterest income for the three months ended June 30, 2026 decreased $784,000, or 7.8%, when compared to the quarter ended March 31, 2026. Changes in the components of noninterest income are discussed below:</w:t>
      </w:r>
    </w:p>
    <w:tbl>
      <w:tblPr>
        <w:tblW w:w="8556" w:type="dxa"/>
        <w:jc w:val="left"/>
        <w:tblInd w:w="0" w:type="dxa"/>
        <w:tblLayout w:type="fixed"/>
        <w:tblCellMar>
          <w:top w:w="28" w:type="dxa"/>
          <w:left w:w="28" w:type="dxa"/>
          <w:bottom w:w="28" w:type="dxa"/>
          <w:right w:w="28" w:type="dxa"/>
        </w:tblCellMar>
      </w:tblPr>
      <w:tblGrid>
        <w:gridCol w:w="1192"/>
        <w:gridCol w:w="1052"/>
        <w:gridCol w:w="1055"/>
        <w:gridCol w:w="263"/>
        <w:gridCol w:w="746"/>
        <w:gridCol w:w="146"/>
        <w:gridCol w:w="109"/>
        <w:gridCol w:w="109"/>
        <w:gridCol w:w="109"/>
        <w:gridCol w:w="266"/>
        <w:gridCol w:w="876"/>
        <w:gridCol w:w="147"/>
        <w:gridCol w:w="109"/>
        <w:gridCol w:w="109"/>
        <w:gridCol w:w="109"/>
        <w:gridCol w:w="222"/>
        <w:gridCol w:w="496"/>
        <w:gridCol w:w="125"/>
        <w:gridCol w:w="109"/>
        <w:gridCol w:w="109"/>
        <w:gridCol w:w="109"/>
        <w:gridCol w:w="210"/>
        <w:gridCol w:w="211"/>
        <w:gridCol w:w="568"/>
      </w:tblGrid>
      <w:tr>
        <w:trPr/>
        <w:tc>
          <w:tcPr>
            <w:tcW w:w="119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 on deposit accounts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income and fees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held for sale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 income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income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premises and equipment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income</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i/>
          <w:color w:val="000000"/>
          <w:sz w:val="18"/>
          <w:shd w:fill="FFFFFF" w:val="clear"/>
        </w:rPr>
        <w:t xml:space="preserve">Loan income and fees: </w:t>
      </w:r>
      <w:r>
        <w:rPr>
          <w:rFonts w:ascii="Times New Roman;serif" w:hAnsi="Times New Roman;serif"/>
          <w:b w:val="false"/>
          <w:color w:val="000000"/>
          <w:sz w:val="18"/>
          <w:shd w:fill="FFFFFF" w:val="clear"/>
        </w:rPr>
        <w:t>The decrease was primarily the result of $251,000 less in prepayment penalties, partially offset by a $68,000 increase in other servicing fees.</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i/>
          <w:color w:val="000000"/>
          <w:sz w:val="18"/>
        </w:rPr>
        <w:t>Gain on sale of loans held for sale:</w:t>
      </w:r>
      <w:r>
        <w:rPr>
          <w:color w:val="000000"/>
        </w:rPr>
        <w:t xml:space="preserve"> </w:t>
      </w:r>
      <w:r>
        <w:rPr>
          <w:rFonts w:ascii="Times New Roman;serif" w:hAnsi="Times New Roman;serif"/>
          <w:b w:val="false"/>
          <w:color w:val="000000"/>
          <w:sz w:val="18"/>
        </w:rPr>
        <w:t>The decrease was primarily driven by a drop in the sales volume of HELOC loans originated for sale, partially offset by an increase in the sales volume of residential mortgage loans. There were $17.2 million of HELOCs originated for sale which were sold during the current quarter with gains of $93,000 compared to $103.0 million sold with gains of $934,000 in the prior quarter. There were $39.9 million of residential mortgage loans sold for gains of $481,000 during the current quarter compared to $23.3 million sold with gains of $431,000 in the prior quarter. There were $15.3 million in sales of the guaranteed portion of SBA commercial loans with gains of $1.3 million for the current quarter compared to $16.4 million sold and gains of $1.2 million for the prior quarter. Lastly, our hedging of mandatory commitments on the residential mortgage loan pipeline resulted in a net gain of $4,000 for the current quarter compared to $68,000 for the prior quarter.</w:t>
      </w:r>
    </w:p>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Operating lease income:</w:t>
      </w:r>
      <w:r>
        <w:rPr>
          <w:color w:val="000000"/>
        </w:rPr>
        <w:t xml:space="preserve"> </w:t>
      </w:r>
      <w:r>
        <w:rPr>
          <w:rFonts w:ascii="Times New Roman;serif" w:hAnsi="Times New Roman;serif"/>
          <w:b w:val="false"/>
          <w:color w:val="000000"/>
          <w:sz w:val="18"/>
        </w:rPr>
        <w:t>The decrease was the result of a $402,000 increase in losses upon contract termination in addition to a $83,000 decrease in contract earnings.</w:t>
      </w:r>
    </w:p>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Gain on sale of premises and equipment:</w:t>
      </w:r>
      <w:r>
        <w:rPr>
          <w:color w:val="000000"/>
        </w:rPr>
        <w:t xml:space="preserve"> </w:t>
      </w:r>
      <w:r>
        <w:rPr>
          <w:rFonts w:ascii="Times New Roman;serif" w:hAnsi="Times New Roman;serif"/>
          <w:b w:val="false"/>
          <w:color w:val="000000"/>
          <w:sz w:val="18"/>
        </w:rPr>
        <w:t>In both periods presented, gains were recognized on the sale of excess real estate.</w:t>
      </w:r>
    </w:p>
    <w:p>
      <w:pPr>
        <w:pStyle w:val="TextBody"/>
        <w:bidi w:val="0"/>
        <w:spacing w:lineRule="auto" w:line="288" w:before="0" w:after="80"/>
        <w:ind w:left="0" w:right="0" w:hanging="270"/>
        <w:jc w:val="both"/>
        <w:rPr/>
      </w:pPr>
      <w:r>
        <w:rPr>
          <w:color w:val="000000"/>
        </w:rPr>
        <w:t>•</w:t>
      </w:r>
      <w:r>
        <w:rPr>
          <w:rFonts w:ascii="Times New Roman;serif" w:hAnsi="Times New Roman;serif"/>
          <w:b w:val="false"/>
          <w:i/>
          <w:color w:val="000000"/>
          <w:sz w:val="18"/>
        </w:rPr>
        <w:t xml:space="preserve">Other: </w:t>
      </w:r>
      <w:r>
        <w:rPr>
          <w:rFonts w:ascii="Times New Roman;serif" w:hAnsi="Times New Roman;serif"/>
          <w:b w:val="false"/>
          <w:color w:val="000000"/>
          <w:sz w:val="18"/>
        </w:rPr>
        <w:t>The decrease was primarily driven by a $108,000 reduction in investment services income quarter-over-quarter.</w:t>
      </w:r>
    </w:p>
    <w:p>
      <w:pPr>
        <w:pStyle w:val="TextBody"/>
        <w:bidi w:val="0"/>
        <w:spacing w:lineRule="auto" w:line="288" w:before="0" w:after="60"/>
        <w:jc w:val="both"/>
        <w:rPr/>
      </w:pPr>
      <w:r>
        <w:rPr>
          <w:rFonts w:ascii="Times New Roman;serif" w:hAnsi="Times New Roman;serif"/>
          <w:b/>
          <w:i/>
          <w:color w:val="000000"/>
          <w:sz w:val="18"/>
        </w:rPr>
        <w:t>Noninterest Expense.</w:t>
      </w:r>
      <w:r>
        <w:rPr>
          <w:color w:val="000000"/>
        </w:rPr>
        <w:t> </w:t>
      </w:r>
      <w:r>
        <w:rPr>
          <w:rFonts w:ascii="Times New Roman;serif" w:hAnsi="Times New Roman;serif"/>
          <w:b w:val="false"/>
          <w:color w:val="000000"/>
          <w:sz w:val="18"/>
        </w:rPr>
        <w:t>Noninterest expense for the three months ended June 30, 2026 increased $1.0 million, or 3.0%, when compared to the three months ended March 31, 2026. Changes in the components of noninterest expense are discussed below:</w:t>
      </w:r>
    </w:p>
    <w:tbl>
      <w:tblPr>
        <w:tblW w:w="9474" w:type="dxa"/>
        <w:jc w:val="left"/>
        <w:tblInd w:w="0" w:type="dxa"/>
        <w:tblLayout w:type="fixed"/>
        <w:tblCellMar>
          <w:top w:w="28" w:type="dxa"/>
          <w:left w:w="28" w:type="dxa"/>
          <w:bottom w:w="28" w:type="dxa"/>
          <w:right w:w="28" w:type="dxa"/>
        </w:tblCellMar>
      </w:tblPr>
      <w:tblGrid>
        <w:gridCol w:w="1517"/>
        <w:gridCol w:w="1339"/>
        <w:gridCol w:w="1343"/>
        <w:gridCol w:w="238"/>
        <w:gridCol w:w="785"/>
        <w:gridCol w:w="132"/>
        <w:gridCol w:w="109"/>
        <w:gridCol w:w="109"/>
        <w:gridCol w:w="109"/>
        <w:gridCol w:w="266"/>
        <w:gridCol w:w="876"/>
        <w:gridCol w:w="147"/>
        <w:gridCol w:w="109"/>
        <w:gridCol w:w="109"/>
        <w:gridCol w:w="109"/>
        <w:gridCol w:w="196"/>
        <w:gridCol w:w="556"/>
        <w:gridCol w:w="109"/>
        <w:gridCol w:w="109"/>
        <w:gridCol w:w="109"/>
        <w:gridCol w:w="109"/>
        <w:gridCol w:w="210"/>
        <w:gridCol w:w="211"/>
        <w:gridCol w:w="568"/>
      </w:tblGrid>
      <w:tr>
        <w:trPr/>
        <w:tc>
          <w:tcPr>
            <w:tcW w:w="151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expense,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depreciation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 postage and supplies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insurance premiums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 amortization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redemption of junior subordinated debt securities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expense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Marketing and advertising:</w:t>
      </w:r>
      <w:r>
        <w:rPr>
          <w:color w:val="000000"/>
        </w:rPr>
        <w:t xml:space="preserve"> </w:t>
      </w:r>
      <w:r>
        <w:rPr>
          <w:rFonts w:ascii="Times New Roman;serif" w:hAnsi="Times New Roman;serif"/>
          <w:b w:val="false"/>
          <w:color w:val="000000"/>
          <w:sz w:val="18"/>
        </w:rPr>
        <w:t>The increase was associated with the launch of online deposit account opening.</w:t>
      </w:r>
    </w:p>
    <w:p>
      <w:pPr>
        <w:pStyle w:val="TextBody"/>
        <w:bidi w:val="0"/>
        <w:spacing w:lineRule="auto" w:line="288" w:before="0" w:after="80"/>
        <w:ind w:left="0" w:right="0" w:hanging="270"/>
        <w:jc w:val="both"/>
        <w:rPr/>
      </w:pPr>
      <w:r>
        <w:rPr>
          <w:color w:val="000000"/>
        </w:rPr>
        <w:t>•</w:t>
      </w:r>
      <w:r>
        <w:rPr>
          <w:rFonts w:ascii="Times New Roman;serif" w:hAnsi="Times New Roman;serif"/>
          <w:b w:val="false"/>
          <w:i/>
          <w:color w:val="000000"/>
          <w:sz w:val="18"/>
        </w:rPr>
        <w:t>Loss on redemption of junior subordinated debt securities:</w:t>
      </w:r>
      <w:r>
        <w:rPr>
          <w:color w:val="000000"/>
        </w:rPr>
        <w:t xml:space="preserve"> </w:t>
      </w:r>
      <w:r>
        <w:rPr>
          <w:rFonts w:ascii="Times New Roman;serif" w:hAnsi="Times New Roman;serif"/>
          <w:b w:val="false"/>
          <w:color w:val="000000"/>
          <w:sz w:val="18"/>
        </w:rPr>
        <w:t>We previously established a fair value mark (discount) on the junior subordinated debt securities assumed through our merger with Quantum Capital Corp. and had been accreting the discount into interest expense. Associated with our redemption of the debt instruments in the current quarter, we wrote-off the remaining discount as an expense.</w:t>
      </w:r>
    </w:p>
    <w:p>
      <w:pPr>
        <w:pStyle w:val="TextBody"/>
        <w:bidi w:val="0"/>
        <w:spacing w:lineRule="auto" w:line="288" w:before="0" w:after="160"/>
        <w:jc w:val="both"/>
        <w:rPr/>
      </w:pPr>
      <w:r>
        <w:rPr>
          <w:rFonts w:ascii="Times New Roman;serif" w:hAnsi="Times New Roman;serif"/>
          <w:b/>
          <w:i/>
          <w:color w:val="000000"/>
          <w:sz w:val="18"/>
        </w:rPr>
        <w:t>Income Taxes.</w:t>
      </w:r>
      <w:r>
        <w:rPr>
          <w:color w:val="000000"/>
        </w:rPr>
        <w:t> </w:t>
      </w:r>
      <w:r>
        <w:rPr>
          <w:rFonts w:ascii="Times New Roman;serif" w:hAnsi="Times New Roman;serif"/>
          <w:b w:val="false"/>
          <w:color w:val="000000"/>
          <w:sz w:val="18"/>
          <w:shd w:fill="FFFFFF" w:val="clear"/>
        </w:rPr>
        <w:t xml:space="preserve">The amount of income tax expense is influenced by the amount of pre-tax income, tax-exempt income, changes in the statutory rate and the effect of changes in valuation allowances maintained against deferred tax benefits. </w:t>
      </w:r>
      <w:r>
        <w:rPr>
          <w:rFonts w:ascii="Times New Roman;serif" w:hAnsi="Times New Roman;serif"/>
          <w:b w:val="false"/>
          <w:color w:val="000000"/>
          <w:sz w:val="18"/>
        </w:rPr>
        <w:t>The effective tax rates for the three months ended June 30, 2026 and March 31, 2026 were 20.4% and 20.1%,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pPr>
      <w:r>
        <w:rPr>
          <w:rFonts w:ascii="Times New Roman;serif" w:hAnsi="Times New Roman;serif"/>
          <w:b/>
          <w:color w:val="000000"/>
          <w:sz w:val="18"/>
        </w:rPr>
        <w:t>Comparison of Results of Operations for the Six Months Ended June 30</w:t>
      </w:r>
      <w:r>
        <w:rPr>
          <w:rFonts w:ascii="Times New Roman;serif" w:hAnsi="Times New Roman;serif"/>
          <w:b/>
          <w:color w:val="000000"/>
          <w:sz w:val="18"/>
          <w:shd w:fill="FFFFFF" w:val="clear"/>
        </w:rPr>
        <w:t xml:space="preserve">, </w:t>
      </w:r>
      <w:r>
        <w:rPr>
          <w:rFonts w:ascii="Times New Roman;serif" w:hAnsi="Times New Roman;serif"/>
          <w:b/>
          <w:color w:val="000000"/>
          <w:sz w:val="18"/>
        </w:rPr>
        <w:t>2026 and June 30, 2025</w:t>
      </w:r>
    </w:p>
    <w:p>
      <w:pPr>
        <w:pStyle w:val="TextBody"/>
        <w:bidi w:val="0"/>
        <w:spacing w:lineRule="auto" w:line="288" w:before="0" w:after="80"/>
        <w:jc w:val="both"/>
        <w:rPr/>
      </w:pPr>
      <w:r>
        <w:rPr>
          <w:rFonts w:ascii="Times New Roman;serif" w:hAnsi="Times New Roman;serif"/>
          <w:b/>
          <w:i/>
          <w:color w:val="000000"/>
          <w:sz w:val="18"/>
        </w:rPr>
        <w:t>Net Income.</w:t>
      </w:r>
      <w:r>
        <w:rPr>
          <w:color w:val="000000"/>
        </w:rPr>
        <w:t> </w:t>
      </w:r>
      <w:r>
        <w:rPr>
          <w:rFonts w:ascii="Times New Roman;serif" w:hAnsi="Times New Roman;serif"/>
          <w:b w:val="false"/>
          <w:color w:val="000000"/>
          <w:sz w:val="18"/>
        </w:rPr>
        <w:t>Net income totaled $32.4 million, or $1.93 per diluted share, for the six months ended June 30, 2026 compared to $31.7 million, or $1.84 per diluted share, for the six months ended June 30, 2025, an increase of $653,000, or 2.1%. The results for the six months ended June 30, 2026 compared to the prior year were positively impacted by a $2.5 million increase in net interest income, a $1.6 million decrease in the provision for credit losses, and a $1.1 million increase in noninterest income, partially offset by a $4.7 million increase in noninterest expense. Details of the changes in the various components of net income are further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erif" w:hAnsi="Times New Roman;serif"/>
          <w:b/>
          <w:i/>
          <w:color w:val="000000"/>
          <w:sz w:val="18"/>
        </w:rPr>
        <w:t>Net Interest Income.</w:t>
      </w:r>
      <w:r>
        <w:rPr>
          <w:color w:val="000000"/>
        </w:rPr>
        <w:t> </w:t>
      </w:r>
      <w:r>
        <w:rPr>
          <w:rFonts w:ascii="Times New Roman;serif" w:hAnsi="Times New Roman;serif"/>
          <w:b w:val="false"/>
          <w:color w:val="000000"/>
          <w:sz w:val="18"/>
          <w:shd w:fill="FFFFFF" w:val="clear"/>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tbl>
      <w:tblPr>
        <w:tblW w:w="10205" w:type="dxa"/>
        <w:jc w:val="left"/>
        <w:tblInd w:w="0" w:type="dxa"/>
        <w:tblLayout w:type="fixed"/>
        <w:tblCellMar>
          <w:top w:w="28" w:type="dxa"/>
          <w:left w:w="28" w:type="dxa"/>
          <w:bottom w:w="28" w:type="dxa"/>
          <w:right w:w="28" w:type="dxa"/>
        </w:tblCellMar>
      </w:tblPr>
      <w:tblGrid>
        <w:gridCol w:w="1003"/>
        <w:gridCol w:w="465"/>
        <w:gridCol w:w="398"/>
        <w:gridCol w:w="390"/>
        <w:gridCol w:w="256"/>
        <w:gridCol w:w="580"/>
        <w:gridCol w:w="109"/>
        <w:gridCol w:w="109"/>
        <w:gridCol w:w="109"/>
        <w:gridCol w:w="336"/>
        <w:gridCol w:w="343"/>
        <w:gridCol w:w="348"/>
        <w:gridCol w:w="109"/>
        <w:gridCol w:w="109"/>
        <w:gridCol w:w="109"/>
        <w:gridCol w:w="233"/>
        <w:gridCol w:w="233"/>
        <w:gridCol w:w="281"/>
        <w:gridCol w:w="109"/>
        <w:gridCol w:w="109"/>
        <w:gridCol w:w="109"/>
        <w:gridCol w:w="390"/>
        <w:gridCol w:w="256"/>
        <w:gridCol w:w="580"/>
        <w:gridCol w:w="109"/>
        <w:gridCol w:w="109"/>
        <w:gridCol w:w="109"/>
        <w:gridCol w:w="336"/>
        <w:gridCol w:w="343"/>
        <w:gridCol w:w="348"/>
        <w:gridCol w:w="109"/>
        <w:gridCol w:w="109"/>
        <w:gridCol w:w="109"/>
        <w:gridCol w:w="233"/>
        <w:gridCol w:w="233"/>
        <w:gridCol w:w="281"/>
        <w:gridCol w:w="109"/>
        <w:gridCol w:w="109"/>
        <w:gridCol w:w="109"/>
        <w:gridCol w:w="109"/>
        <w:gridCol w:w="109"/>
        <w:gridCol w:w="159"/>
      </w:tblGrid>
      <w:tr>
        <w:trPr/>
        <w:tc>
          <w:tcPr>
            <w:tcW w:w="100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704" w:type="dxa"/>
            <w:gridSpan w:val="6"/>
            <w:tcBorders/>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Yield /</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Balance</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br/>
              <w:t>Earned /</w:t>
              <w:br/>
              <w:t>Paid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Yield /</w:t>
              <w:br/>
              <w:t>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5759" w:type="dxa"/>
            <w:gridSpan w:val="30"/>
            <w:tcBorders/>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Loans receivable</w:t>
            </w:r>
            <w:r>
              <w:rPr>
                <w:rFonts w:ascii="Times New Roman;serif" w:hAnsi="Times New Roman;serif"/>
                <w:b w:val="false"/>
                <w:color w:val="000000"/>
                <w:sz w:val="12"/>
              </w:rPr>
              <w:t>(1)</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interest-earning assets</w:t>
            </w:r>
            <w:r>
              <w:rPr>
                <w:rFonts w:ascii="Times New Roman;serif" w:hAnsi="Times New Roman;serif"/>
                <w:b w:val="false"/>
                <w:color w:val="000000"/>
                <w:sz w:val="12"/>
              </w:rPr>
              <w:t>(2)</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4,144,004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4,131,937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checking accounts</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accounts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2,873,071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 assets</w:t>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interest-earning assets to average interest-bearing liabilities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136.33 </w:t>
            </w:r>
          </w:p>
        </w:tc>
        <w:tc>
          <w:tcPr>
            <w:tcW w:w="5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Non-tax-equivalent</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Tax-equivalent</w:t>
            </w:r>
            <w:r>
              <w:rPr>
                <w:rFonts w:ascii="Times New Roman;serif" w:hAnsi="Times New Roman;serif"/>
                <w:b w:val="false"/>
                <w:color w:val="000000"/>
                <w:sz w:val="12"/>
              </w:rPr>
              <w:t>(4)</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spread</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interest margin</w:t>
            </w:r>
            <w:r>
              <w:rPr>
                <w:rFonts w:ascii="Times New Roman;serif" w:hAnsi="Times New Roman;serif"/>
                <w:b w:val="false"/>
                <w:color w:val="000000"/>
                <w:sz w:val="12"/>
              </w:rPr>
              <w:t>(3)</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Average loans receivable balances include loans held for sale and nonaccruing loans.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(2)Average other interest-earning assets consist of FRB stock, FHLB stock, SBIC investments and deposits in other banks.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(3)Net interest income divided by average interest-earning assets.</w:t>
      </w:r>
    </w:p>
    <w:p>
      <w:pPr>
        <w:pStyle w:val="TextBody"/>
        <w:bidi w:val="0"/>
        <w:spacing w:lineRule="auto" w:line="288" w:before="0" w:after="8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(4)Tax-equivalent results include adjustments to interest income of $892 and $849 for the six months ended June 30, 2026 and 2025, respectively, calculated based on combined federal and state tax rates of 23% and 24% for the same periods, respectively.</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Total interest and dividend income for the six months ended June 30, 2026 decreased $4.6 million, or 3.6%, when compared to the six months ended June 30, 2025. A decline of $3.8 million, or 3.2%, in interest income drove this change, primarily due to the impact of decreases in the federal funds rate upon loan yields. Accretion income on acquired loans of $1.1 million and $1.3 million was recognized during the same periods, respectively, and was included in loan interest income.</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Total interest expense for the six months ended June 30, 2026 decreased $7.1 million, or 17.6%, when compared to the six months ended June 30, 2025. A decline of $6.8 million, or 17.3%, in deposit interest expense drove this change, the result of a decline in the average balance of certificate accounts, specifically brokered deposits, in addition to a decline in the average cost of funds across funding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tbl>
      <w:tblPr>
        <w:tblW w:w="5936" w:type="dxa"/>
        <w:jc w:val="left"/>
        <w:tblInd w:w="0" w:type="dxa"/>
        <w:tblLayout w:type="fixed"/>
        <w:tblCellMar>
          <w:top w:w="28" w:type="dxa"/>
          <w:left w:w="28" w:type="dxa"/>
          <w:bottom w:w="28" w:type="dxa"/>
          <w:right w:w="28" w:type="dxa"/>
        </w:tblCellMar>
      </w:tblPr>
      <w:tblGrid>
        <w:gridCol w:w="926"/>
        <w:gridCol w:w="817"/>
        <w:gridCol w:w="821"/>
        <w:gridCol w:w="196"/>
        <w:gridCol w:w="496"/>
        <w:gridCol w:w="109"/>
        <w:gridCol w:w="109"/>
        <w:gridCol w:w="109"/>
        <w:gridCol w:w="109"/>
        <w:gridCol w:w="196"/>
        <w:gridCol w:w="631"/>
        <w:gridCol w:w="109"/>
        <w:gridCol w:w="109"/>
        <w:gridCol w:w="109"/>
        <w:gridCol w:w="109"/>
        <w:gridCol w:w="196"/>
        <w:gridCol w:w="631"/>
        <w:gridCol w:w="154"/>
      </w:tblGrid>
      <w:tr>
        <w:trPr/>
        <w:tc>
          <w:tcPr>
            <w:tcW w:w="9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 (Decrease)</w:t>
              <w:br/>
              <w:t>Due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Increase /</w:t>
              <w:br/>
              <w:t>(Decrease)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Interest-earning 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 for sale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interest-earning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interest-earning assets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Interest-bearing liabilities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checking accounts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accounts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interest-bearing liabilities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Increase in net interest income</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i/>
          <w:color w:val="000000"/>
          <w:sz w:val="18"/>
        </w:rPr>
        <w:t>Provision for Credit Losses.</w:t>
      </w:r>
      <w:r>
        <w:rPr>
          <w:color w:val="000000"/>
        </w:rPr>
        <w:t> </w:t>
      </w:r>
      <w:r>
        <w:rPr>
          <w:rFonts w:ascii="Times New Roman;serif" w:hAnsi="Times New Roman;serif"/>
          <w:b w:val="false"/>
          <w:color w:val="000000"/>
          <w:sz w:val="18"/>
          <w:shd w:fill="FFFFFF" w:val="clear"/>
        </w:rPr>
        <w:t>The following table presents a breakdown of the components of the provision for credit losses:</w:t>
      </w:r>
    </w:p>
    <w:tbl>
      <w:tblPr>
        <w:tblW w:w="7810" w:type="dxa"/>
        <w:jc w:val="left"/>
        <w:tblInd w:w="0" w:type="dxa"/>
        <w:tblLayout w:type="fixed"/>
        <w:tblCellMar>
          <w:top w:w="28" w:type="dxa"/>
          <w:left w:w="28" w:type="dxa"/>
          <w:bottom w:w="28" w:type="dxa"/>
          <w:right w:w="28" w:type="dxa"/>
        </w:tblCellMar>
      </w:tblPr>
      <w:tblGrid>
        <w:gridCol w:w="911"/>
        <w:gridCol w:w="803"/>
        <w:gridCol w:w="805"/>
        <w:gridCol w:w="263"/>
        <w:gridCol w:w="746"/>
        <w:gridCol w:w="146"/>
        <w:gridCol w:w="109"/>
        <w:gridCol w:w="109"/>
        <w:gridCol w:w="109"/>
        <w:gridCol w:w="263"/>
        <w:gridCol w:w="746"/>
        <w:gridCol w:w="146"/>
        <w:gridCol w:w="109"/>
        <w:gridCol w:w="109"/>
        <w:gridCol w:w="109"/>
        <w:gridCol w:w="196"/>
        <w:gridCol w:w="631"/>
        <w:gridCol w:w="109"/>
        <w:gridCol w:w="109"/>
        <w:gridCol w:w="109"/>
        <w:gridCol w:w="109"/>
        <w:gridCol w:w="248"/>
        <w:gridCol w:w="248"/>
        <w:gridCol w:w="568"/>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Provision for credit losses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Off-balance sheet credit exposure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provision for credit losses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40"/>
        <w:jc w:val="both"/>
        <w:rPr/>
      </w:pPr>
      <w:r>
        <w:rPr>
          <w:rFonts w:ascii="Times New Roman;serif" w:hAnsi="Times New Roman;serif"/>
          <w:b w:val="false"/>
          <w:color w:val="000000"/>
          <w:sz w:val="18"/>
          <w:shd w:fill="FFFFFF" w:val="clear"/>
        </w:rPr>
        <w:t>For the six months ended June 30</w:t>
      </w:r>
      <w:r>
        <w:rPr>
          <w:rFonts w:ascii="Times New Roman;serif" w:hAnsi="Times New Roman;serif"/>
          <w:b w:val="false"/>
          <w:color w:val="000000"/>
          <w:sz w:val="18"/>
        </w:rPr>
        <w:t>, 2026</w:t>
      </w:r>
      <w:r>
        <w:rPr>
          <w:rFonts w:ascii="Times New Roman;serif" w:hAnsi="Times New Roman;serif"/>
          <w:b w:val="false"/>
          <w:color w:val="000000"/>
          <w:sz w:val="18"/>
          <w:shd w:fill="FFFFFF" w:val="clear"/>
        </w:rPr>
        <w:t>, the "loans" portion of the provision for credit losses was the result of the following, offset by net charge-offs of $3.7 million during the period:</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$0.2 million benefit driven by changes in the loan mix.</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$0.3 million benefit due to changes in the projected economic forecast, specifically the national unemployment rate, and changes in qualitative adjustments.</w:t>
      </w:r>
    </w:p>
    <w:p>
      <w:pPr>
        <w:pStyle w:val="TextBody"/>
        <w:bidi w:val="0"/>
        <w:spacing w:lineRule="auto" w:line="288" w:before="0" w:after="80"/>
        <w:ind w:left="0" w:right="0" w:hanging="270"/>
        <w:jc w:val="both"/>
        <w:rPr/>
      </w:pPr>
      <w:r>
        <w:rPr>
          <w:color w:val="000000"/>
          <w:shd w:fill="FFFFFF" w:val="clear"/>
        </w:rPr>
        <w:t>•</w:t>
      </w:r>
      <w:r>
        <w:rPr>
          <w:rFonts w:ascii="Times New Roman;serif" w:hAnsi="Times New Roman;serif"/>
          <w:b w:val="false"/>
          <w:color w:val="000000"/>
          <w:sz w:val="18"/>
          <w:shd w:fill="FFFFFF" w:val="clear"/>
        </w:rPr>
        <w:t>$1.2 million decrease in specific reserves on individually evaluated credits.</w:t>
      </w:r>
    </w:p>
    <w:p>
      <w:pPr>
        <w:pStyle w:val="TextBody"/>
        <w:bidi w:val="0"/>
        <w:spacing w:lineRule="auto" w:line="288" w:before="0" w:after="40"/>
        <w:jc w:val="both"/>
        <w:rPr/>
      </w:pPr>
      <w:r>
        <w:rPr>
          <w:rFonts w:ascii="Times New Roman;serif" w:hAnsi="Times New Roman;serif"/>
          <w:b w:val="false"/>
          <w:color w:val="000000"/>
          <w:sz w:val="18"/>
          <w:shd w:fill="FFFFFF" w:val="clear"/>
        </w:rPr>
        <w:t xml:space="preserve">For the six months June 30, </w:t>
      </w:r>
      <w:r>
        <w:rPr>
          <w:rFonts w:ascii="Times New Roman;serif" w:hAnsi="Times New Roman;serif"/>
          <w:b w:val="false"/>
          <w:color w:val="000000"/>
          <w:sz w:val="18"/>
        </w:rPr>
        <w:t>2025</w:t>
      </w:r>
      <w:r>
        <w:rPr>
          <w:rFonts w:ascii="Times New Roman;serif" w:hAnsi="Times New Roman;serif"/>
          <w:b w:val="false"/>
          <w:color w:val="000000"/>
          <w:sz w:val="18"/>
          <w:shd w:fill="FFFFFF" w:val="clear"/>
        </w:rPr>
        <w:t>, the "loans" portion of the provision for credit losses was the result of the following, offset by net charge-offs of $3.3 million during the period:</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$0.9 million benefit driven by changes in the loan mix.</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color w:val="000000"/>
          <w:sz w:val="18"/>
          <w:shd w:fill="FFFFFF" w:val="clear"/>
        </w:rPr>
        <w:t>$1.6 million benefit due to changes in qualitative adjustments, partially offset by a slight worsening of the projected economic forecast, specifically the national unemployment rate. Of note, we released the $2.2 million qualitative allocation previously established for the potential impact of Hurricane Helene upon our loan portfolio which had been established in the quarter ended September 30, 2024.</w:t>
      </w:r>
    </w:p>
    <w:p>
      <w:pPr>
        <w:pStyle w:val="TextBody"/>
        <w:bidi w:val="0"/>
        <w:spacing w:lineRule="auto" w:line="288" w:before="0" w:after="80"/>
        <w:ind w:left="0" w:right="0" w:hanging="270"/>
        <w:jc w:val="both"/>
        <w:rPr/>
      </w:pPr>
      <w:r>
        <w:rPr>
          <w:color w:val="000000"/>
          <w:shd w:fill="FFFFFF" w:val="clear"/>
        </w:rPr>
        <w:t>•</w:t>
      </w:r>
      <w:r>
        <w:rPr>
          <w:rFonts w:ascii="Times New Roman;serif" w:hAnsi="Times New Roman;serif"/>
          <w:b w:val="false"/>
          <w:color w:val="000000"/>
          <w:sz w:val="18"/>
          <w:shd w:fill="FFFFFF" w:val="clear"/>
        </w:rPr>
        <w:t>$1.4 million increase in specific reserves on individually evaluated loans.</w:t>
      </w:r>
    </w:p>
    <w:p>
      <w:pPr>
        <w:pStyle w:val="TextBody"/>
        <w:bidi w:val="0"/>
        <w:spacing w:lineRule="auto" w:line="288" w:before="0" w:after="80"/>
        <w:jc w:val="both"/>
        <w:rPr/>
      </w:pPr>
      <w:r>
        <w:rPr>
          <w:rFonts w:ascii="Times New Roman;serif" w:hAnsi="Times New Roman;serif"/>
          <w:b w:val="false"/>
          <w:color w:val="000000"/>
          <w:sz w:val="18"/>
          <w:shd w:fill="FFFFFF" w:val="clear"/>
        </w:rPr>
        <w:t>For the six months ended June 30</w:t>
      </w:r>
      <w:r>
        <w:rPr>
          <w:rFonts w:ascii="Times New Roman;serif" w:hAnsi="Times New Roman;serif"/>
          <w:b w:val="false"/>
          <w:color w:val="000000"/>
          <w:sz w:val="18"/>
        </w:rPr>
        <w:t xml:space="preserve">, 2026 and </w:t>
      </w:r>
      <w:r>
        <w:rPr>
          <w:rFonts w:ascii="Times New Roman;serif" w:hAnsi="Times New Roman;serif"/>
          <w:b w:val="false"/>
          <w:color w:val="000000"/>
          <w:sz w:val="18"/>
          <w:shd w:fill="FFFFFF" w:val="clear"/>
        </w:rPr>
        <w:t>June 30</w:t>
      </w:r>
      <w:r>
        <w:rPr>
          <w:rFonts w:ascii="Times New Roman;serif" w:hAnsi="Times New Roman;serif"/>
          <w:b w:val="false"/>
          <w:color w:val="000000"/>
          <w:sz w:val="18"/>
        </w:rPr>
        <w:t>, 2025</w:t>
      </w:r>
      <w:r>
        <w:rPr>
          <w:rFonts w:ascii="Times New Roman;serif" w:hAnsi="Times New Roman;serif"/>
          <w:b w:val="false"/>
          <w:color w:val="000000"/>
          <w:sz w:val="18"/>
          <w:shd w:fill="FFFFFF" w:val="clear"/>
        </w:rPr>
        <w:t>, the amounts recorded for off-balance sheet credit exposure were the result of changes in the balance of loan commitments, loan mix, projected economic forecast and qualitative allocations as outlined above.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erif" w:hAnsi="Times New Roman;serif"/>
          <w:b/>
          <w:i/>
          <w:color w:val="000000"/>
          <w:sz w:val="18"/>
        </w:rPr>
        <w:t>Noninterest Income.</w:t>
      </w:r>
      <w:r>
        <w:rPr>
          <w:color w:val="000000"/>
        </w:rPr>
        <w:t> </w:t>
      </w:r>
      <w:r>
        <w:rPr>
          <w:rFonts w:ascii="Times New Roman;serif" w:hAnsi="Times New Roman;serif"/>
          <w:b w:val="false"/>
          <w:color w:val="000000"/>
          <w:sz w:val="18"/>
        </w:rPr>
        <w:t>Noninterest income for the six months ended June 30, 2026</w:t>
      </w:r>
      <w:r>
        <w:rPr>
          <w:color w:val="EE2724"/>
        </w:rPr>
        <w:t xml:space="preserve"> </w:t>
      </w:r>
      <w:r>
        <w:rPr>
          <w:rFonts w:ascii="Times New Roman;serif" w:hAnsi="Times New Roman;serif"/>
          <w:b w:val="false"/>
          <w:color w:val="000000"/>
          <w:sz w:val="18"/>
        </w:rPr>
        <w:t>increased $1.1 million, or 6.0%, when compared to the same period last year. Changes in the components of noninterest income are discussed below:</w:t>
      </w:r>
    </w:p>
    <w:tbl>
      <w:tblPr>
        <w:tblW w:w="8575" w:type="dxa"/>
        <w:jc w:val="left"/>
        <w:tblInd w:w="0" w:type="dxa"/>
        <w:tblLayout w:type="fixed"/>
        <w:tblCellMar>
          <w:top w:w="28" w:type="dxa"/>
          <w:left w:w="28" w:type="dxa"/>
          <w:bottom w:w="28" w:type="dxa"/>
          <w:right w:w="28" w:type="dxa"/>
        </w:tblCellMar>
      </w:tblPr>
      <w:tblGrid>
        <w:gridCol w:w="1192"/>
        <w:gridCol w:w="1052"/>
        <w:gridCol w:w="1055"/>
        <w:gridCol w:w="238"/>
        <w:gridCol w:w="785"/>
        <w:gridCol w:w="132"/>
        <w:gridCol w:w="109"/>
        <w:gridCol w:w="109"/>
        <w:gridCol w:w="109"/>
        <w:gridCol w:w="238"/>
        <w:gridCol w:w="785"/>
        <w:gridCol w:w="132"/>
        <w:gridCol w:w="109"/>
        <w:gridCol w:w="109"/>
        <w:gridCol w:w="109"/>
        <w:gridCol w:w="196"/>
        <w:gridCol w:w="556"/>
        <w:gridCol w:w="109"/>
        <w:gridCol w:w="109"/>
        <w:gridCol w:w="109"/>
        <w:gridCol w:w="109"/>
        <w:gridCol w:w="278"/>
        <w:gridCol w:w="278"/>
        <w:gridCol w:w="568"/>
      </w:tblGrid>
      <w:tr>
        <w:trPr/>
        <w:tc>
          <w:tcPr>
            <w:tcW w:w="119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 on deposit accounts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income and fees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held for sale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 income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branches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premises and equipment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5,179 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income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Gain on sale of loans held for sale:</w:t>
      </w:r>
      <w:r>
        <w:rPr>
          <w:color w:val="000000"/>
        </w:rPr>
        <w:t xml:space="preserve"> </w:t>
      </w:r>
      <w:r>
        <w:rPr>
          <w:rFonts w:ascii="Times New Roman;serif" w:hAnsi="Times New Roman;serif"/>
          <w:b w:val="false"/>
          <w:color w:val="000000"/>
          <w:sz w:val="18"/>
        </w:rPr>
        <w:t>The increase was primarily driven by an increase in the sales volume of the guaranteed portion of SBA commercial loans, partially offset by a reduction in the sales volume of HELOC loans. During the six months ended June 30, 2026, there were $31.7 million of sales of the guaranteed portion of SBA commercial loans with gains of $2.5 million compared to $11.9 million sold with gains of $936,000 for the corresponding period in the prior year. There were $63.2 million of residential mortgage loans sold during the current period for gains of $912,000 compared to $49.1 million sold with gains of $1.0 million for the corresponding period in the prior year. There were $120.2 million of HELOCs originated for sale which were sold during the current period with gains of $1.0 million compared to $198.2 million sold with gains of $2.0 million for the corresponding period in the prior year. Lastly, our hedging of mandatory commitments on the residential mortgage loan pipeline resulted in a net gain of $72,000 for the six months ended June 30, 2026 compared to $40,000 for the six months ended June 30, 2025.</w:t>
      </w:r>
    </w:p>
    <w:p>
      <w:pPr>
        <w:pStyle w:val="TextBody"/>
        <w:bidi w:val="0"/>
        <w:spacing w:lineRule="auto" w:line="288" w:before="0" w:after="40"/>
        <w:ind w:left="0" w:right="0" w:hanging="270"/>
        <w:jc w:val="both"/>
        <w:rPr/>
      </w:pPr>
      <w:r>
        <w:rPr>
          <w:color w:val="000000"/>
          <w:shd w:fill="FFFFFF" w:val="clear"/>
        </w:rPr>
        <w:t>•</w:t>
      </w:r>
      <w:r>
        <w:rPr>
          <w:rFonts w:ascii="Times New Roman;serif" w:hAnsi="Times New Roman;serif"/>
          <w:b w:val="false"/>
          <w:i/>
          <w:color w:val="000000"/>
          <w:sz w:val="18"/>
        </w:rPr>
        <w:t>Gain on sale of branches:</w:t>
      </w:r>
      <w:r>
        <w:rPr>
          <w:color w:val="000000"/>
        </w:rPr>
        <w:t xml:space="preserve"> </w:t>
      </w:r>
      <w:r>
        <w:rPr>
          <w:rFonts w:ascii="Times New Roman;serif" w:hAnsi="Times New Roman;serif"/>
          <w:b w:val="false"/>
          <w:color w:val="000000"/>
          <w:sz w:val="18"/>
        </w:rPr>
        <w:t>During the prior year we completed the sale of our two Knoxville, Tennessee branches, recognizing a gain of $1.4 million, with no similar activity occurring in the current year.</w:t>
      </w:r>
    </w:p>
    <w:p>
      <w:pPr>
        <w:pStyle w:val="TextBody"/>
        <w:bidi w:val="0"/>
        <w:spacing w:lineRule="auto" w:line="288" w:before="0" w:after="80"/>
        <w:ind w:left="0" w:right="0" w:hanging="270"/>
        <w:jc w:val="both"/>
        <w:rPr/>
      </w:pPr>
      <w:r>
        <w:rPr>
          <w:color w:val="000000"/>
        </w:rPr>
        <w:t>•</w:t>
      </w:r>
      <w:r>
        <w:rPr>
          <w:rFonts w:ascii="Times New Roman;serif" w:hAnsi="Times New Roman;serif"/>
          <w:b w:val="false"/>
          <w:i/>
          <w:color w:val="000000"/>
          <w:sz w:val="18"/>
        </w:rPr>
        <w:t>Gain on sale of premises and equipment:</w:t>
      </w:r>
      <w:r>
        <w:rPr>
          <w:color w:val="000000"/>
        </w:rPr>
        <w:t xml:space="preserve"> </w:t>
      </w:r>
      <w:r>
        <w:rPr>
          <w:rFonts w:ascii="Times New Roman;serif" w:hAnsi="Times New Roman;serif"/>
          <w:b w:val="false"/>
          <w:color w:val="000000"/>
          <w:sz w:val="18"/>
        </w:rPr>
        <w:t>In both periods presented, gains were recognized on the sale of excess parcels of real estate.</w:t>
      </w:r>
    </w:p>
    <w:p>
      <w:pPr>
        <w:pStyle w:val="TextBody"/>
        <w:bidi w:val="0"/>
        <w:spacing w:lineRule="auto" w:line="288" w:before="0" w:after="60"/>
        <w:jc w:val="both"/>
        <w:rPr/>
      </w:pPr>
      <w:r>
        <w:rPr>
          <w:rFonts w:ascii="Times New Roman;serif" w:hAnsi="Times New Roman;serif"/>
          <w:b/>
          <w:i/>
          <w:color w:val="000000"/>
          <w:sz w:val="18"/>
        </w:rPr>
        <w:t>Noninterest Expense.</w:t>
      </w:r>
      <w:r>
        <w:rPr>
          <w:color w:val="000000"/>
        </w:rPr>
        <w:t> </w:t>
      </w:r>
      <w:r>
        <w:rPr>
          <w:rFonts w:ascii="Times New Roman;serif" w:hAnsi="Times New Roman;serif"/>
          <w:b w:val="false"/>
          <w:color w:val="000000"/>
          <w:sz w:val="18"/>
        </w:rPr>
        <w:t>Noninterest expense for the six months ended June 30, 2026 increased $4.7 million, or 7.6%, when compared to the same period last year. Changes in the components of noninterest expense are discussed below:</w:t>
      </w:r>
    </w:p>
    <w:tbl>
      <w:tblPr>
        <w:tblW w:w="9340" w:type="dxa"/>
        <w:jc w:val="left"/>
        <w:tblInd w:w="0" w:type="dxa"/>
        <w:tblLayout w:type="fixed"/>
        <w:tblCellMar>
          <w:top w:w="28" w:type="dxa"/>
          <w:left w:w="28" w:type="dxa"/>
          <w:bottom w:w="28" w:type="dxa"/>
          <w:right w:w="28" w:type="dxa"/>
        </w:tblCellMar>
      </w:tblPr>
      <w:tblGrid>
        <w:gridCol w:w="1517"/>
        <w:gridCol w:w="1339"/>
        <w:gridCol w:w="1343"/>
        <w:gridCol w:w="238"/>
        <w:gridCol w:w="785"/>
        <w:gridCol w:w="132"/>
        <w:gridCol w:w="109"/>
        <w:gridCol w:w="109"/>
        <w:gridCol w:w="109"/>
        <w:gridCol w:w="238"/>
        <w:gridCol w:w="785"/>
        <w:gridCol w:w="132"/>
        <w:gridCol w:w="109"/>
        <w:gridCol w:w="109"/>
        <w:gridCol w:w="109"/>
        <w:gridCol w:w="196"/>
        <w:gridCol w:w="556"/>
        <w:gridCol w:w="109"/>
        <w:gridCol w:w="109"/>
        <w:gridCol w:w="109"/>
        <w:gridCol w:w="109"/>
        <w:gridCol w:w="210"/>
        <w:gridCol w:w="211"/>
        <w:gridCol w:w="568"/>
      </w:tblGrid>
      <w:tr>
        <w:trPr/>
        <w:tc>
          <w:tcPr>
            <w:tcW w:w="151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 expense,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depreciation expense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 postage and supplies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advertising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 insurance premiums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 amortization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redemption of junior subordinated debt securities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noninterest expense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 xml:space="preserve">Salaries and employee benefits: </w:t>
      </w:r>
      <w:r>
        <w:rPr>
          <w:rFonts w:ascii="Times New Roman;serif" w:hAnsi="Times New Roman;serif"/>
          <w:b w:val="false"/>
          <w:color w:val="000000"/>
          <w:sz w:val="18"/>
        </w:rPr>
        <w:t>The increase was primarily the result of increases in both pay and incentive compensation.</w:t>
      </w:r>
    </w:p>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Computer services:</w:t>
      </w:r>
      <w:r>
        <w:rPr>
          <w:color w:val="000000"/>
        </w:rPr>
        <w:t xml:space="preserve"> </w:t>
      </w:r>
      <w:r>
        <w:rPr>
          <w:rFonts w:ascii="Times New Roman;serif" w:hAnsi="Times New Roman;serif"/>
          <w:b w:val="false"/>
          <w:color w:val="000000"/>
          <w:sz w:val="18"/>
        </w:rPr>
        <w:t>The increase year-over-year reflects the Company's further investment in both our internal- and external-facing technological capabilities.</w:t>
      </w:r>
    </w:p>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 xml:space="preserve">Operating lease depreciation expense: </w:t>
      </w:r>
      <w:r>
        <w:rPr>
          <w:rFonts w:ascii="Times New Roman;serif" w:hAnsi="Times New Roman;serif"/>
          <w:b w:val="false"/>
          <w:color w:val="000000"/>
          <w:sz w:val="18"/>
        </w:rPr>
        <w:t>The decrease was due to a decline in the population of operating lease contracts (assets being depreciated) year-over-year.</w:t>
      </w:r>
    </w:p>
    <w:p>
      <w:pPr>
        <w:pStyle w:val="TextBody"/>
        <w:bidi w:val="0"/>
        <w:spacing w:lineRule="auto" w:line="288" w:before="0" w:after="40"/>
        <w:ind w:left="0" w:right="0" w:hanging="270"/>
        <w:jc w:val="both"/>
        <w:rPr/>
      </w:pPr>
      <w:r>
        <w:rPr>
          <w:color w:val="000000"/>
        </w:rPr>
        <w:t>•</w:t>
      </w:r>
      <w:r>
        <w:rPr>
          <w:rFonts w:ascii="Times New Roman;serif" w:hAnsi="Times New Roman;serif"/>
          <w:b w:val="false"/>
          <w:i/>
          <w:color w:val="000000"/>
          <w:sz w:val="18"/>
        </w:rPr>
        <w:t xml:space="preserve">Core deposit intangible amortization: </w:t>
      </w:r>
      <w:r>
        <w:rPr>
          <w:rFonts w:ascii="Times New Roman;serif" w:hAnsi="Times New Roman;serif"/>
          <w:b w:val="false"/>
          <w:color w:val="000000"/>
          <w:sz w:val="18"/>
        </w:rPr>
        <w:t>The intangible recorded associated with the Quantum merger is being amortized on an accelerated basis, so the rate of amortization slowed year-over-year.</w:t>
      </w:r>
    </w:p>
    <w:p>
      <w:pPr>
        <w:pStyle w:val="TextBody"/>
        <w:bidi w:val="0"/>
        <w:spacing w:lineRule="auto" w:line="288" w:before="0" w:after="80"/>
        <w:ind w:left="0" w:right="0" w:hanging="270"/>
        <w:jc w:val="both"/>
        <w:rPr/>
      </w:pPr>
      <w:r>
        <w:rPr>
          <w:color w:val="000000"/>
        </w:rPr>
        <w:t>•</w:t>
      </w:r>
      <w:r>
        <w:rPr>
          <w:rFonts w:ascii="Times New Roman;serif" w:hAnsi="Times New Roman;serif"/>
          <w:b w:val="false"/>
          <w:i/>
          <w:color w:val="000000"/>
          <w:sz w:val="18"/>
        </w:rPr>
        <w:t xml:space="preserve">Loss on redemption of junior subordinated debt securities: </w:t>
      </w:r>
      <w:r>
        <w:rPr>
          <w:rFonts w:ascii="Times New Roman;serif" w:hAnsi="Times New Roman;serif"/>
          <w:b w:val="false"/>
          <w:color w:val="000000"/>
          <w:sz w:val="18"/>
        </w:rPr>
        <w:t>See explanation in the "Comparison of Results of Operations for the Three Months Ended June 30, 2026 and March 31, 2026 – Noninterest Expense" section above.</w:t>
      </w:r>
    </w:p>
    <w:p>
      <w:pPr>
        <w:pStyle w:val="TextBody"/>
        <w:bidi w:val="0"/>
        <w:spacing w:lineRule="auto" w:line="288" w:before="0" w:after="120"/>
        <w:jc w:val="both"/>
        <w:rPr/>
      </w:pPr>
      <w:r>
        <w:rPr>
          <w:rFonts w:ascii="Times New Roman;serif" w:hAnsi="Times New Roman;serif"/>
          <w:b/>
          <w:i/>
          <w:color w:val="000000"/>
          <w:sz w:val="18"/>
        </w:rPr>
        <w:t>Income Taxes.</w:t>
      </w:r>
      <w:r>
        <w:rPr>
          <w:color w:val="000000"/>
        </w:rPr>
        <w:t> </w:t>
      </w:r>
      <w:r>
        <w:rPr>
          <w:rFonts w:ascii="Times New Roman;serif" w:hAnsi="Times New Roman;serif"/>
          <w:b w:val="false"/>
          <w:color w:val="000000"/>
          <w:sz w:val="18"/>
          <w:shd w:fill="FFFFFF" w:val="clear"/>
        </w:rPr>
        <w:t xml:space="preserve">The amount of income tax expense is influenced by the amount of pre-tax income, tax-exempt income, changes in the statutory rate and the effect of changes in valuation allowances maintained against deferred tax benefits. </w:t>
      </w:r>
      <w:r>
        <w:rPr>
          <w:rFonts w:ascii="Times New Roman;serif" w:hAnsi="Times New Roman;serif"/>
          <w:b w:val="false"/>
          <w:color w:val="000000"/>
          <w:sz w:val="18"/>
        </w:rPr>
        <w:t>The effective tax rates for the six months ended June 30, 2026 and 2025 were 20.3% and 21.1%,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both"/>
        <w:rPr/>
      </w:pPr>
      <w:r>
        <w:rPr>
          <w:rFonts w:ascii="Times New Roman;serif" w:hAnsi="Times New Roman;serif"/>
          <w:b/>
          <w:color w:val="000000"/>
          <w:sz w:val="18"/>
          <w:shd w:fill="FFFFFF" w:val="clear"/>
        </w:rPr>
        <w:t xml:space="preserve">Comparison of Financial Condition at </w:t>
      </w:r>
      <w:r>
        <w:rPr>
          <w:rFonts w:ascii="Times New Roman;serif" w:hAnsi="Times New Roman;serif"/>
          <w:b/>
          <w:color w:val="000000"/>
          <w:sz w:val="18"/>
        </w:rPr>
        <w:t>June 30, 2026</w:t>
      </w:r>
      <w:r>
        <w:rPr>
          <w:color w:val="000000"/>
          <w:shd w:fill="FFFFFF" w:val="clear"/>
        </w:rPr>
        <w:t xml:space="preserve"> </w:t>
      </w:r>
      <w:r>
        <w:rPr>
          <w:rFonts w:ascii="Times New Roman;serif" w:hAnsi="Times New Roman;serif"/>
          <w:b/>
          <w:color w:val="000000"/>
          <w:sz w:val="18"/>
          <w:shd w:fill="FFFFFF" w:val="clear"/>
        </w:rPr>
        <w:t xml:space="preserve">and </w:t>
      </w:r>
      <w:r>
        <w:rPr>
          <w:rFonts w:ascii="Times New Roman;serif" w:hAnsi="Times New Roman;serif"/>
          <w:b/>
          <w:color w:val="000000"/>
          <w:sz w:val="18"/>
        </w:rPr>
        <w:t>December 31, 2025</w:t>
      </w:r>
    </w:p>
    <w:p>
      <w:pPr>
        <w:pStyle w:val="TextBody"/>
        <w:bidi w:val="0"/>
        <w:spacing w:lineRule="auto" w:line="288" w:before="0" w:after="80"/>
        <w:jc w:val="both"/>
        <w:rPr/>
      </w:pPr>
      <w:r>
        <w:rPr>
          <w:rFonts w:ascii="Times New Roman;serif" w:hAnsi="Times New Roman;serif"/>
          <w:b/>
          <w:i/>
          <w:color w:val="000000"/>
          <w:sz w:val="18"/>
          <w:shd w:fill="FFFFFF" w:val="clear"/>
        </w:rPr>
        <w:t xml:space="preserve">General.  </w:t>
      </w:r>
      <w:r>
        <w:rPr>
          <w:rFonts w:ascii="Times New Roman;serif" w:hAnsi="Times New Roman;serif"/>
          <w:b w:val="false"/>
          <w:color w:val="000000"/>
          <w:sz w:val="18"/>
        </w:rPr>
        <w:t>Total assets decreased by $105.4 million to $4.4 billion and total liabilities decreased by $105.3 million to $3.8 billion at June 30</w:t>
      </w:r>
      <w:r>
        <w:rPr>
          <w:rFonts w:ascii="Times New Roman;serif" w:hAnsi="Times New Roman;serif"/>
          <w:b w:val="false"/>
          <w:color w:val="000000"/>
          <w:sz w:val="18"/>
          <w:shd w:fill="FFFFFF" w:val="clear"/>
        </w:rPr>
        <w:t xml:space="preserve">, </w:t>
      </w:r>
      <w:r>
        <w:rPr>
          <w:rFonts w:ascii="Times New Roman;serif" w:hAnsi="Times New Roman;serif"/>
          <w:b w:val="false"/>
          <w:color w:val="000000"/>
          <w:sz w:val="18"/>
        </w:rPr>
        <w:t>2026 as compared to December 31, 2025.</w:t>
      </w:r>
      <w:r>
        <w:rPr>
          <w:color w:val="EE2724"/>
        </w:rPr>
        <w:t xml:space="preserve"> </w:t>
      </w:r>
      <w:r>
        <w:rPr>
          <w:rFonts w:ascii="Times New Roman;serif" w:hAnsi="Times New Roman;serif"/>
          <w:b w:val="false"/>
          <w:color w:val="000000"/>
          <w:sz w:val="18"/>
        </w:rPr>
        <w:t>These changes can be traced to the use of existing liquidity and the proceeds from loan sales to offset a $103.2 million decline in deposits. The decrease in deposits was the result of a $134.6 million reduction in brokered deposits, partially offset by an increase of $31.5 million in all other deposit categories.</w:t>
      </w:r>
    </w:p>
    <w:p>
      <w:pPr>
        <w:pStyle w:val="TextBody"/>
        <w:bidi w:val="0"/>
        <w:spacing w:lineRule="auto" w:line="288" w:before="0" w:after="80"/>
        <w:jc w:val="both"/>
        <w:rPr/>
      </w:pPr>
      <w:r>
        <w:rPr>
          <w:rFonts w:ascii="Times New Roman;serif" w:hAnsi="Times New Roman;serif"/>
          <w:b/>
          <w:i/>
          <w:color w:val="000000"/>
          <w:sz w:val="18"/>
        </w:rPr>
        <w:t>Cash and Cash Equivalents.</w:t>
      </w:r>
      <w:r>
        <w:rPr>
          <w:color w:val="000000"/>
        </w:rPr>
        <w:t xml:space="preserve">  </w:t>
      </w:r>
      <w:r>
        <w:rPr>
          <w:rFonts w:ascii="Times New Roman;serif" w:hAnsi="Times New Roman;serif"/>
          <w:b w:val="false"/>
          <w:color w:val="000000"/>
          <w:sz w:val="18"/>
        </w:rPr>
        <w:t>Total cash and cash equivalents decreased $52.1 million, or 16.1%, to $272.5 million at June 30, 2026 from $324.7 million at December 31, 2025.</w:t>
      </w:r>
    </w:p>
    <w:p>
      <w:pPr>
        <w:pStyle w:val="TextBody"/>
        <w:bidi w:val="0"/>
        <w:spacing w:lineRule="auto" w:line="288" w:before="0" w:after="80"/>
        <w:jc w:val="both"/>
        <w:rPr/>
      </w:pPr>
      <w:r>
        <w:rPr>
          <w:rFonts w:ascii="Times New Roman;serif" w:hAnsi="Times New Roman;serif"/>
          <w:b/>
          <w:i/>
          <w:color w:val="000000"/>
          <w:sz w:val="18"/>
        </w:rPr>
        <w:t>Certificates of Deposit in Other Banks.</w:t>
      </w:r>
      <w:r>
        <w:rPr>
          <w:color w:val="000000"/>
        </w:rPr>
        <w:t xml:space="preserve">  </w:t>
      </w:r>
      <w:r>
        <w:rPr>
          <w:rFonts w:ascii="Times New Roman;serif" w:hAnsi="Times New Roman;serif"/>
          <w:b w:val="false"/>
          <w:color w:val="000000"/>
          <w:sz w:val="18"/>
        </w:rPr>
        <w:t>Total certificates of deposit in other banks decreased $7.2 million, or 38.3%, to $11.6 million at June 30, 2026 compared to December 31, 2025.</w:t>
      </w:r>
    </w:p>
    <w:p>
      <w:pPr>
        <w:pStyle w:val="TextBody"/>
        <w:bidi w:val="0"/>
        <w:spacing w:lineRule="auto" w:line="288" w:before="0" w:after="80"/>
        <w:jc w:val="both"/>
        <w:rPr/>
      </w:pPr>
      <w:r>
        <w:rPr>
          <w:rFonts w:ascii="Times New Roman;serif" w:hAnsi="Times New Roman;serif"/>
          <w:b/>
          <w:i/>
          <w:color w:val="000000"/>
          <w:sz w:val="18"/>
        </w:rPr>
        <w:t>Debt Securities Available for Sale. </w:t>
      </w:r>
      <w:r>
        <w:rPr>
          <w:color w:val="000000"/>
        </w:rPr>
        <w:t xml:space="preserve"> </w:t>
      </w:r>
      <w:r>
        <w:rPr>
          <w:rFonts w:ascii="Times New Roman;serif" w:hAnsi="Times New Roman;serif"/>
          <w:b w:val="false"/>
          <w:color w:val="000000"/>
          <w:sz w:val="18"/>
        </w:rPr>
        <w:t>Debt securities available for sale increased $3.3 million, or 2.3%, to $145.9 million at June 30, 2026 from $142.5 million at December 31, 2025. Outside of fluctuations in value, the changes between periods were the result of $26.7 million in purchases, partially offset by $22.5 million in proceeds from the maturity, call and paydown of securities. All purchases were MBS and consistent with the composition of the existing securities held in the portfolio.</w:t>
      </w:r>
    </w:p>
    <w:p>
      <w:pPr>
        <w:pStyle w:val="TextBody"/>
        <w:bidi w:val="0"/>
        <w:spacing w:lineRule="auto" w:line="288" w:before="0" w:after="80"/>
        <w:jc w:val="both"/>
        <w:rPr/>
      </w:pPr>
      <w:r>
        <w:rPr>
          <w:rFonts w:ascii="Times New Roman;serif" w:hAnsi="Times New Roman;serif"/>
          <w:b/>
          <w:i/>
          <w:color w:val="000000"/>
          <w:sz w:val="18"/>
        </w:rPr>
        <w:t xml:space="preserve">Loans Held for Sale. </w:t>
      </w:r>
      <w:r>
        <w:rPr>
          <w:rFonts w:ascii="Times New Roman;serif" w:hAnsi="Times New Roman;serif"/>
          <w:b w:val="false"/>
          <w:color w:val="000000"/>
          <w:sz w:val="18"/>
        </w:rPr>
        <w:t>Loans held for sale decreased $84.8 million, or 41.2%, to $120.9 million at June 30, 2026 from $205.7 million at December 31, 2025. This was driven by a decrease of $81.1 million, or 49.8%, in HELOCs held for sale due to loan sales during the current period</w:t>
      </w:r>
      <w:r>
        <w:rPr>
          <w:rFonts w:ascii="Times New Roman;serif" w:hAnsi="Times New Roman;serif"/>
          <w:b w:val="false"/>
          <w:color w:val="000000"/>
          <w:sz w:val="18"/>
          <w:shd w:fill="FFFFFF" w:val="clear"/>
        </w:rPr>
        <w:t>.</w:t>
      </w:r>
    </w:p>
    <w:p>
      <w:pPr>
        <w:pStyle w:val="TextBody"/>
        <w:bidi w:val="0"/>
        <w:spacing w:lineRule="auto" w:line="288" w:before="0" w:after="40"/>
        <w:jc w:val="both"/>
        <w:rPr/>
      </w:pPr>
      <w:r>
        <w:rPr>
          <w:rFonts w:ascii="Times New Roman;serif" w:hAnsi="Times New Roman;serif"/>
          <w:b/>
          <w:i/>
          <w:color w:val="000000"/>
          <w:sz w:val="18"/>
        </w:rPr>
        <w:t>Loans, Net of Deferred Loan Fees and Costs.</w:t>
      </w:r>
      <w:r>
        <w:rPr>
          <w:color w:val="000000"/>
        </w:rPr>
        <w:t xml:space="preserve">  </w:t>
      </w:r>
      <w:r>
        <w:rPr>
          <w:rFonts w:ascii="Times New Roman;serif" w:hAnsi="Times New Roman;serif"/>
          <w:b w:val="false"/>
          <w:color w:val="000000"/>
          <w:sz w:val="18"/>
        </w:rPr>
        <w:t>Loans held for investment totaled $3.6 billion at June 30, 2026, an increase of $44.1 million, or 1.2%, compared to the balance as of December 31, 2025. The following table illustrates the changes within the portfolio:</w:t>
      </w:r>
    </w:p>
    <w:tbl>
      <w:tblPr>
        <w:tblW w:w="10205" w:type="dxa"/>
        <w:jc w:val="left"/>
        <w:tblInd w:w="0" w:type="dxa"/>
        <w:tblLayout w:type="fixed"/>
        <w:tblCellMar>
          <w:top w:w="28" w:type="dxa"/>
          <w:left w:w="28" w:type="dxa"/>
          <w:bottom w:w="28" w:type="dxa"/>
          <w:right w:w="28" w:type="dxa"/>
        </w:tblCellMar>
      </w:tblPr>
      <w:tblGrid>
        <w:gridCol w:w="899"/>
        <w:gridCol w:w="695"/>
        <w:gridCol w:w="699"/>
        <w:gridCol w:w="196"/>
        <w:gridCol w:w="871"/>
        <w:gridCol w:w="109"/>
        <w:gridCol w:w="109"/>
        <w:gridCol w:w="109"/>
        <w:gridCol w:w="109"/>
        <w:gridCol w:w="225"/>
        <w:gridCol w:w="1001"/>
        <w:gridCol w:w="125"/>
        <w:gridCol w:w="109"/>
        <w:gridCol w:w="109"/>
        <w:gridCol w:w="109"/>
        <w:gridCol w:w="196"/>
        <w:gridCol w:w="646"/>
        <w:gridCol w:w="109"/>
        <w:gridCol w:w="109"/>
        <w:gridCol w:w="109"/>
        <w:gridCol w:w="109"/>
        <w:gridCol w:w="185"/>
        <w:gridCol w:w="188"/>
        <w:gridCol w:w="256"/>
        <w:gridCol w:w="109"/>
        <w:gridCol w:w="109"/>
        <w:gridCol w:w="109"/>
        <w:gridCol w:w="265"/>
        <w:gridCol w:w="207"/>
        <w:gridCol w:w="432"/>
        <w:gridCol w:w="110"/>
        <w:gridCol w:w="110"/>
        <w:gridCol w:w="110"/>
        <w:gridCol w:w="278"/>
        <w:gridCol w:w="259"/>
        <w:gridCol w:w="726"/>
      </w:tblGrid>
      <w:tr>
        <w:trPr/>
        <w:tc>
          <w:tcPr>
            <w:tcW w:w="89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real estate loans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832,502 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1,782,491 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loans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loans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856,438 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Residential real estate loans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 loans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896,438 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Consumer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72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loans, net of deferred loan fees and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3,578,154 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pPr>
      <w:r>
        <w:rPr>
          <w:rFonts w:ascii="Times New Roman;serif" w:hAnsi="Times New Roman;serif"/>
          <w:b/>
          <w:i/>
          <w:color w:val="000000"/>
          <w:sz w:val="18"/>
        </w:rPr>
        <w:t>Asset Quality.</w:t>
      </w:r>
      <w:r>
        <w:rPr>
          <w:color w:val="000000"/>
        </w:rPr>
        <w:t xml:space="preserve"> </w:t>
      </w:r>
      <w:r>
        <w:rPr>
          <w:rFonts w:ascii="Times New Roman;serif" w:hAnsi="Times New Roman;serif"/>
          <w:b w:val="false"/>
          <w:color w:val="000000"/>
          <w:sz w:val="18"/>
        </w:rPr>
        <w:t>The following table sets forth the composition of nonperforming assets, made up of nonaccrual loans and repossessed assets, across our asset categories.</w:t>
      </w:r>
    </w:p>
    <w:tbl>
      <w:tblPr>
        <w:tblW w:w="10205" w:type="dxa"/>
        <w:jc w:val="left"/>
        <w:tblInd w:w="0" w:type="dxa"/>
        <w:tblLayout w:type="fixed"/>
        <w:tblCellMar>
          <w:top w:w="28" w:type="dxa"/>
          <w:left w:w="28" w:type="dxa"/>
          <w:bottom w:w="28" w:type="dxa"/>
          <w:right w:w="28" w:type="dxa"/>
        </w:tblCellMar>
      </w:tblPr>
      <w:tblGrid>
        <w:gridCol w:w="1878"/>
        <w:gridCol w:w="1451"/>
        <w:gridCol w:w="1457"/>
        <w:gridCol w:w="200"/>
        <w:gridCol w:w="662"/>
        <w:gridCol w:w="262"/>
        <w:gridCol w:w="109"/>
        <w:gridCol w:w="109"/>
        <w:gridCol w:w="109"/>
        <w:gridCol w:w="212"/>
        <w:gridCol w:w="700"/>
        <w:gridCol w:w="277"/>
        <w:gridCol w:w="109"/>
        <w:gridCol w:w="109"/>
        <w:gridCol w:w="109"/>
        <w:gridCol w:w="234"/>
        <w:gridCol w:w="772"/>
        <w:gridCol w:w="306"/>
        <w:gridCol w:w="109"/>
        <w:gridCol w:w="109"/>
        <w:gridCol w:w="109"/>
        <w:gridCol w:w="109"/>
        <w:gridCol w:w="109"/>
        <w:gridCol w:w="109"/>
        <w:gridCol w:w="109"/>
        <w:gridCol w:w="109"/>
        <w:gridCol w:w="109"/>
        <w:gridCol w:w="159"/>
      </w:tblGrid>
      <w:tr>
        <w:trPr/>
        <w:tc>
          <w:tcPr>
            <w:tcW w:w="187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Nonaccruing loans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real estate</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real estate</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Consumer</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nonaccruing loans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43,776 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repossessed assets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nonperforming assets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47,055 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nonperforming assets as a percentage of total assets</w:t>
            </w:r>
          </w:p>
        </w:tc>
        <w:tc>
          <w:tcPr>
            <w:tcW w:w="8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SBA loans included in nonaccrual loans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30,254 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Portion of SBA loans fully guaranteed by the SBA</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nonaccruing loans, excluding the balance fully guaranteed by the SBA</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repossessed assets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nonperforming assets, excluding the balance fully guaranteed by the SBA</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nonperforming assets, excluding the balance fully guaranteed by the SBA, as a percentage of total assets</w:t>
            </w:r>
          </w:p>
        </w:tc>
        <w:tc>
          <w:tcPr>
            <w:tcW w:w="8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0.70 </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SBA loans made up 55.4%, 48.3% and 46.5% of total nonperforming assets at June 30, 2026, March 31, 2026 and December 31, 2025, respectively. The increase during the current six month period was primarily the result of a management decision to accelerate the repurchase of the sold portion of nonperforming SBA loans (fully guaranteed portion) to simplify the workout process.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Classified assets decreased by $1.5 million, or 2.0%, to $70.7 million, or 1.59% of total assets, as of June 30, 2026 when compared to the balance of $72.2 million, or 1.65% of total assets, as of March 31, 2026. Classified assets increased by $4.5 million, or 6.9%, to $70.7 million, or 1.59% of total assets, as of June 30, 2026 when compared to the balance of $66.2 million, or 1.46% of total assets, as of December 31, 2025. SBA loans made up the largest portion of classified assets at $32.3 million and $27.3 million, respectively, as of June 30, 2026 and December 31, 2025, of which $24.5 million and $19.8 million, respectively, was fully guaranteed. The remaining population of classified assets as of June 30, 2026 included $10.5 million of HELOCs, $10.0 million of 1-4 family residential real estate loans and $7.0 million of equipment finance loans (concentrated in the transportation sector).</w:t>
      </w:r>
    </w:p>
    <w:p>
      <w:pPr>
        <w:pStyle w:val="TextBody"/>
        <w:bidi w:val="0"/>
        <w:spacing w:lineRule="auto" w:line="288" w:before="0" w:after="80"/>
        <w:jc w:val="both"/>
        <w:rPr/>
      </w:pPr>
      <w:r>
        <w:rPr>
          <w:rFonts w:ascii="Times New Roman;serif" w:hAnsi="Times New Roman;serif"/>
          <w:b/>
          <w:i/>
          <w:color w:val="000000"/>
          <w:sz w:val="18"/>
        </w:rPr>
        <w:t>Allowance for Credit Losses on Loans.</w:t>
      </w:r>
      <w:r>
        <w:rPr>
          <w:color w:val="000000"/>
        </w:rPr>
        <w:t xml:space="preserve">  </w:t>
      </w:r>
      <w:r>
        <w:rPr>
          <w:rFonts w:ascii="Times New Roman;serif" w:hAnsi="Times New Roman;serif"/>
          <w:b w:val="false"/>
          <w:color w:val="000000"/>
          <w:sz w:val="18"/>
          <w:shd w:fill="FFFFFF" w:val="clear"/>
        </w:rPr>
        <w:t xml:space="preserve">The ACL on loans was $39.8 million, or 1.10% of total loans, at June 30, </w:t>
      </w:r>
      <w:r>
        <w:rPr>
          <w:rFonts w:ascii="Times New Roman;serif" w:hAnsi="Times New Roman;serif"/>
          <w:b w:val="false"/>
          <w:color w:val="000000"/>
          <w:sz w:val="18"/>
        </w:rPr>
        <w:t xml:space="preserve">2026 compared to </w:t>
      </w:r>
      <w:r>
        <w:rPr>
          <w:rFonts w:ascii="Times New Roman;serif" w:hAnsi="Times New Roman;serif"/>
          <w:b w:val="false"/>
          <w:color w:val="000000"/>
          <w:sz w:val="18"/>
          <w:shd w:fill="FFFFFF" w:val="clear"/>
        </w:rPr>
        <w:t xml:space="preserve">$41.5 million, or 1.16% of total loans, at December 31, </w:t>
      </w:r>
      <w:r>
        <w:rPr>
          <w:rFonts w:ascii="Times New Roman;serif" w:hAnsi="Times New Roman;serif"/>
          <w:b w:val="false"/>
          <w:color w:val="000000"/>
          <w:sz w:val="18"/>
        </w:rPr>
        <w:t>2025</w:t>
      </w:r>
      <w:r>
        <w:rPr>
          <w:rFonts w:ascii="Times New Roman;serif" w:hAnsi="Times New Roman;serif"/>
          <w:b w:val="false"/>
          <w:color w:val="000000"/>
          <w:sz w:val="18"/>
          <w:shd w:fill="FFFFFF" w:val="clear"/>
        </w:rPr>
        <w:t xml:space="preserve">. The drivers of this change are discussed in </w:t>
      </w:r>
      <w:r>
        <w:rPr>
          <w:rFonts w:ascii="Times New Roman;serif" w:hAnsi="Times New Roman;serif"/>
          <w:b w:val="false"/>
          <w:color w:val="000000"/>
          <w:sz w:val="18"/>
        </w:rPr>
        <w:t>the "Comparison of Results of Operations for the Six Months Ended June 30, 2026 and June 30, 2025 – Provision for Credit Losses" section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distribution of the ACL by loan category at the dates indicated.</w:t>
      </w:r>
    </w:p>
    <w:tbl>
      <w:tblPr>
        <w:tblW w:w="10205" w:type="dxa"/>
        <w:jc w:val="left"/>
        <w:tblInd w:w="0" w:type="dxa"/>
        <w:tblLayout w:type="fixed"/>
        <w:tblCellMar>
          <w:top w:w="28" w:type="dxa"/>
          <w:left w:w="28" w:type="dxa"/>
          <w:bottom w:w="28" w:type="dxa"/>
          <w:right w:w="28" w:type="dxa"/>
        </w:tblCellMar>
      </w:tblPr>
      <w:tblGrid>
        <w:gridCol w:w="775"/>
        <w:gridCol w:w="569"/>
        <w:gridCol w:w="571"/>
        <w:gridCol w:w="251"/>
        <w:gridCol w:w="829"/>
        <w:gridCol w:w="139"/>
        <w:gridCol w:w="109"/>
        <w:gridCol w:w="109"/>
        <w:gridCol w:w="109"/>
        <w:gridCol w:w="294"/>
        <w:gridCol w:w="251"/>
        <w:gridCol w:w="591"/>
        <w:gridCol w:w="109"/>
        <w:gridCol w:w="109"/>
        <w:gridCol w:w="109"/>
        <w:gridCol w:w="278"/>
        <w:gridCol w:w="221"/>
        <w:gridCol w:w="446"/>
        <w:gridCol w:w="109"/>
        <w:gridCol w:w="109"/>
        <w:gridCol w:w="109"/>
        <w:gridCol w:w="251"/>
        <w:gridCol w:w="829"/>
        <w:gridCol w:w="139"/>
        <w:gridCol w:w="109"/>
        <w:gridCol w:w="109"/>
        <w:gridCol w:w="109"/>
        <w:gridCol w:w="294"/>
        <w:gridCol w:w="251"/>
        <w:gridCol w:w="591"/>
        <w:gridCol w:w="109"/>
        <w:gridCol w:w="109"/>
        <w:gridCol w:w="109"/>
        <w:gridCol w:w="263"/>
        <w:gridCol w:w="225"/>
        <w:gridCol w:w="512"/>
      </w:tblGrid>
      <w:tr>
        <w:trPr/>
        <w:tc>
          <w:tcPr>
            <w:tcW w:w="77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7071" w:type="dxa"/>
            <w:gridSpan w:val="30"/>
            <w:tcBorders/>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15"/>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Allocated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Loan Portfolio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ACL to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Allocated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Loan Portfolio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ACL to Loans</w:t>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 real estate</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Commercial</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finance</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leases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Residential real estate</w:t>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One-to-four family</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HELOCs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real estate</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Consumer</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loans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8493" w:type="dxa"/>
        <w:jc w:val="left"/>
        <w:tblInd w:w="0" w:type="dxa"/>
        <w:tblLayout w:type="fixed"/>
        <w:tblCellMar>
          <w:top w:w="28" w:type="dxa"/>
          <w:left w:w="28" w:type="dxa"/>
          <w:bottom w:w="28" w:type="dxa"/>
          <w:right w:w="28" w:type="dxa"/>
        </w:tblCellMar>
      </w:tblPr>
      <w:tblGrid>
        <w:gridCol w:w="618"/>
        <w:gridCol w:w="545"/>
        <w:gridCol w:w="547"/>
        <w:gridCol w:w="343"/>
        <w:gridCol w:w="1131"/>
        <w:gridCol w:w="190"/>
        <w:gridCol w:w="109"/>
        <w:gridCol w:w="109"/>
        <w:gridCol w:w="109"/>
        <w:gridCol w:w="278"/>
        <w:gridCol w:w="278"/>
        <w:gridCol w:w="659"/>
        <w:gridCol w:w="109"/>
        <w:gridCol w:w="109"/>
        <w:gridCol w:w="109"/>
        <w:gridCol w:w="343"/>
        <w:gridCol w:w="1131"/>
        <w:gridCol w:w="190"/>
        <w:gridCol w:w="109"/>
        <w:gridCol w:w="109"/>
        <w:gridCol w:w="109"/>
        <w:gridCol w:w="263"/>
        <w:gridCol w:w="263"/>
        <w:gridCol w:w="733"/>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shd w:fill="FFFFFF" w:val="clear"/>
              </w:rPr>
              <w:t xml:space="preserve">June 30, </w:t>
            </w: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Allocated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ACL to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Allocated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ACL to Loans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ACL composition</w:t>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Quantitative allocation</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Qualitative allocation</w:t>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allocation</w:t>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ACL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pPr>
      <w:r>
        <w:rPr>
          <w:rFonts w:ascii="Times New Roman;serif" w:hAnsi="Times New Roman;serif"/>
          <w:b w:val="false"/>
          <w:color w:val="000000"/>
          <w:sz w:val="18"/>
        </w:rPr>
        <w:t xml:space="preserve">Net loan charge-offs totaled $3.7 million for the six months ended </w:t>
      </w:r>
      <w:r>
        <w:rPr>
          <w:rFonts w:ascii="Times New Roman;serif" w:hAnsi="Times New Roman;serif"/>
          <w:b w:val="false"/>
          <w:color w:val="000000"/>
          <w:sz w:val="18"/>
          <w:shd w:fill="FFFFFF" w:val="clear"/>
        </w:rPr>
        <w:t xml:space="preserve">June 30, </w:t>
      </w:r>
      <w:r>
        <w:rPr>
          <w:rFonts w:ascii="Times New Roman;serif" w:hAnsi="Times New Roman;serif"/>
          <w:b w:val="false"/>
          <w:color w:val="000000"/>
          <w:sz w:val="18"/>
        </w:rPr>
        <w:t xml:space="preserve">2026 compared to $3.3 million for the same period last year. Net charge-offs were concentrated within our equipment finance portfolio, primarily related to over-the-road truck loans, where we recognized net charge-offs of $2.4 million and $2.1 million for the same periods, respectively. Annualized net charge-offs as a percentage of average loans were 0.19% for the six months ended </w:t>
      </w:r>
      <w:r>
        <w:rPr>
          <w:rFonts w:ascii="Times New Roman;serif" w:hAnsi="Times New Roman;serif"/>
          <w:b w:val="false"/>
          <w:color w:val="000000"/>
          <w:sz w:val="18"/>
          <w:shd w:fill="FFFFFF" w:val="clear"/>
        </w:rPr>
        <w:t xml:space="preserve">June 30, </w:t>
      </w:r>
      <w:r>
        <w:rPr>
          <w:rFonts w:ascii="Times New Roman;serif" w:hAnsi="Times New Roman;serif"/>
          <w:b w:val="false"/>
          <w:color w:val="000000"/>
          <w:sz w:val="18"/>
        </w:rPr>
        <w:t>2026 as compared to 0.18% for the six months ended June 30, 2025.</w:t>
      </w:r>
    </w:p>
    <w:p>
      <w:pPr>
        <w:pStyle w:val="TextBody"/>
        <w:bidi w:val="0"/>
        <w:spacing w:lineRule="auto" w:line="288" w:before="0" w:after="60"/>
        <w:jc w:val="both"/>
        <w:rPr/>
      </w:pPr>
      <w:r>
        <w:rPr>
          <w:rFonts w:ascii="Times New Roman;serif" w:hAnsi="Times New Roman;serif"/>
          <w:b/>
          <w:i/>
          <w:color w:val="000000"/>
          <w:sz w:val="18"/>
        </w:rPr>
        <w:t>Deposits. </w:t>
      </w:r>
      <w:r>
        <w:rPr>
          <w:color w:val="000000"/>
        </w:rPr>
        <w:t xml:space="preserve"> </w:t>
      </w:r>
      <w:r>
        <w:rPr>
          <w:rFonts w:ascii="Times New Roman;serif" w:hAnsi="Times New Roman;serif"/>
          <w:b w:val="false"/>
          <w:color w:val="000000"/>
          <w:sz w:val="18"/>
        </w:rPr>
        <w:t>The following table summarizes the composition of our deposit portfolio as of the dates indicated:</w:t>
      </w:r>
    </w:p>
    <w:tbl>
      <w:tblPr>
        <w:tblW w:w="8419" w:type="dxa"/>
        <w:jc w:val="left"/>
        <w:tblInd w:w="0" w:type="dxa"/>
        <w:tblLayout w:type="fixed"/>
        <w:tblCellMar>
          <w:top w:w="28" w:type="dxa"/>
          <w:left w:w="28" w:type="dxa"/>
          <w:bottom w:w="28" w:type="dxa"/>
          <w:right w:w="28" w:type="dxa"/>
        </w:tblCellMar>
      </w:tblPr>
      <w:tblGrid>
        <w:gridCol w:w="791"/>
        <w:gridCol w:w="698"/>
        <w:gridCol w:w="700"/>
        <w:gridCol w:w="196"/>
        <w:gridCol w:w="871"/>
        <w:gridCol w:w="109"/>
        <w:gridCol w:w="109"/>
        <w:gridCol w:w="109"/>
        <w:gridCol w:w="109"/>
        <w:gridCol w:w="257"/>
        <w:gridCol w:w="1145"/>
        <w:gridCol w:w="143"/>
        <w:gridCol w:w="109"/>
        <w:gridCol w:w="109"/>
        <w:gridCol w:w="109"/>
        <w:gridCol w:w="196"/>
        <w:gridCol w:w="811"/>
        <w:gridCol w:w="109"/>
        <w:gridCol w:w="109"/>
        <w:gridCol w:w="109"/>
        <w:gridCol w:w="109"/>
        <w:gridCol w:w="214"/>
        <w:gridCol w:w="214"/>
        <w:gridCol w:w="503"/>
        <w:gridCol w:w="109"/>
        <w:gridCol w:w="109"/>
        <w:gridCol w:w="109"/>
        <w:gridCol w:w="154"/>
      </w:tblGrid>
      <w:tr>
        <w:trPr/>
        <w:tc>
          <w:tcPr>
            <w:tcW w:w="7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Core deposits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accounts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707,748 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546,387 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accounts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core deposits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2,800,225 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Certificates of deposit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909,772 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3,606,847 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3,709,997 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decrease in deposits was the result of a $134.6 million reduction in brokered deposits, partially offset by an increase of $31.5 million in all other deposit categories.</w:t>
      </w:r>
    </w:p>
    <w:p>
      <w:pPr>
        <w:pStyle w:val="TextBody"/>
        <w:bidi w:val="0"/>
        <w:spacing w:lineRule="auto" w:line="288" w:before="0" w:after="120"/>
        <w:jc w:val="both"/>
        <w:rPr/>
      </w:pPr>
      <w:r>
        <w:rPr>
          <w:rFonts w:ascii="Times New Roman;serif" w:hAnsi="Times New Roman;serif"/>
          <w:b/>
          <w:i/>
          <w:color w:val="000000"/>
          <w:sz w:val="18"/>
        </w:rPr>
        <w:t>Stockholders' Equity.</w:t>
      </w:r>
      <w:r>
        <w:rPr>
          <w:color w:val="000000"/>
        </w:rPr>
        <w:t xml:space="preserve">  </w:t>
      </w:r>
      <w:r>
        <w:rPr>
          <w:rFonts w:ascii="Times New Roman;serif" w:hAnsi="Times New Roman;serif"/>
          <w:b w:val="false"/>
          <w:color w:val="000000"/>
          <w:sz w:val="18"/>
        </w:rPr>
        <w:t xml:space="preserve">Stockholders' equity decreased $90,000, to $600.6 million at </w:t>
      </w:r>
      <w:r>
        <w:rPr>
          <w:rFonts w:ascii="Times New Roman;serif" w:hAnsi="Times New Roman;serif"/>
          <w:b w:val="false"/>
          <w:color w:val="000000"/>
          <w:sz w:val="18"/>
          <w:shd w:fill="FFFFFF" w:val="clear"/>
        </w:rPr>
        <w:t xml:space="preserve">June 30, </w:t>
      </w:r>
      <w:r>
        <w:rPr>
          <w:rFonts w:ascii="Times New Roman;serif" w:hAnsi="Times New Roman;serif"/>
          <w:b w:val="false"/>
          <w:color w:val="000000"/>
          <w:sz w:val="18"/>
        </w:rPr>
        <w:t>2026 as compared to December 31, 2025. Activity within stockholders' equity included $32.4 million in net income and $4.0 million in share-based compensation and stock option exercises, partially offset by $4.6 million in cash dividends declared and $30.2 million in stock repurchases. In addition, accumulated other comprehensive income declined by $1.0 million due to an increase in the unrealized loss on available for sale securities due to higher market interest rates between December 31, 2025 and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Liquidity Management</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Management maintains a liquidity position that it believes will adequately provide for funding of loan demand and deposit run-off that may occur in the normal course of business. We rely on a number of different sources in order to meet our expected liquidity demands. The primary sources are increases in deposit accounts, wholesale borrowings and cash flows from payments on the loan and securities portfolios.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to these primary sources of funds, management has several secondary sources available to meet potential funding requirements. All qualifying one-to-four family loans, HELOCs, commercial real estate loans, multifamily loans and FHLB of Atlanta stock are pledged as collateral to secure outstanding FHLB advances while commercial construction loans, indirect auto loans, and equipment and municipal leases are pledged as collateral to secure outstanding FRB advances. At June 30, 2026, the Company had the ability to borrow $373.4 million through additional FHLB advances and $30.6 million through the unused portion of a line of credit with the FRB. At this same date, the Company maintained revolving lines of credit with four unaffiliated banks which totaled $135.0 million, all of which was unused. </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We also classify our securities portfolio as available for sale, providing an additional source of liquidity. Management believes that our securities portfolio is of high quality, of short duration,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June 30, 2026, brokered deposits totaled $136.7 million, or 3.8% of total deposits.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June 30, 2026, we (on an unconsolidated basis) had liquid assets of $6.6 million.</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At the Bank level, we use our sources of funds primarily to meet our ongoing commitments, pay maturing deposits and fund withdrawals and to fund loan commitments. At June 30, 2026, the total approved loan commitments and unused lines of credit outstanding amounted to $296.2 million and $793.6 million, respectively. Certificates of deposit scheduled to mature in one year or less at June 30, 2026 totaled $722.6 million. It is management's policy to manage deposit rates to be competitive with other local financial institutions. Based on this strategy, we believe that a majority of maturing deposits will be retained.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Off-Balance Sheet Activities</w:t>
      </w:r>
    </w:p>
    <w:p>
      <w:pPr>
        <w:pStyle w:val="TextBody"/>
        <w:bidi w:val="0"/>
        <w:spacing w:lineRule="auto" w:line="288" w:before="0" w:after="120"/>
        <w:jc w:val="both"/>
        <w:rPr/>
      </w:pPr>
      <w:r>
        <w:rPr>
          <w:rFonts w:ascii="Times New Roman;serif" w:hAnsi="Times New Roman;serif"/>
          <w:b w:val="false"/>
          <w:color w:val="000000"/>
          <w:sz w:val="18"/>
        </w:rPr>
        <w:t xml:space="preserve">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11 </w:t>
      </w:r>
      <w:r>
        <w:rPr>
          <w:color w:val="000000"/>
        </w:rPr>
        <w:t xml:space="preserve">– </w:t>
      </w:r>
      <w:r>
        <w:rPr>
          <w:rFonts w:ascii="Times New Roman;serif" w:hAnsi="Times New Roman;serif"/>
          <w:b w:val="false"/>
          <w:color w:val="000000"/>
          <w:sz w:val="18"/>
        </w:rPr>
        <w:t>Commitments and Contingencies"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Capital Resources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additional discretionary actions by bank regulators that, if undertaken, could have a direct material effect on the Company's financial statements.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Under capital adequacy guidelines and the regulatory framework for prompt corrective action, the Bank must meet specific capital guidelines that involve quantitative measures of the Bank’s assets, liabilities and certain off-balance sheet items as calculated under regulatory accounting practices. The Bank’s capital amounts and classification are also subject to qualitative judgments by the regulators about components, risk weightings and other factors.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At June 30, 2026,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June 30, 2026 under applicable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HomeTrust Bancshares, Inc. and the Bank's actual and required minimum capital amounts and ratios</w:t>
      </w:r>
      <w:r>
        <w:rPr>
          <w:color w:val="000000"/>
        </w:rPr>
        <w:t> </w:t>
      </w:r>
      <w:r>
        <w:rPr>
          <w:rFonts w:ascii="Times New Roman;serif" w:hAnsi="Times New Roman;serif"/>
          <w:b w:val="false"/>
          <w:color w:val="000000"/>
          <w:sz w:val="18"/>
        </w:rPr>
        <w:t>are as follows:</w:t>
      </w:r>
    </w:p>
    <w:tbl>
      <w:tblPr>
        <w:tblW w:w="10205" w:type="dxa"/>
        <w:jc w:val="left"/>
        <w:tblInd w:w="0" w:type="dxa"/>
        <w:tblLayout w:type="fixed"/>
        <w:tblCellMar>
          <w:top w:w="28" w:type="dxa"/>
          <w:left w:w="28" w:type="dxa"/>
          <w:bottom w:w="28" w:type="dxa"/>
          <w:right w:w="28" w:type="dxa"/>
        </w:tblCellMar>
      </w:tblPr>
      <w:tblGrid>
        <w:gridCol w:w="1114"/>
        <w:gridCol w:w="922"/>
        <w:gridCol w:w="926"/>
        <w:gridCol w:w="196"/>
        <w:gridCol w:w="736"/>
        <w:gridCol w:w="109"/>
        <w:gridCol w:w="109"/>
        <w:gridCol w:w="109"/>
        <w:gridCol w:w="109"/>
        <w:gridCol w:w="278"/>
        <w:gridCol w:w="278"/>
        <w:gridCol w:w="286"/>
        <w:gridCol w:w="109"/>
        <w:gridCol w:w="109"/>
        <w:gridCol w:w="109"/>
        <w:gridCol w:w="196"/>
        <w:gridCol w:w="736"/>
        <w:gridCol w:w="109"/>
        <w:gridCol w:w="109"/>
        <w:gridCol w:w="109"/>
        <w:gridCol w:w="109"/>
        <w:gridCol w:w="233"/>
        <w:gridCol w:w="233"/>
        <w:gridCol w:w="286"/>
        <w:gridCol w:w="109"/>
        <w:gridCol w:w="109"/>
        <w:gridCol w:w="109"/>
        <w:gridCol w:w="196"/>
        <w:gridCol w:w="736"/>
        <w:gridCol w:w="109"/>
        <w:gridCol w:w="109"/>
        <w:gridCol w:w="109"/>
        <w:gridCol w:w="109"/>
        <w:gridCol w:w="278"/>
        <w:gridCol w:w="278"/>
        <w:gridCol w:w="335"/>
      </w:tblGrid>
      <w:tr>
        <w:trPr/>
        <w:tc>
          <w:tcPr>
            <w:tcW w:w="111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Regulatory Requirements</w:t>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for Capital</w:t>
              <w:br/>
              <w:t>Adequacy Purposes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to Be</w:t>
              <w:br/>
              <w:t>Well Capitalized</w:t>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Ratio</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HomeTrust Bancshares, Inc.</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HomeTrust Bank</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Capital (to risk-weighted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I Capital (to total adjusted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I Capital (to risk-weighted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 (to risk-weighted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June 30, 2026, the Company's and Bank's risk-based capital exceeded the required capital contribution buffer.</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Dividends paid by HomeTrust Bank are limited, without prior regulatory approval, to current year earnings and earnings less dividends paid during the preceding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There has not been any material change in the market risk disclosures contained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lineRule="auto" w:line="288" w:before="0" w:after="60"/>
        <w:jc w:val="both"/>
        <w:rPr/>
      </w:pPr>
      <w:r>
        <w:rPr>
          <w:rFonts w:ascii="Times New Roman;serif" w:hAnsi="Times New Roman;serif"/>
          <w:b w:val="false"/>
          <w:i/>
          <w:color w:val="000000"/>
          <w:sz w:val="18"/>
          <w:u w:val="single"/>
        </w:rPr>
        <w:t>Evaluation of Disclosure Controls and Procedures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An evaluation of our disclosure controls and procedures (as defined in Rule 13a-15(e) of the Securities Exchange Act of 1934 (the "Act")) as of June 30, 2026, was carried out under the supervision and with the participation of the Company's Chief Executive Officer, Chief Financial Officer</w:t>
      </w:r>
      <w:r>
        <w:rPr>
          <w:color w:val="000000"/>
        </w:rPr>
        <w:t> </w:t>
      </w:r>
      <w:r>
        <w:rPr>
          <w:rFonts w:ascii="Times New Roman;serif" w:hAnsi="Times New Roman;serif"/>
          <w:b w:val="false"/>
          <w:color w:val="000000"/>
          <w:sz w:val="18"/>
        </w:rPr>
        <w:t>and several other members of the Company's senior management.</w:t>
      </w:r>
      <w:r>
        <w:rPr>
          <w:color w:val="000000"/>
        </w:rPr>
        <w:t> </w:t>
      </w:r>
      <w:r>
        <w:rPr>
          <w:rFonts w:ascii="Times New Roman;serif" w:hAnsi="Times New Roman;serif"/>
          <w:b w:val="false"/>
          <w:color w:val="000000"/>
          <w:sz w:val="18"/>
        </w:rPr>
        <w:t>The Company's Chief Executive Officer and Chief Financial Officer concluded that the Company's disclosure controls and procedures in effect as of June 30, 2026,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pStyle w:val="TextBody"/>
        <w:bidi w:val="0"/>
        <w:spacing w:lineRule="auto" w:line="288" w:before="0" w:after="120"/>
        <w:jc w:val="both"/>
        <w:rPr/>
      </w:pPr>
      <w:r>
        <w:rPr>
          <w:rFonts w:ascii="Times New Roman;serif" w:hAnsi="Times New Roman;serif"/>
          <w:b w:val="false"/>
          <w:i/>
          <w:color w:val="000000"/>
          <w:sz w:val="18"/>
          <w:u w:val="single"/>
        </w:rPr>
        <w:t>Changes in Internal Controls</w:t>
      </w:r>
      <w:r>
        <w:rPr>
          <w:rFonts w:ascii="Times New Roman;serif" w:hAnsi="Times New Roman;serif"/>
          <w:b w:val="false"/>
          <w:color w:val="000000"/>
          <w:sz w:val="18"/>
        </w:rPr>
        <w:t>: There have been no changes in the Company’s internal control over financial reporting during the quarter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rFonts w:ascii="Times New Roman;serif" w:hAnsi="Times New Roman;serif"/>
          <w:b/>
          <w:color w:val="000000"/>
          <w:sz w:val="18"/>
        </w:rPr>
      </w:pPr>
      <w:r>
        <w:rPr>
          <w:rFonts w:ascii="Times New Roman;serif" w:hAnsi="Times New Roman;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both"/>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lineRule="auto" w:line="288" w:before="0" w:after="120"/>
        <w:jc w:val="both"/>
        <w:rPr/>
      </w:pPr>
      <w:r>
        <w:rPr>
          <w:rFonts w:ascii="Times New Roman;serif" w:hAnsi="Times New Roman;serif"/>
          <w:b w:val="false"/>
          <w:color w:val="000000"/>
          <w:sz w:val="18"/>
        </w:rPr>
        <w:t>The "Litigation" section of "Note 11</w:t>
      </w:r>
      <w:r>
        <w:rPr>
          <w:color w:val="000000"/>
        </w:rPr>
        <w:t xml:space="preserve"> – </w:t>
      </w:r>
      <w:r>
        <w:rPr>
          <w:rFonts w:ascii="Times New Roman;serif" w:hAnsi="Times New Roman;serif"/>
          <w:b w:val="false"/>
          <w:color w:val="000000"/>
          <w:sz w:val="18"/>
        </w:rPr>
        <w:t>Commitments and Contingencies" to the Consolidated Financial Statements included in Part I, Item 1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both"/>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in the Risk Factors previously disclosed in Item 1A of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lineRule="auto" w:line="288" w:before="0" w:after="4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 Not applicable</w:t>
      </w:r>
    </w:p>
    <w:p>
      <w:pPr>
        <w:pStyle w:val="TextBody"/>
        <w:bidi w:val="0"/>
        <w:spacing w:lineRule="auto" w:line="288" w:before="0" w:after="4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(b) Not applicable</w:t>
      </w:r>
    </w:p>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(c) The following table provides information about repurchases of common stock by the Company during the quarter ended June 30, 2026:</w:t>
      </w:r>
    </w:p>
    <w:tbl>
      <w:tblPr>
        <w:tblW w:w="10205" w:type="dxa"/>
        <w:jc w:val="left"/>
        <w:tblInd w:w="0" w:type="dxa"/>
        <w:tblLayout w:type="fixed"/>
        <w:tblCellMar>
          <w:top w:w="28" w:type="dxa"/>
          <w:left w:w="28" w:type="dxa"/>
          <w:bottom w:w="28" w:type="dxa"/>
          <w:right w:w="28" w:type="dxa"/>
        </w:tblCellMar>
      </w:tblPr>
      <w:tblGrid>
        <w:gridCol w:w="402"/>
        <w:gridCol w:w="353"/>
        <w:gridCol w:w="355"/>
        <w:gridCol w:w="563"/>
        <w:gridCol w:w="488"/>
        <w:gridCol w:w="490"/>
        <w:gridCol w:w="109"/>
        <w:gridCol w:w="109"/>
        <w:gridCol w:w="109"/>
        <w:gridCol w:w="333"/>
        <w:gridCol w:w="946"/>
        <w:gridCol w:w="185"/>
        <w:gridCol w:w="109"/>
        <w:gridCol w:w="109"/>
        <w:gridCol w:w="109"/>
        <w:gridCol w:w="933"/>
        <w:gridCol w:w="894"/>
        <w:gridCol w:w="897"/>
        <w:gridCol w:w="109"/>
        <w:gridCol w:w="109"/>
        <w:gridCol w:w="109"/>
        <w:gridCol w:w="746"/>
        <w:gridCol w:w="674"/>
        <w:gridCol w:w="965"/>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 of</w:t>
              <w:br/>
              <w:t>Shares that May</w:t>
              <w:br/>
              <w:t>Yet Be Purchased Under Publicly Announced Plans</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 April 30,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5,952 </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239,551 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 May 31, 2026</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79,876 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79,876 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159,675 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 June 30, 2026</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67,778 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67,778 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91,897 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153,606 </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153,606 </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91,897 </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The Company's Board of Directors has, from time to time, authorized the repurchase of its common stock. The most recent time this was done, on December 16, 2025, 870,000 shares of common stock were authorized for repurchase representing approximately 5% of the Company's outstanding shares at the time of the announcement. As of June 30, 2026, 778,103 of these shares had been purchased at an average price of $43.73 per share, 686,846 of which were repurchased during the six months ended June 30, 2026. The shares may be purchased in the open market or in privately negotiated transactions, from time to time depending upon market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Nothing to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ind w:left="0" w:right="0" w:hanging="108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lineRule="auto" w:line="288" w:before="0" w:after="120"/>
        <w:jc w:val="both"/>
        <w:rPr/>
      </w:pPr>
      <w:r>
        <w:rPr>
          <w:rFonts w:ascii="Times New Roman;serif" w:hAnsi="Times New Roman;serif"/>
          <w:b w:val="false"/>
          <w:i/>
          <w:color w:val="000000"/>
          <w:sz w:val="18"/>
          <w:u w:val="single"/>
        </w:rPr>
        <w:t>Trading Plans</w:t>
      </w:r>
      <w:r>
        <w:rPr>
          <w:rFonts w:ascii="Times New Roman;serif" w:hAnsi="Times New Roman;serif"/>
          <w:b w:val="false"/>
          <w:color w:val="000000"/>
          <w:sz w:val="18"/>
        </w:rPr>
        <w:t>: During the quarter ended June 30, 2026, 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18"/>
        </w:rPr>
      </w:pPr>
      <w:r>
        <w:rPr>
          <w:rFonts w:ascii="Times New Roman;serif" w:hAnsi="Times New Roman;serif"/>
          <w:b/>
          <w:color w:val="000000"/>
          <w:sz w:val="18"/>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84"/>
        <w:gridCol w:w="337"/>
        <w:gridCol w:w="339"/>
        <w:gridCol w:w="109"/>
        <w:gridCol w:w="109"/>
        <w:gridCol w:w="109"/>
        <w:gridCol w:w="2030"/>
        <w:gridCol w:w="1936"/>
        <w:gridCol w:w="1961"/>
        <w:gridCol w:w="109"/>
        <w:gridCol w:w="109"/>
        <w:gridCol w:w="109"/>
        <w:gridCol w:w="749"/>
        <w:gridCol w:w="749"/>
        <w:gridCol w:w="1066"/>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Regulation</w:t>
              <w:br/>
              <w:t>S-K 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Reference to Prior Filing or Exhibit # Attached Hereto</w:t>
            </w:r>
          </w:p>
        </w:tc>
      </w:tr>
      <w:tr>
        <w:trPr/>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Charter of HomeTrust Bancshares,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Amended and Restated Bylaws of HomeTrust Bancshares,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HomeTrust Bancshares, Inc. Senior Leadership Incentive Plan (formerly known as Operating Committee Incentive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Amendment No. 1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Amendment No. 2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Amendment No. 3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Amendment No. 4 to Amended and Restated Employment Agreement between HomeTrust Bancshares, Inc. and C. Hunter Westbrook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Amended and Restated Employment Agreement between HomeTrust Bancshares, Inc. and Tony J. VunCannon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Amendment No. 1 to Amended and Restated Employment Agreement between HomeTrust Bancshares, Inc. and Tony VunCannon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HomeTrust Bank Executive Supplemental Retirement Income Master Agreement (“SERP”)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Amendment No. 1 to SERP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Amendment No. 2 to SERP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SERP Joinder Agreement for F. Edward Broadwell,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SERP Joinder Agreement for Dana L. Stonestreet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SERP Joinder Agreement for Tony J. VunCannon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SERP Joinder Agreement for Howard L. Sellinger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SERP Joinder Agreement for Stan Allen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SERP Joinder Agreement for Sidney A. Biesecker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SERP Joinder Agreement for Peggy C. Melville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SERP Joinder Agreement for William T. Flynt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Amended and Restated Supplemental Income Agreement between HomeTrust Bank, as successor to Industrial Federal Savings Bank, and Sidney Biesecker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HomeTrust Bank Director Emeritus Plan (“Director Emeritus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Director Emeritus Plan Joinder Agreement for William T. Flynt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Director Emeritus Plan Joinder Agreement for J. Steven Goforth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Director Emeritus Plan Joinder Agreement for Craig C. Koontz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Director Emeritus Plan Joinder Agreement for Larry S. McDevitt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8"/>
                  <w:u w:val="single"/>
                </w:rPr>
                <w:t>Director Emeritus Plan Joinder Agreement for F.K. McFarland, III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Director Emeritus Plan Joinder Agreement for Peggy C. Melville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18"/>
                  <w:u w:val="single"/>
                </w:rPr>
                <w:t>Director Emeritus Plan Joinder Agreement for Robert E. Shepherd, Sr.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18"/>
                  <w:u w:val="single"/>
                </w:rPr>
                <w:t>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18"/>
                  <w:u w:val="single"/>
                </w:rPr>
                <w:t>Amendment No. 1 to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18"/>
                  <w:u w:val="single"/>
                </w:rPr>
                <w:t>Form of Joinder Agreement Under the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18"/>
                  <w:u w:val="single"/>
                </w:rPr>
                <w:t>Amendment No. 2 to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18"/>
                  <w:u w:val="single"/>
                </w:rPr>
                <w:t>Amendment No. 3 to HomeTrust Bank Defined Contribution Executive Medical Care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18"/>
                  <w:u w:val="single"/>
                </w:rPr>
                <w:t>HomeTrust Bank 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18"/>
                  <w:u w:val="single"/>
                </w:rPr>
                <w:t>Amendment No. 1 to HomeTrust Bank 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18"/>
                  <w:u w:val="single"/>
                </w:rPr>
                <w:t>HomeTrust Bank Pre-2005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18"/>
                  <w:u w:val="single"/>
                </w:rPr>
                <w:t>Amendment No. 1 to HomeTrust Bank Pre-2005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18"/>
                  <w:u w:val="single"/>
                </w:rPr>
                <w:t>HomeTrust Bank 2025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18"/>
                  <w:u w:val="single"/>
                </w:rPr>
                <w:t>HomeTrust Bancshares, Inc. 2013 Omnibus Incentive Plan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18"/>
                  <w:u w:val="single"/>
                </w:rPr>
                <w:t>Form of Incentive Stock Option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18"/>
                  <w:u w:val="single"/>
                </w:rPr>
                <w:t>Form of Non-Qualified Stock Option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w:t>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18"/>
                  <w:u w:val="single"/>
                </w:rPr>
                <w:t>Form of Stock Appreciation Right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
        <w:gridCol w:w="317"/>
        <w:gridCol w:w="318"/>
        <w:gridCol w:w="109"/>
        <w:gridCol w:w="109"/>
        <w:gridCol w:w="109"/>
        <w:gridCol w:w="2517"/>
        <w:gridCol w:w="2232"/>
        <w:gridCol w:w="2239"/>
        <w:gridCol w:w="109"/>
        <w:gridCol w:w="109"/>
        <w:gridCol w:w="109"/>
        <w:gridCol w:w="457"/>
        <w:gridCol w:w="457"/>
        <w:gridCol w:w="653"/>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Regulation</w:t>
              <w:br/>
              <w:t>S-K 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Reference to Prior Filing or Exhibit # Attached Hereto</w:t>
            </w:r>
          </w:p>
        </w:tc>
      </w:tr>
      <w:tr>
        <w:trPr/>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18"/>
                  <w:u w:val="single"/>
                </w:rPr>
                <w:t>Form of Restricted Stock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18"/>
                  <w:u w:val="single"/>
                </w:rPr>
                <w:t>Form of Restricted Stock Unit Award Agreement under 2013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18"/>
                  <w:u w:val="single"/>
                </w:rPr>
                <w:t>HomeTrust Bancshares, Inc. 2022 Omnibus Incentive Plan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18"/>
                  <w:u w:val="single"/>
                </w:rPr>
                <w:t>Form of Non-Qualified Stock Option Award Agreement under the Registrant’s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18"/>
                  <w:u w:val="single"/>
                </w:rPr>
                <w:t>Form of Restricted Stock Award Agreement for Employees under the Registrant’s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18"/>
                  <w:u w:val="single"/>
                </w:rPr>
                <w:t>Form of Restricted Stock Award Agreement for Directors under the Registrant’s 2022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18"/>
                  <w:u w:val="single"/>
                </w:rPr>
                <w:t>Amended and Restated Change in Control Severance Agreement between HomeTrust Bancshares, Inc. and John Sprink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18"/>
                  <w:u w:val="single"/>
                </w:rPr>
                <w:t>Change in Control Severance Agreement between HomeTrust Bancshares, Inc. and Kristin Powell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18"/>
                  <w:u w:val="single"/>
                </w:rPr>
                <w:t>Amendment No. 1 to Change in Control Severance Agreement between HomeTrust Bancshares, Inc. and Kristin Powell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18"/>
                  <w:u w:val="single"/>
                </w:rPr>
                <w:t>Change in Control Severance Agreement between HomeTrust Bancshares, Inc. and Megan Pelletier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18"/>
                  <w:u w:val="single"/>
                </w:rPr>
                <w:t>Change in Control Severance Agreement between HomeTrust Bancshares, Inc. and Lora Jex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18"/>
                  <w:u w:val="single"/>
                </w:rPr>
                <w:t>Change in Control Severance Agreement between HomeTrust Bancshares, Inc. and Chuck Sivley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18"/>
                  <w:u w:val="single"/>
                </w:rPr>
                <w:t>Change in Control Severance Agreement between HomeTrust Bancshares, Inc. and Kevin Nunley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x30xhtbx10qxex311.htm">
              <w:r>
                <w:rPr>
                  <w:rStyle w:val="InternetLink"/>
                  <w:rFonts w:ascii="Times New Roman;serif" w:hAnsi="Times New Roman;serif"/>
                  <w:b w:val="false"/>
                  <w:color w:val="0000FF"/>
                  <w:sz w:val="18"/>
                  <w:u w:val="single"/>
                </w:rPr>
                <w:t>Certification of Chief Executive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x30xhtbx10qxex312.htm">
              <w:r>
                <w:rPr>
                  <w:rStyle w:val="InternetLink"/>
                  <w:rFonts w:ascii="Times New Roman;serif" w:hAnsi="Times New Roman;serif"/>
                  <w:b w:val="false"/>
                  <w:color w:val="0000FF"/>
                  <w:sz w:val="18"/>
                  <w:u w:val="single"/>
                </w:rPr>
                <w:t>Certification of Chief Financial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x30htbx10qxex32.htm">
              <w:r>
                <w:rPr>
                  <w:rStyle w:val="InternetLink"/>
                  <w:rFonts w:ascii="Times New Roman;serif" w:hAnsi="Times New Roman;serif"/>
                  <w:b w:val="false"/>
                  <w:color w:val="0000FF"/>
                  <w:sz w:val="18"/>
                  <w:u w:val="single"/>
                </w:rPr>
                <w:t>Certificate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18"/>
                  <w:u w:val="single"/>
                </w:rPr>
                <w:t>Policy Relating to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materials from HomeTrust Bancshares’ Annual Report on Form 10-K for the year ended December 31, 2025, formatted in Extensible Business Reporting Language (XBRL): (a) Consolidated Balance Sheets; (b) Consolidated Statements of Income; (c) Consolidated Statements of Comprehensive Income; (d) Consolidated Statements of Changes in Stockholders' Equity; (e) Consolidated Statements of Cash Flows; and (f) Notes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r>
    </w:tbl>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(a)Filed as an exhibit to HomeTrust Bancshares's Annual Report on Form 10-K for the fiscal year ended June 30, 2022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(b)Filed as an exhibit to HomeTrust Bancshares's Current Report on Form 8-K filed on September 25, 2018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(c)Filed as an exhibit to HomeTrust Bancshares's Quarterly Report on Form 10-Q for the quarter ended September 30, 2024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(d)Filed as an exhibit to HomeTrust Bancshares's Registration Statement on Form S-1 filed on December 29, 2011 (File No. 333-178817).</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(e)Filed as an exhibit to HomeTrust Bancshares's Current Report on Form 8-K filed on May 24, 2022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(f)Filed as an exhibit to HomeTrust Bancshares's Transition Report on Form 10-KT for the-six month transition period ended December 31, 2023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(g)Filed as an exhibit to HomeTrust Bancshares's Current Report on Form 8-K filed on September 11, 2018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(h)Filed as an exhibit to HomeTrust Bancshares's Current Report on Form 8-K filed on October 28, 2020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(i)Filed as an exhibit to Amendment No. 1 to HomeTrust Bancshares's Registration Statement on Form S-1 filed on March 9, 2012 (File No. 333-178817).</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(j)Attached as Appendix A to HomeTrust Bancshares's definitive proxy statement filed on December 5, 2012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(k)Filed as an exhibit to HomeTrust Bancshares's Registration Statement on Form S-8 filed on February 13, 2013 (File No. 333-186666).</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(l)Filed as an exhibit to HomeTrust Bancshares's Current Report on Form 8-K filed on February 15, 2022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(m)Filed as an exhibit to HomeTrust Bancshares's Quarterly Report on Form 10-Q for the quarter ended March 31, 2022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(n)Filed as an exhibit to HomeTrust Bancshares's Annual Report on Form 10-K for the fiscal year ended December 31, 2025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(o)Filed as an exhibit to HomeTrust Bancshares's Current Report on Form 8-K filed on July 28, 2021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(p)Filed as an exhibit to HomeTrust Bancshares's Quarterly Report on Form 10-Q for the quarter ended September 30, 2023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(q)Attached as Appendix A to HomeTrust Bancshares's definitive proxy statement filed on October 3, 2022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(r)Filed as an exhibit to HomeTrust Bancshares's Quarterly Report on Form 10-Q for the quarter ended September 30, 2022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(s)Filed as an exhibit to HomeTrust Bancshares's Annual Report on Form 10-K for the fiscal year ended June 30, 2023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(t)Filed as an exhibit to HomeTrust Bancshares's Current Report on Form 8-K filed on August 28, 2023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(u)Filed as an exhibit to HomeTrust Bancshares's Registration Statement on Form S-8 filed on February 6, 2023 (File No. 333-186666).</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(v)Filed as an exhibit to HomeTrust Bancshares's Quarterly Report on Form 10-Q for the quarter ended June 30, 2024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(w)Filed as an exhibit to HomeTrust Bancshares's Current Report on Form 8-K filed on February 11, 2025 (File No. 001-35593).</w:t>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(x)Filed as an exhibit to HomeTrust Bancshares's Current Report on Form 8-K filed on April 1, 2025 (File No. 001-35593).</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tbl>
      <w:tblPr>
        <w:tblW w:w="7990" w:type="dxa"/>
        <w:jc w:val="left"/>
        <w:tblInd w:w="0" w:type="dxa"/>
        <w:tblLayout w:type="fixed"/>
        <w:tblCellMar>
          <w:top w:w="28" w:type="dxa"/>
          <w:left w:w="28" w:type="dxa"/>
          <w:bottom w:w="28" w:type="dxa"/>
          <w:right w:w="28" w:type="dxa"/>
        </w:tblCellMar>
      </w:tblPr>
      <w:tblGrid>
        <w:gridCol w:w="595"/>
        <w:gridCol w:w="525"/>
        <w:gridCol w:w="529"/>
        <w:gridCol w:w="484"/>
        <w:gridCol w:w="484"/>
        <w:gridCol w:w="484"/>
        <w:gridCol w:w="1433"/>
        <w:gridCol w:w="1433"/>
        <w:gridCol w:w="2023"/>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HOMETRUST BANCSHARES, INC.</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Date: August 6, 2026</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By:</w:t>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 C. Hunter Westbrook</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 Hunter Westbrook</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(Duly Authorized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Date: August 6, 2026</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By:</w:t>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 Tony J. VunCannon</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Tony J. VunCannon</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Executive Vice President, CFO, Corporate Secretary and Treasurer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(Principal Financial and Accounting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RULE 13a-14(a) CERTIFICATION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C. Hunter Westbrook, certify that:</w:t>
      </w:r>
    </w:p>
    <w:p>
      <w:pPr>
        <w:pStyle w:val="TextBody"/>
        <w:bidi w:val="0"/>
        <w:spacing w:lineRule="auto" w:line="288" w:before="0" w:after="18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HomeTrust Bancshares, Inc. (the "Company");</w:t>
      </w:r>
    </w:p>
    <w:p>
      <w:pPr>
        <w:pStyle w:val="TextBody"/>
        <w:bidi w:val="0"/>
        <w:spacing w:lineRule="auto" w:line="288" w:before="0" w:after="18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4.The Company's other certifying officer and I are responsible for establishing and maintaining disclosure controls and procedures (as defined in Exchange Act Rules 13a-15(e) and 15d-15(e)) for the Company and have:</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3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Company's internal control over financial reporting.</w:t>
      </w:r>
    </w:p>
    <w:tbl>
      <w:tblPr>
        <w:tblW w:w="4424" w:type="dxa"/>
        <w:jc w:val="left"/>
        <w:tblInd w:w="0" w:type="dxa"/>
        <w:tblLayout w:type="fixed"/>
        <w:tblCellMar>
          <w:top w:w="28" w:type="dxa"/>
          <w:left w:w="28" w:type="dxa"/>
          <w:bottom w:w="28" w:type="dxa"/>
          <w:right w:w="28" w:type="dxa"/>
        </w:tblCellMar>
      </w:tblPr>
      <w:tblGrid>
        <w:gridCol w:w="445"/>
        <w:gridCol w:w="390"/>
        <w:gridCol w:w="394"/>
        <w:gridCol w:w="120"/>
        <w:gridCol w:w="120"/>
        <w:gridCol w:w="120"/>
        <w:gridCol w:w="828"/>
        <w:gridCol w:w="828"/>
        <w:gridCol w:w="1179"/>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 Hunter Westbrook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 Hunter Westbrook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RULE 13a-14(a) CERTIFICATION</w:t>
      </w:r>
    </w:p>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I, Tony J. VunCannon, certify that:</w:t>
      </w:r>
    </w:p>
    <w:p>
      <w:pPr>
        <w:pStyle w:val="TextBody"/>
        <w:bidi w:val="0"/>
        <w:spacing w:lineRule="auto" w:line="288" w:before="0" w:after="18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HomeTrust Bancshares, Inc. (the "Company");</w:t>
      </w:r>
    </w:p>
    <w:p>
      <w:pPr>
        <w:pStyle w:val="TextBody"/>
        <w:bidi w:val="0"/>
        <w:spacing w:lineRule="auto" w:line="288" w:before="0" w:after="18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18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4.The Company's other certifying officer and I are responsible for establishing and maintaining disclosure controls and procedures (as defined in Exchange Act Rules 13a-15(e) and 15d-15(e)) for the Company and have:</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pStyle w:val="TextBody"/>
        <w:bidi w:val="0"/>
        <w:spacing w:lineRule="auto" w:line="288" w:before="0" w:after="18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5.The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lineRule="auto" w:line="288" w:before="0" w:after="3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Company's internal control over financial reporting.</w:t>
      </w:r>
    </w:p>
    <w:tbl>
      <w:tblPr>
        <w:tblW w:w="6478" w:type="dxa"/>
        <w:jc w:val="left"/>
        <w:tblInd w:w="0" w:type="dxa"/>
        <w:tblLayout w:type="fixed"/>
        <w:tblCellMar>
          <w:top w:w="28" w:type="dxa"/>
          <w:left w:w="28" w:type="dxa"/>
          <w:bottom w:w="28" w:type="dxa"/>
          <w:right w:w="28" w:type="dxa"/>
        </w:tblCellMar>
      </w:tblPr>
      <w:tblGrid>
        <w:gridCol w:w="445"/>
        <w:gridCol w:w="390"/>
        <w:gridCol w:w="394"/>
        <w:gridCol w:w="120"/>
        <w:gridCol w:w="120"/>
        <w:gridCol w:w="120"/>
        <w:gridCol w:w="1431"/>
        <w:gridCol w:w="1431"/>
        <w:gridCol w:w="2027"/>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By:</w:t>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 Tony J. VunCannon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Tony J. VunCannon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Executive Vice President, CFO, Corporate Secretary and Treasurer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18"/>
        </w:rPr>
      </w:pPr>
      <w:r>
        <w:rPr>
          <w:rFonts w:ascii="Times New Roman;serif" w:hAnsi="Times New Roman;serif"/>
          <w:b/>
          <w:color w:val="000000"/>
          <w:sz w:val="18"/>
        </w:rPr>
        <w:t>Exhibit 32</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SECTION 1350 CERTIFICATION</w:t>
      </w:r>
    </w:p>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Each of the undersigned hereby certifies in his capacity as an officer of HomeTrust Bancshares, Inc. (the "Company") that the Quarterly Report of the Company on Form 10-Q for the period ended June 30, 2026,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tbl>
      <w:tblPr>
        <w:tblW w:w="6479" w:type="dxa"/>
        <w:jc w:val="left"/>
        <w:tblInd w:w="0" w:type="dxa"/>
        <w:tblLayout w:type="fixed"/>
        <w:tblCellMar>
          <w:top w:w="28" w:type="dxa"/>
          <w:left w:w="28" w:type="dxa"/>
          <w:bottom w:w="28" w:type="dxa"/>
          <w:right w:w="28" w:type="dxa"/>
        </w:tblCellMar>
      </w:tblPr>
      <w:tblGrid>
        <w:gridCol w:w="445"/>
        <w:gridCol w:w="390"/>
        <w:gridCol w:w="394"/>
        <w:gridCol w:w="120"/>
        <w:gridCol w:w="120"/>
        <w:gridCol w:w="120"/>
        <w:gridCol w:w="1432"/>
        <w:gridCol w:w="1432"/>
        <w:gridCol w:w="202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C. Hunter Westbrook             </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 Hunter Westbrook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 Tony J. VunCannon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Tony J. VunCannon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Executive Vice President, CFO, Corporate Secretary and Treasurer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8263/000119312511355607/0001193125-11-355607-index.htm" TargetMode="External"/><Relationship Id="rId3" Type="http://schemas.openxmlformats.org/officeDocument/2006/relationships/hyperlink" Target="https://www.sec.gov/ix?doc=/Archives/edgar/data/1538263/000153826325000015/htbi-20250210.htm" TargetMode="External"/><Relationship Id="rId4" Type="http://schemas.openxmlformats.org/officeDocument/2006/relationships/hyperlink" Target="https://www.sec.gov/ix?doc=/Archives/edgar/data/0001538263/000153826326000030/htbi-20251231.htm" TargetMode="External"/><Relationship Id="rId5" Type="http://schemas.openxmlformats.org/officeDocument/2006/relationships/hyperlink" Target="https://www.sec.gov/Archives/edgar/data/1538263/000153826318000044/htbi-20180911x8k.htm" TargetMode="External"/><Relationship Id="rId6" Type="http://schemas.openxmlformats.org/officeDocument/2006/relationships/hyperlink" Target="https://www.sec.gov/Archives/edgar/data/1538263/000153826318000049/htbi-20180925x8k.htm" TargetMode="External"/><Relationship Id="rId7" Type="http://schemas.openxmlformats.org/officeDocument/2006/relationships/hyperlink" Target="https://www.sec.gov/ix?doc=/Archives/edgar/data/0001538263/000153826320000039/htbi-20201027.htm" TargetMode="External"/><Relationship Id="rId8" Type="http://schemas.openxmlformats.org/officeDocument/2006/relationships/hyperlink" Target="https://www.sec.gov/ix?doc=/Archives/edgar/data/0001538263/000153826321000053/htbi-20210726.htm" TargetMode="External"/><Relationship Id="rId9" Type="http://schemas.openxmlformats.org/officeDocument/2006/relationships/hyperlink" Target="https://www.sec.gov/ix?doc=/Archives/edgar/data/0001538263/000153826322000024/htbi-20220523.htm" TargetMode="External"/><Relationship Id="rId10" Type="http://schemas.openxmlformats.org/officeDocument/2006/relationships/hyperlink" Target="https://www.sec.gov/Archives/edgar/data/1538263/000153826318000044/htbi-20180911x8k.htm" TargetMode="External"/><Relationship Id="rId11" Type="http://schemas.openxmlformats.org/officeDocument/2006/relationships/hyperlink" Target="https://www.sec.gov/ix?doc=/Archives/edgar/data/0001538263/000153826322000047/htbi-20220630.htm" TargetMode="External"/><Relationship Id="rId12" Type="http://schemas.openxmlformats.org/officeDocument/2006/relationships/hyperlink" Target="https://www.sec.gov/Archives/edgar/data/1538263/000119312511355607/0001193125-11-355607-index.htm" TargetMode="External"/><Relationship Id="rId13" Type="http://schemas.openxmlformats.org/officeDocument/2006/relationships/hyperlink" Target="https://www.sec.gov/ix?doc=/Archives/edgar/data/0001538263/000153826322000021/htbi-20220331.htm" TargetMode="External"/><Relationship Id="rId14" Type="http://schemas.openxmlformats.org/officeDocument/2006/relationships/hyperlink" Target="https://www.sec.gov/ix?doc=/Archives/edgar/data/0001538263/000153826322000009/htbi-20220211.htm" TargetMode="External"/><Relationship Id="rId15" Type="http://schemas.openxmlformats.org/officeDocument/2006/relationships/hyperlink" Target="https://www.sec.gov/Archives/edgar/data/1538263/000119312511355607/0001193125-11-355607-index.htm" TargetMode="External"/><Relationship Id="rId16" Type="http://schemas.openxmlformats.org/officeDocument/2006/relationships/hyperlink" Target="https://www.sec.gov/Archives/edgar/data/1538263/000119312511355607/0001193125-11-355607-index.htm" TargetMode="External"/><Relationship Id="rId17" Type="http://schemas.openxmlformats.org/officeDocument/2006/relationships/hyperlink" Target="https://www.sec.gov/Archives/edgar/data/1538263/000119312511355607/0001193125-11-355607-index.htm" TargetMode="External"/><Relationship Id="rId18" Type="http://schemas.openxmlformats.org/officeDocument/2006/relationships/hyperlink" Target="https://www.sec.gov/Archives/edgar/data/1538263/000119312511355607/0001193125-11-355607-index.htm" TargetMode="External"/><Relationship Id="rId19" Type="http://schemas.openxmlformats.org/officeDocument/2006/relationships/hyperlink" Target="https://www.sec.gov/Archives/edgar/data/1538263/000119312511355607/0001193125-11-355607-index.htm" TargetMode="External"/><Relationship Id="rId20" Type="http://schemas.openxmlformats.org/officeDocument/2006/relationships/hyperlink" Target="https://www.sec.gov/Archives/edgar/data/1538263/000119312511355607/0001193125-11-355607-index.htm" TargetMode="External"/><Relationship Id="rId21" Type="http://schemas.openxmlformats.org/officeDocument/2006/relationships/hyperlink" Target="https://www.sec.gov/Archives/edgar/data/1538263/000119312511355607/0001193125-11-355607-index.htm" TargetMode="External"/><Relationship Id="rId22" Type="http://schemas.openxmlformats.org/officeDocument/2006/relationships/hyperlink" Target="https://www.sec.gov/Archives/edgar/data/1538263/000119312511355607/0001193125-11-355607-index.htm" TargetMode="External"/><Relationship Id="rId23" Type="http://schemas.openxmlformats.org/officeDocument/2006/relationships/hyperlink" Target="https://www.sec.gov/Archives/edgar/data/1538263/000119312512107294/0001193125-12-107294-index.htm" TargetMode="External"/><Relationship Id="rId24" Type="http://schemas.openxmlformats.org/officeDocument/2006/relationships/hyperlink" Target="https://www.sec.gov/Archives/edgar/data/1538263/000119312511355607/0001193125-11-355607-index.htm" TargetMode="External"/><Relationship Id="rId25" Type="http://schemas.openxmlformats.org/officeDocument/2006/relationships/hyperlink" Target="https://www.sec.gov/Archives/edgar/data/1538263/000119312511355607/0001193125-11-355607-index.htm" TargetMode="External"/><Relationship Id="rId26" Type="http://schemas.openxmlformats.org/officeDocument/2006/relationships/hyperlink" Target="https://www.sec.gov/Archives/edgar/data/1538263/000119312511355607/0001193125-11-355607-index.htm" TargetMode="External"/><Relationship Id="rId27" Type="http://schemas.openxmlformats.org/officeDocument/2006/relationships/hyperlink" Target="https://www.sec.gov/Archives/edgar/data/1538263/000119312511355607/0001193125-11-355607-index.htm" TargetMode="External"/><Relationship Id="rId28" Type="http://schemas.openxmlformats.org/officeDocument/2006/relationships/hyperlink" Target="https://www.sec.gov/Archives/edgar/data/1538263/000119312511355607/0001193125-11-355607-index.htm" TargetMode="External"/><Relationship Id="rId29" Type="http://schemas.openxmlformats.org/officeDocument/2006/relationships/hyperlink" Target="https://www.sec.gov/Archives/edgar/data/1538263/000119312511355607/0001193125-11-355607-index.htm" TargetMode="External"/><Relationship Id="rId30" Type="http://schemas.openxmlformats.org/officeDocument/2006/relationships/hyperlink" Target="https://www.sec.gov/Archives/edgar/data/1538263/000119312511355607/0001193125-11-355607-index.htm" TargetMode="External"/><Relationship Id="rId31" Type="http://schemas.openxmlformats.org/officeDocument/2006/relationships/hyperlink" Target="https://www.sec.gov/Archives/edgar/data/1538263/000119312511355607/0001193125-11-355607-index.htm" TargetMode="External"/><Relationship Id="rId32" Type="http://schemas.openxmlformats.org/officeDocument/2006/relationships/hyperlink" Target="https://www.sec.gov/Archives/edgar/data/1538263/000119312511355607/0001193125-11-355607-index.htm" TargetMode="External"/><Relationship Id="rId33" Type="http://schemas.openxmlformats.org/officeDocument/2006/relationships/hyperlink" Target="https://www.sec.gov/ix?doc=/Archives/edgar/data/0001538263/000153826322000021/htbi-20220331.htm" TargetMode="External"/><Relationship Id="rId34" Type="http://schemas.openxmlformats.org/officeDocument/2006/relationships/hyperlink" Target="https://www.sec.gov/ix?doc=/Archives/edgar/data/0001538263/000153826322000021/htbi-20220331.htm" TargetMode="External"/><Relationship Id="rId35" Type="http://schemas.openxmlformats.org/officeDocument/2006/relationships/hyperlink" Target="https://www.sec.gov/Archives/edgar/data/1538263/000153826322000058/0001538263-22-000058-index.htm" TargetMode="External"/><Relationship Id="rId36" Type="http://schemas.openxmlformats.org/officeDocument/2006/relationships/hyperlink" Target="https://www.sec.gov/ix?doc=/Archives/edgar/data/0001538263/000153826323000038/htbi-20230828.htm" TargetMode="External"/><Relationship Id="rId37" Type="http://schemas.openxmlformats.org/officeDocument/2006/relationships/hyperlink" Target="https://www.sec.gov/Archives/edgar/data/1538263/000119312511355607/0001193125-11-355607-index.htm" TargetMode="External"/><Relationship Id="rId38" Type="http://schemas.openxmlformats.org/officeDocument/2006/relationships/hyperlink" Target="https://www.sec.gov/ix?doc=/Archives/edgar/data/0001538263/000153826322000021/htbi-20220331.htm" TargetMode="External"/><Relationship Id="rId39" Type="http://schemas.openxmlformats.org/officeDocument/2006/relationships/hyperlink" Target="https://www.sec.gov/Archives/edgar/data/1538263/000119312511355607/0001193125-11-355607-index.htm" TargetMode="External"/><Relationship Id="rId40" Type="http://schemas.openxmlformats.org/officeDocument/2006/relationships/hyperlink" Target="https://www.sec.gov/ix?doc=/Archives/edgar/data/0001538263/000153826322000021/htbi-20220331.htm" TargetMode="External"/><Relationship Id="rId41" Type="http://schemas.openxmlformats.org/officeDocument/2006/relationships/hyperlink" Target="https://www.sec.gov/ix?doc=/Archives/edgar/data/0001538263/000153826325000042/htbi-20250327.htm" TargetMode="External"/><Relationship Id="rId42" Type="http://schemas.openxmlformats.org/officeDocument/2006/relationships/hyperlink" Target="https://www.sec.gov/Archives/edgar/data/1538263/000092708912000332/htbi-def14a2012.htm" TargetMode="External"/><Relationship Id="rId43" Type="http://schemas.openxmlformats.org/officeDocument/2006/relationships/hyperlink" Target="https://www.sec.gov/Archives/edgar/data/1538263/000092708913000038/0000927089-13-000038-index.htm" TargetMode="External"/><Relationship Id="rId44" Type="http://schemas.openxmlformats.org/officeDocument/2006/relationships/hyperlink" Target="https://www.sec.gov/Archives/edgar/data/1538263/000092708913000038/0000927089-13-000038-index.htm" TargetMode="External"/><Relationship Id="rId45" Type="http://schemas.openxmlformats.org/officeDocument/2006/relationships/hyperlink" Target="https://www.sec.gov/Archives/edgar/data/1538263/000092708913000038/0000927089-13-000038-index.htm" TargetMode="External"/><Relationship Id="rId46" Type="http://schemas.openxmlformats.org/officeDocument/2006/relationships/hyperlink" Target="https://www.sec.gov/Archives/edgar/data/1538263/000092708913000038/0000927089-13-000038-index.htm" TargetMode="External"/><Relationship Id="rId47" Type="http://schemas.openxmlformats.org/officeDocument/2006/relationships/hyperlink" Target="https://www.sec.gov/Archives/edgar/data/1538263/000092708913000038/0000927089-13-000038-index.htm" TargetMode="External"/><Relationship Id="rId48" Type="http://schemas.openxmlformats.org/officeDocument/2006/relationships/hyperlink" Target="https://www.sec.gov/Archives/edgar/data/1538263/000110465922104918/tm2226697d1_def14a.htm" TargetMode="External"/><Relationship Id="rId49" Type="http://schemas.openxmlformats.org/officeDocument/2006/relationships/hyperlink" Target="https://www.sec.gov/Archives/edgar/data/1538263/000110465923011174/tm235386d1_s8.htm" TargetMode="External"/><Relationship Id="rId50" Type="http://schemas.openxmlformats.org/officeDocument/2006/relationships/hyperlink" Target="https://www.sec.gov/Archives/edgar/data/1538263/000110465923011174/tm235386d1_s8.htm" TargetMode="External"/><Relationship Id="rId51" Type="http://schemas.openxmlformats.org/officeDocument/2006/relationships/hyperlink" Target="https://www.sec.gov/Archives/edgar/data/1538263/000110465923011174/tm235386d1_s8.htm" TargetMode="External"/><Relationship Id="rId52" Type="http://schemas.openxmlformats.org/officeDocument/2006/relationships/hyperlink" Target="https://www.sec.gov/ix?doc=/Archives/edgar/data/1538263/000153826323000047/htbi-20230630.htm" TargetMode="External"/><Relationship Id="rId53" Type="http://schemas.openxmlformats.org/officeDocument/2006/relationships/hyperlink" Target="https://www.sec.gov/Archives/edgar/data/1538263/000153826322000058/0001538263-22-000058-index.htm" TargetMode="External"/><Relationship Id="rId54" Type="http://schemas.openxmlformats.org/officeDocument/2006/relationships/hyperlink" Target="https://www.sec.gov/ix?doc=/Archives/edgar/data/0001538263/000153826322000047/htbi-20220630.htm" TargetMode="External"/><Relationship Id="rId55" Type="http://schemas.openxmlformats.org/officeDocument/2006/relationships/hyperlink" Target="https://www.sec.gov/ix?doc=/Archives/edgar/data/0001538263/000153826322000047/htbi-20220630.htm" TargetMode="External"/><Relationship Id="rId56" Type="http://schemas.openxmlformats.org/officeDocument/2006/relationships/hyperlink" Target="https://www.sec.gov/ix?doc=/Archives/edgar/data/0001538263/000153826323000056/htbi-20230930.htm" TargetMode="External"/><Relationship Id="rId57" Type="http://schemas.openxmlformats.org/officeDocument/2006/relationships/hyperlink" Target="https://www.sec.gov/ix?doc=/Archives/edgar/data/1538263/000153826324000087/htbi-20240630.htm" TargetMode="External"/><Relationship Id="rId58" Type="http://schemas.openxmlformats.org/officeDocument/2006/relationships/hyperlink" Target="https://www.sec.gov/ix?doc=/Archives/edgar/data/0001538263/000153826324000105/htbi-20240930.htm" TargetMode="External"/><Relationship Id="rId59" Type="http://schemas.openxmlformats.org/officeDocument/2006/relationships/hyperlink" Target="https://www.sec.gov/ix?doc=/Archives/edgar/data/0001538263/000153826324000029/htbi-20231231.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26058</Words>
  <Characters>141862</Characters>
  <CharactersWithSpaces>165097</CharactersWithSpaces>
  <Paragraphs>8452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