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1"/>
          <w:szCs w:val="11"/>
          <w:b w:val="1"/>
          <w:bCs w:val="1"/>
          <w:color w:val="auto"/>
        </w:rPr>
        <w:t>UNITED STATES</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WASHINGTON, D.C. 20549</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FORM 10-K</w:t>
      </w:r>
    </w:p>
    <w:p>
      <w:pPr>
        <w:spacing w:after="0" w:line="139"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18"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 the Fiscal Year Ended June 30, 2023</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34"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23"/>
          <w:szCs w:val="23"/>
          <w:color w:val="auto"/>
          <w:highlight w:val="black"/>
          <w:vertAlign w:val="subscript"/>
        </w:rPr>
      </w:pPr>
      <w:r>
        <w:rPr>
          <w:rFonts w:ascii="Arial" w:cs="Arial" w:eastAsia="Arial" w:hAnsi="Arial"/>
          <w:sz w:val="11"/>
          <w:szCs w:val="11"/>
          <w:b w:val="1"/>
          <w:bCs w:val="1"/>
          <w:color w:val="auto"/>
        </w:rPr>
        <w:t>TRANSITION REPORT PURSUANT TO SECTION 13 OR 15(d) OF THE SECURITIES EXCHANGE ACT OF 1934</w:t>
      </w:r>
    </w:p>
    <w:p>
      <w:pPr>
        <w:spacing w:after="0" w:line="267" w:lineRule="exact"/>
        <w:rPr>
          <w:sz w:val="24"/>
          <w:szCs w:val="24"/>
          <w:color w:val="auto"/>
        </w:rPr>
      </w:pPr>
    </w:p>
    <w:tbl>
      <w:tblPr>
        <w:tblLayout w:type="fixed"/>
        <w:tblInd w:w="1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39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For the Transition Period From __________________ To __________________</w:t>
            </w:r>
          </w:p>
        </w:tc>
        <w:tc>
          <w:tcPr>
            <w:tcW w:w="3600" w:type="dxa"/>
            <w:vAlign w:val="bottom"/>
          </w:tcPr>
          <w:p>
            <w:pPr>
              <w:spacing w:after="0"/>
              <w:rPr>
                <w:sz w:val="12"/>
                <w:szCs w:val="12"/>
                <w:color w:val="auto"/>
              </w:rPr>
            </w:pPr>
          </w:p>
        </w:tc>
      </w:tr>
      <w:tr>
        <w:trPr>
          <w:trHeight w:val="212"/>
        </w:trPr>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40" w:type="dxa"/>
            <w:vAlign w:val="bottom"/>
            <w:gridSpan w:val="2"/>
          </w:tcPr>
          <w:p>
            <w:pPr>
              <w:jc w:val="center"/>
              <w:ind w:right="880"/>
              <w:spacing w:after="0"/>
              <w:rPr>
                <w:sz w:val="20"/>
                <w:szCs w:val="20"/>
                <w:color w:val="auto"/>
              </w:rPr>
            </w:pPr>
            <w:r>
              <w:rPr>
                <w:rFonts w:ascii="Arial" w:cs="Arial" w:eastAsia="Arial" w:hAnsi="Arial"/>
                <w:sz w:val="11"/>
                <w:szCs w:val="11"/>
                <w:b w:val="1"/>
                <w:bCs w:val="1"/>
                <w:color w:val="auto"/>
                <w:w w:val="93"/>
              </w:rPr>
              <w:t>Commission File Number 1-35593</w:t>
            </w:r>
          </w:p>
        </w:tc>
        <w:tc>
          <w:tcPr>
            <w:tcW w:w="3600" w:type="dxa"/>
            <w:vAlign w:val="bottom"/>
          </w:tcPr>
          <w:p>
            <w:pPr>
              <w:spacing w:after="0"/>
              <w:rPr>
                <w:sz w:val="18"/>
                <w:szCs w:val="18"/>
                <w:color w:val="auto"/>
              </w:rPr>
            </w:pPr>
          </w:p>
        </w:tc>
      </w:tr>
      <w:tr>
        <w:trPr>
          <w:trHeight w:val="223"/>
        </w:trPr>
        <w:tc>
          <w:tcPr>
            <w:tcW w:w="3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40" w:type="dxa"/>
            <w:vAlign w:val="bottom"/>
            <w:gridSpan w:val="2"/>
          </w:tcPr>
          <w:p>
            <w:pPr>
              <w:jc w:val="center"/>
              <w:ind w:right="880"/>
              <w:spacing w:after="0"/>
              <w:rPr>
                <w:sz w:val="20"/>
                <w:szCs w:val="20"/>
                <w:color w:val="auto"/>
              </w:rPr>
            </w:pPr>
            <w:r>
              <w:rPr>
                <w:rFonts w:ascii="Arial" w:cs="Arial" w:eastAsia="Arial" w:hAnsi="Arial"/>
                <w:sz w:val="11"/>
                <w:szCs w:val="11"/>
                <w:b w:val="1"/>
                <w:bCs w:val="1"/>
                <w:color w:val="auto"/>
              </w:rPr>
              <w:t>HOMETRUST BANCSHARES, INC.</w:t>
            </w:r>
          </w:p>
        </w:tc>
        <w:tc>
          <w:tcPr>
            <w:tcW w:w="360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1"/>
                <w:szCs w:val="11"/>
                <w:color w:val="auto"/>
                <w:w w:val="93"/>
              </w:rPr>
              <w:t>(Exact name of registrant as specified in its charter)</w:t>
            </w:r>
          </w:p>
        </w:tc>
        <w:tc>
          <w:tcPr>
            <w:tcW w:w="3600" w:type="dxa"/>
            <w:vAlign w:val="bottom"/>
          </w:tcPr>
          <w:p>
            <w:pPr>
              <w:spacing w:after="0"/>
              <w:rPr>
                <w:sz w:val="19"/>
                <w:szCs w:val="19"/>
                <w:color w:val="auto"/>
              </w:rPr>
            </w:pPr>
          </w:p>
        </w:tc>
      </w:tr>
      <w:tr>
        <w:trPr>
          <w:trHeight w:val="170"/>
        </w:trPr>
        <w:tc>
          <w:tcPr>
            <w:tcW w:w="3720" w:type="dxa"/>
            <w:vAlign w:val="bottom"/>
          </w:tcPr>
          <w:p>
            <w:pPr>
              <w:jc w:val="center"/>
              <w:ind w:left="1423"/>
              <w:spacing w:after="0"/>
              <w:rPr>
                <w:sz w:val="20"/>
                <w:szCs w:val="20"/>
                <w:color w:val="auto"/>
              </w:rPr>
            </w:pPr>
            <w:r>
              <w:rPr>
                <w:rFonts w:ascii="Arial" w:cs="Arial" w:eastAsia="Arial" w:hAnsi="Arial"/>
                <w:sz w:val="11"/>
                <w:szCs w:val="11"/>
                <w:b w:val="1"/>
                <w:bCs w:val="1"/>
                <w:color w:val="auto"/>
                <w:w w:val="99"/>
              </w:rPr>
              <w:t>Maryland</w:t>
            </w:r>
          </w:p>
        </w:tc>
        <w:tc>
          <w:tcPr>
            <w:tcW w:w="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0" w:type="dxa"/>
            <w:vAlign w:val="bottom"/>
          </w:tcPr>
          <w:p>
            <w:pPr>
              <w:jc w:val="right"/>
              <w:ind w:right="2283"/>
              <w:spacing w:after="0"/>
              <w:rPr>
                <w:sz w:val="20"/>
                <w:szCs w:val="20"/>
                <w:color w:val="auto"/>
              </w:rPr>
            </w:pPr>
            <w:r>
              <w:rPr>
                <w:rFonts w:ascii="Arial" w:cs="Arial" w:eastAsia="Arial" w:hAnsi="Arial"/>
                <w:sz w:val="11"/>
                <w:szCs w:val="11"/>
                <w:b w:val="1"/>
                <w:bCs w:val="1"/>
                <w:color w:val="auto"/>
              </w:rPr>
              <w:t>45-5055422</w:t>
            </w:r>
          </w:p>
        </w:tc>
      </w:tr>
      <w:tr>
        <w:trPr>
          <w:trHeight w:val="159"/>
        </w:trPr>
        <w:tc>
          <w:tcPr>
            <w:tcW w:w="7700" w:type="dxa"/>
            <w:vAlign w:val="bottom"/>
            <w:gridSpan w:val="4"/>
          </w:tcPr>
          <w:p>
            <w:pPr>
              <w:jc w:val="center"/>
              <w:ind w:right="2520"/>
              <w:spacing w:after="0"/>
              <w:rPr>
                <w:sz w:val="20"/>
                <w:szCs w:val="20"/>
                <w:color w:val="auto"/>
              </w:rPr>
            </w:pPr>
            <w:r>
              <w:rPr>
                <w:rFonts w:ascii="Arial" w:cs="Arial" w:eastAsia="Arial" w:hAnsi="Arial"/>
                <w:sz w:val="11"/>
                <w:szCs w:val="11"/>
                <w:color w:val="auto"/>
                <w:w w:val="95"/>
              </w:rPr>
              <w:t>(State or other jurisdiction of incorporation or organization)</w:t>
            </w:r>
          </w:p>
        </w:tc>
        <w:tc>
          <w:tcPr>
            <w:tcW w:w="3600" w:type="dxa"/>
            <w:vAlign w:val="bottom"/>
          </w:tcPr>
          <w:p>
            <w:pPr>
              <w:jc w:val="center"/>
              <w:ind w:right="1543"/>
              <w:spacing w:after="0"/>
              <w:rPr>
                <w:sz w:val="20"/>
                <w:szCs w:val="20"/>
                <w:color w:val="auto"/>
              </w:rPr>
            </w:pPr>
            <w:r>
              <w:rPr>
                <w:rFonts w:ascii="Arial" w:cs="Arial" w:eastAsia="Arial" w:hAnsi="Arial"/>
                <w:sz w:val="11"/>
                <w:szCs w:val="11"/>
                <w:color w:val="auto"/>
                <w:w w:val="96"/>
              </w:rPr>
              <w:t>(I.R.S. Employer Identification No.)</w:t>
            </w:r>
          </w:p>
        </w:tc>
      </w:tr>
      <w:tr>
        <w:trPr>
          <w:trHeight w:val="318"/>
        </w:trPr>
        <w:tc>
          <w:tcPr>
            <w:tcW w:w="3720" w:type="dxa"/>
            <w:vAlign w:val="bottom"/>
          </w:tcPr>
          <w:p>
            <w:pPr>
              <w:jc w:val="center"/>
              <w:ind w:left="1423"/>
              <w:spacing w:after="0"/>
              <w:rPr>
                <w:sz w:val="20"/>
                <w:szCs w:val="20"/>
                <w:color w:val="auto"/>
              </w:rPr>
            </w:pPr>
            <w:r>
              <w:rPr>
                <w:rFonts w:ascii="Arial" w:cs="Arial" w:eastAsia="Arial" w:hAnsi="Arial"/>
                <w:sz w:val="11"/>
                <w:szCs w:val="11"/>
                <w:b w:val="1"/>
                <w:bCs w:val="1"/>
                <w:color w:val="auto"/>
                <w:w w:val="93"/>
              </w:rPr>
              <w:t>10 Woodfin Street, Asheville, North Carolina</w:t>
            </w:r>
          </w:p>
        </w:tc>
        <w:tc>
          <w:tcPr>
            <w:tcW w:w="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0" w:type="dxa"/>
            <w:vAlign w:val="bottom"/>
          </w:tcPr>
          <w:p>
            <w:pPr>
              <w:jc w:val="right"/>
              <w:ind w:right="2403"/>
              <w:spacing w:after="0"/>
              <w:rPr>
                <w:sz w:val="20"/>
                <w:szCs w:val="20"/>
                <w:color w:val="auto"/>
              </w:rPr>
            </w:pPr>
            <w:r>
              <w:rPr>
                <w:rFonts w:ascii="Arial" w:cs="Arial" w:eastAsia="Arial" w:hAnsi="Arial"/>
                <w:sz w:val="11"/>
                <w:szCs w:val="11"/>
                <w:b w:val="1"/>
                <w:bCs w:val="1"/>
                <w:color w:val="auto"/>
              </w:rPr>
              <w:t>28801</w:t>
            </w:r>
          </w:p>
        </w:tc>
      </w:tr>
      <w:tr>
        <w:trPr>
          <w:trHeight w:val="159"/>
        </w:trPr>
        <w:tc>
          <w:tcPr>
            <w:tcW w:w="3720" w:type="dxa"/>
            <w:vAlign w:val="bottom"/>
          </w:tcPr>
          <w:p>
            <w:pPr>
              <w:jc w:val="center"/>
              <w:ind w:left="1423"/>
              <w:spacing w:after="0"/>
              <w:rPr>
                <w:sz w:val="20"/>
                <w:szCs w:val="20"/>
                <w:color w:val="auto"/>
              </w:rPr>
            </w:pPr>
            <w:r>
              <w:rPr>
                <w:rFonts w:ascii="Arial" w:cs="Arial" w:eastAsia="Arial" w:hAnsi="Arial"/>
                <w:sz w:val="11"/>
                <w:szCs w:val="11"/>
                <w:color w:val="auto"/>
                <w:w w:val="95"/>
              </w:rPr>
              <w:t>(Address of principal executive offices)</w:t>
            </w: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0" w:type="dxa"/>
            <w:vAlign w:val="bottom"/>
          </w:tcPr>
          <w:p>
            <w:pPr>
              <w:jc w:val="center"/>
              <w:ind w:right="1563"/>
              <w:spacing w:after="0"/>
              <w:rPr>
                <w:sz w:val="20"/>
                <w:szCs w:val="20"/>
                <w:color w:val="auto"/>
              </w:rPr>
            </w:pPr>
            <w:r>
              <w:rPr>
                <w:rFonts w:ascii="Arial" w:cs="Arial" w:eastAsia="Arial" w:hAnsi="Arial"/>
                <w:sz w:val="11"/>
                <w:szCs w:val="11"/>
                <w:color w:val="auto"/>
                <w:w w:val="96"/>
              </w:rPr>
              <w:t>(Zip Code)</w:t>
            </w:r>
          </w:p>
        </w:tc>
      </w:tr>
      <w:tr>
        <w:trPr>
          <w:trHeight w:val="297"/>
        </w:trPr>
        <w:tc>
          <w:tcPr>
            <w:tcW w:w="3720" w:type="dxa"/>
            <w:vAlign w:val="bottom"/>
          </w:tcPr>
          <w:p>
            <w:pPr>
              <w:spacing w:after="0"/>
              <w:rPr>
                <w:sz w:val="24"/>
                <w:szCs w:val="24"/>
                <w:color w:val="auto"/>
              </w:rPr>
            </w:pPr>
          </w:p>
        </w:tc>
        <w:tc>
          <w:tcPr>
            <w:tcW w:w="3980" w:type="dxa"/>
            <w:vAlign w:val="bottom"/>
            <w:gridSpan w:val="3"/>
          </w:tcPr>
          <w:p>
            <w:pPr>
              <w:jc w:val="center"/>
              <w:ind w:right="140"/>
              <w:spacing w:after="0"/>
              <w:rPr>
                <w:sz w:val="20"/>
                <w:szCs w:val="20"/>
                <w:color w:val="auto"/>
              </w:rPr>
            </w:pPr>
            <w:r>
              <w:rPr>
                <w:rFonts w:ascii="Arial" w:cs="Arial" w:eastAsia="Arial" w:hAnsi="Arial"/>
                <w:sz w:val="11"/>
                <w:szCs w:val="11"/>
                <w:color w:val="auto"/>
                <w:w w:val="92"/>
              </w:rPr>
              <w:t xml:space="preserve">Registrant’s telephone number, including area code: </w:t>
            </w:r>
            <w:r>
              <w:rPr>
                <w:rFonts w:ascii="Arial" w:cs="Arial" w:eastAsia="Arial" w:hAnsi="Arial"/>
                <w:sz w:val="11"/>
                <w:szCs w:val="11"/>
                <w:b w:val="1"/>
                <w:bCs w:val="1"/>
                <w:color w:val="auto"/>
                <w:w w:val="92"/>
              </w:rPr>
              <w:t>(828) 259-3939</w:t>
            </w:r>
          </w:p>
        </w:tc>
        <w:tc>
          <w:tcPr>
            <w:tcW w:w="3600" w:type="dxa"/>
            <w:vAlign w:val="bottom"/>
          </w:tcPr>
          <w:p>
            <w:pPr>
              <w:spacing w:after="0"/>
              <w:rPr>
                <w:sz w:val="24"/>
                <w:szCs w:val="24"/>
                <w:color w:val="auto"/>
              </w:rPr>
            </w:pPr>
          </w:p>
        </w:tc>
      </w:tr>
      <w:tr>
        <w:trPr>
          <w:trHeight w:val="223"/>
        </w:trPr>
        <w:tc>
          <w:tcPr>
            <w:tcW w:w="3720" w:type="dxa"/>
            <w:vAlign w:val="bottom"/>
          </w:tcPr>
          <w:p>
            <w:pPr>
              <w:spacing w:after="0"/>
              <w:rPr>
                <w:sz w:val="19"/>
                <w:szCs w:val="19"/>
                <w:color w:val="auto"/>
              </w:rPr>
            </w:pPr>
          </w:p>
        </w:tc>
        <w:tc>
          <w:tcPr>
            <w:tcW w:w="3980" w:type="dxa"/>
            <w:vAlign w:val="bottom"/>
            <w:gridSpan w:val="3"/>
          </w:tcPr>
          <w:p>
            <w:pPr>
              <w:jc w:val="center"/>
              <w:ind w:right="140"/>
              <w:spacing w:after="0"/>
              <w:rPr>
                <w:sz w:val="20"/>
                <w:szCs w:val="20"/>
                <w:color w:val="auto"/>
              </w:rPr>
            </w:pPr>
            <w:r>
              <w:rPr>
                <w:rFonts w:ascii="Arial" w:cs="Arial" w:eastAsia="Arial" w:hAnsi="Arial"/>
                <w:sz w:val="11"/>
                <w:szCs w:val="11"/>
                <w:color w:val="auto"/>
                <w:w w:val="92"/>
              </w:rPr>
              <w:t>Securities Registered Pursuant to Section 12(b) of the Act:</w:t>
            </w:r>
          </w:p>
        </w:tc>
        <w:tc>
          <w:tcPr>
            <w:tcW w:w="3600" w:type="dxa"/>
            <w:vAlign w:val="bottom"/>
          </w:tcPr>
          <w:p>
            <w:pPr>
              <w:spacing w:after="0"/>
              <w:rPr>
                <w:sz w:val="19"/>
                <w:szCs w:val="19"/>
                <w:color w:val="auto"/>
              </w:rPr>
            </w:pPr>
          </w:p>
        </w:tc>
      </w:tr>
      <w:tr>
        <w:trPr>
          <w:trHeight w:val="30"/>
        </w:trPr>
        <w:tc>
          <w:tcPr>
            <w:tcW w:w="3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44"/>
        </w:trPr>
        <w:tc>
          <w:tcPr>
            <w:tcW w:w="3720" w:type="dxa"/>
            <w:vAlign w:val="bottom"/>
            <w:tcBorders>
              <w:left w:val="single" w:sz="8" w:color="auto"/>
              <w:bottom w:val="single" w:sz="8" w:color="auto"/>
            </w:tcBorders>
          </w:tcPr>
          <w:p>
            <w:pPr>
              <w:jc w:val="center"/>
              <w:ind w:left="683"/>
              <w:spacing w:after="0"/>
              <w:rPr>
                <w:sz w:val="20"/>
                <w:szCs w:val="20"/>
                <w:color w:val="auto"/>
              </w:rPr>
            </w:pPr>
            <w:r>
              <w:rPr>
                <w:rFonts w:ascii="Arial" w:cs="Arial" w:eastAsia="Arial" w:hAnsi="Arial"/>
                <w:sz w:val="11"/>
                <w:szCs w:val="11"/>
                <w:b w:val="1"/>
                <w:bCs w:val="1"/>
                <w:color w:val="auto"/>
                <w:w w:val="91"/>
              </w:rPr>
              <w:t>Title of Each Class</w:t>
            </w:r>
          </w:p>
        </w:tc>
        <w:tc>
          <w:tcPr>
            <w:tcW w:w="74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Trading Symbol</w:t>
            </w:r>
          </w:p>
        </w:tc>
        <w:tc>
          <w:tcPr>
            <w:tcW w:w="900" w:type="dxa"/>
            <w:vAlign w:val="bottom"/>
            <w:tcBorders>
              <w:bottom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jc w:val="center"/>
              <w:ind w:right="883"/>
              <w:spacing w:after="0"/>
              <w:rPr>
                <w:sz w:val="20"/>
                <w:szCs w:val="20"/>
                <w:color w:val="auto"/>
              </w:rPr>
            </w:pPr>
            <w:r>
              <w:rPr>
                <w:rFonts w:ascii="Arial" w:cs="Arial" w:eastAsia="Arial" w:hAnsi="Arial"/>
                <w:sz w:val="11"/>
                <w:szCs w:val="11"/>
                <w:b w:val="1"/>
                <w:bCs w:val="1"/>
                <w:color w:val="auto"/>
                <w:w w:val="92"/>
              </w:rPr>
              <w:t>Name of Each Exchange on Which Registered</w:t>
            </w:r>
          </w:p>
        </w:tc>
      </w:tr>
      <w:tr>
        <w:trPr>
          <w:trHeight w:val="150"/>
        </w:trPr>
        <w:tc>
          <w:tcPr>
            <w:tcW w:w="3720" w:type="dxa"/>
            <w:vAlign w:val="bottom"/>
            <w:tcBorders>
              <w:left w:val="single" w:sz="8" w:color="auto"/>
              <w:bottom w:val="single" w:sz="8" w:color="auto"/>
            </w:tcBorders>
          </w:tcPr>
          <w:p>
            <w:pPr>
              <w:jc w:val="center"/>
              <w:ind w:left="683"/>
              <w:spacing w:after="0"/>
              <w:rPr>
                <w:sz w:val="20"/>
                <w:szCs w:val="20"/>
                <w:color w:val="auto"/>
              </w:rPr>
            </w:pPr>
            <w:r>
              <w:rPr>
                <w:rFonts w:ascii="Arial" w:cs="Arial" w:eastAsia="Arial" w:hAnsi="Arial"/>
                <w:sz w:val="11"/>
                <w:szCs w:val="11"/>
                <w:b w:val="1"/>
                <w:bCs w:val="1"/>
                <w:color w:val="auto"/>
                <w:w w:val="92"/>
              </w:rPr>
              <w:t>Common Stock, par value $0.01 per share</w:t>
            </w:r>
          </w:p>
        </w:tc>
        <w:tc>
          <w:tcPr>
            <w:tcW w:w="74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HTBI</w:t>
            </w:r>
          </w:p>
        </w:tc>
        <w:tc>
          <w:tcPr>
            <w:tcW w:w="900" w:type="dxa"/>
            <w:vAlign w:val="bottom"/>
            <w:tcBorders>
              <w:bottom w:val="single" w:sz="8" w:color="auto"/>
            </w:tcBorders>
          </w:tcPr>
          <w:p>
            <w:pPr>
              <w:spacing w:after="0"/>
              <w:rPr>
                <w:sz w:val="13"/>
                <w:szCs w:val="13"/>
                <w:color w:val="auto"/>
              </w:rPr>
            </w:pPr>
          </w:p>
        </w:tc>
        <w:tc>
          <w:tcPr>
            <w:tcW w:w="3600" w:type="dxa"/>
            <w:vAlign w:val="bottom"/>
            <w:tcBorders>
              <w:bottom w:val="single" w:sz="8" w:color="auto"/>
              <w:right w:val="single" w:sz="8" w:color="auto"/>
            </w:tcBorders>
          </w:tcPr>
          <w:p>
            <w:pPr>
              <w:jc w:val="center"/>
              <w:ind w:right="863"/>
              <w:spacing w:after="0"/>
              <w:rPr>
                <w:sz w:val="20"/>
                <w:szCs w:val="20"/>
                <w:color w:val="auto"/>
              </w:rPr>
            </w:pPr>
            <w:r>
              <w:rPr>
                <w:rFonts w:ascii="Arial" w:cs="Arial" w:eastAsia="Arial" w:hAnsi="Arial"/>
                <w:sz w:val="11"/>
                <w:szCs w:val="11"/>
                <w:b w:val="1"/>
                <w:bCs w:val="1"/>
                <w:color w:val="auto"/>
                <w:w w:val="98"/>
              </w:rPr>
              <w:t>The NASDAQ Stock Market LLC</w:t>
            </w:r>
          </w:p>
        </w:tc>
      </w:tr>
    </w:tbl>
    <w:p>
      <w:pPr>
        <w:spacing w:after="0" w:line="142"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57"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jc w:val="both"/>
        <w:ind w:right="20"/>
        <w:spacing w:after="0" w:line="17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r>
        <w:rPr>
          <w:rFonts w:ascii="Arial" w:cs="Arial" w:eastAsia="Arial" w:hAnsi="Arial"/>
          <w:sz w:val="11"/>
          <w:szCs w:val="11"/>
          <w:color w:val="auto"/>
        </w:rPr>
        <w:t>.</w:t>
      </w:r>
    </w:p>
    <w:p>
      <w:pPr>
        <w:spacing w:after="0" w:line="28" w:lineRule="exact"/>
        <w:rPr>
          <w:sz w:val="24"/>
          <w:szCs w:val="24"/>
          <w:color w:val="auto"/>
        </w:rPr>
      </w:pPr>
    </w:p>
    <w:p>
      <w:pPr>
        <w:jc w:val="both"/>
        <w:ind w:right="20"/>
        <w:spacing w:after="0" w:line="17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r>
        <w:rPr>
          <w:rFonts w:ascii="Arial" w:cs="Arial" w:eastAsia="Arial" w:hAnsi="Arial"/>
          <w:sz w:val="11"/>
          <w:szCs w:val="11"/>
          <w:color w:val="auto"/>
        </w:rPr>
        <w:t>.</w:t>
      </w:r>
    </w:p>
    <w:p>
      <w:pPr>
        <w:spacing w:after="0" w:line="38" w:lineRule="exact"/>
        <w:rPr>
          <w:sz w:val="24"/>
          <w:szCs w:val="24"/>
          <w:color w:val="auto"/>
        </w:rPr>
      </w:pPr>
    </w:p>
    <w:p>
      <w:pPr>
        <w:jc w:val="both"/>
        <w:ind w:right="20"/>
        <w:spacing w:after="0" w:line="27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844" w:right="299" w:bottom="1440" w:gutter="0" w:footer="0" w:header="0"/>
        </w:sectPr>
      </w:pPr>
    </w:p>
    <w:p>
      <w:pPr>
        <w:spacing w:after="0" w:line="52"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64"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33"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7300" w:type="dxa"/>
            <w:vAlign w:val="bottom"/>
          </w:tcPr>
          <w:p>
            <w:pPr>
              <w:ind w:left="20"/>
              <w:spacing w:after="0"/>
              <w:rPr>
                <w:sz w:val="20"/>
                <w:szCs w:val="20"/>
                <w:color w:val="auto"/>
              </w:rPr>
            </w:pPr>
            <w:r>
              <w:rPr>
                <w:rFonts w:ascii="Arial" w:cs="Arial" w:eastAsia="Arial" w:hAnsi="Arial"/>
                <w:sz w:val="11"/>
                <w:szCs w:val="11"/>
                <w:color w:val="auto"/>
                <w:w w:val="96"/>
              </w:rPr>
              <w:t>If an emerging growth company, indicate by check mark if the registrant has elected not to use the extended transition period for complying with any new or</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86"/>
        </w:trPr>
        <w:tc>
          <w:tcPr>
            <w:tcW w:w="7300" w:type="dxa"/>
            <w:vAlign w:val="bottom"/>
          </w:tcPr>
          <w:p>
            <w:pPr>
              <w:ind w:left="20"/>
              <w:spacing w:after="0"/>
              <w:rPr>
                <w:sz w:val="20"/>
                <w:szCs w:val="20"/>
                <w:color w:val="auto"/>
              </w:rPr>
            </w:pPr>
            <w:r>
              <w:rPr>
                <w:rFonts w:ascii="Arial" w:cs="Arial" w:eastAsia="Arial" w:hAnsi="Arial"/>
                <w:sz w:val="11"/>
                <w:szCs w:val="11"/>
                <w:color w:val="auto"/>
              </w:rPr>
              <w:t>revised financial accounting standards provided pursuant to Section 13(a) of the Exchange Act.</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7300" w:type="dxa"/>
            <w:vAlign w:val="bottom"/>
          </w:tcPr>
          <w:p>
            <w:pPr>
              <w:ind w:left="20"/>
              <w:spacing w:after="0" w:line="111" w:lineRule="exact"/>
              <w:rPr>
                <w:sz w:val="20"/>
                <w:szCs w:val="20"/>
                <w:color w:val="auto"/>
              </w:rPr>
            </w:pPr>
            <w:r>
              <w:rPr>
                <w:rFonts w:ascii="Arial" w:cs="Arial" w:eastAsia="Arial" w:hAnsi="Arial"/>
                <w:sz w:val="11"/>
                <w:szCs w:val="11"/>
                <w:color w:val="auto"/>
                <w:w w:val="95"/>
              </w:rPr>
              <w:t>Indicate by check mark whether the registrant has filed a report on and attestation to its management’s assessment of the effectiveness of its internal control</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300" w:type="dxa"/>
            <w:vAlign w:val="bottom"/>
          </w:tcPr>
          <w:p>
            <w:pPr>
              <w:ind w:left="20"/>
              <w:spacing w:after="0" w:line="112" w:lineRule="exact"/>
              <w:rPr>
                <w:sz w:val="20"/>
                <w:szCs w:val="20"/>
                <w:color w:val="auto"/>
              </w:rPr>
            </w:pPr>
            <w:r>
              <w:rPr>
                <w:rFonts w:ascii="Arial" w:cs="Arial" w:eastAsia="Arial" w:hAnsi="Arial"/>
                <w:sz w:val="11"/>
                <w:szCs w:val="11"/>
                <w:color w:val="auto"/>
                <w:w w:val="95"/>
              </w:rPr>
              <w:t>over financial reporting under Section 404(b) of the Sarbanes-Oxley Act (15 U.S.C. 7262(b)) by the registered public accounting firm that prepared or issued</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63"/>
        </w:trPr>
        <w:tc>
          <w:tcPr>
            <w:tcW w:w="7300" w:type="dxa"/>
            <w:vAlign w:val="bottom"/>
          </w:tcPr>
          <w:p>
            <w:pPr>
              <w:ind w:left="20"/>
              <w:spacing w:after="0"/>
              <w:rPr>
                <w:sz w:val="20"/>
                <w:szCs w:val="20"/>
                <w:color w:val="auto"/>
              </w:rPr>
            </w:pPr>
            <w:r>
              <w:rPr>
                <w:rFonts w:ascii="Arial" w:cs="Arial" w:eastAsia="Arial" w:hAnsi="Arial"/>
                <w:sz w:val="11"/>
                <w:szCs w:val="11"/>
                <w:color w:val="auto"/>
              </w:rPr>
              <w:t>its audit report.</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300" w:type="dxa"/>
            <w:vAlign w:val="bottom"/>
          </w:tcPr>
          <w:p>
            <w:pPr>
              <w:ind w:left="20"/>
              <w:spacing w:after="0"/>
              <w:rPr>
                <w:sz w:val="20"/>
                <w:szCs w:val="20"/>
                <w:color w:val="auto"/>
              </w:rPr>
            </w:pPr>
            <w:r>
              <w:rPr>
                <w:rFonts w:ascii="Arial" w:cs="Arial" w:eastAsia="Arial" w:hAnsi="Arial"/>
                <w:sz w:val="11"/>
                <w:szCs w:val="11"/>
                <w:color w:val="auto"/>
                <w:w w:val="94"/>
              </w:rPr>
              <w:t>If securities are registered pursuant to Section 12(b) of the Act, indicate by check mark whether the financial statements of the registrant included in the filings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300" w:type="dxa"/>
            <w:vAlign w:val="bottom"/>
          </w:tcPr>
          <w:p>
            <w:pPr>
              <w:ind w:left="20"/>
              <w:spacing w:after="0"/>
              <w:rPr>
                <w:sz w:val="20"/>
                <w:szCs w:val="20"/>
                <w:color w:val="auto"/>
              </w:rPr>
            </w:pPr>
            <w:r>
              <w:rPr>
                <w:rFonts w:ascii="Arial" w:cs="Arial" w:eastAsia="Arial" w:hAnsi="Arial"/>
                <w:sz w:val="11"/>
                <w:szCs w:val="11"/>
                <w:color w:val="auto"/>
              </w:rPr>
              <w:t>reflect the correction of an error to previously issued financial statements.</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7300" w:type="dxa"/>
            <w:vAlign w:val="bottom"/>
          </w:tcPr>
          <w:p>
            <w:pPr>
              <w:ind w:left="20"/>
              <w:spacing w:after="0"/>
              <w:rPr>
                <w:sz w:val="20"/>
                <w:szCs w:val="20"/>
                <w:color w:val="auto"/>
              </w:rPr>
            </w:pPr>
            <w:r>
              <w:rPr>
                <w:rFonts w:ascii="Arial" w:cs="Arial" w:eastAsia="Arial" w:hAnsi="Arial"/>
                <w:sz w:val="11"/>
                <w:szCs w:val="11"/>
                <w:color w:val="auto"/>
                <w:w w:val="94"/>
              </w:rPr>
              <w:t>Indicate by check mark whether any of those error corrections are restatements that required a recovery analysis of incentive-based compensation received by</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300" w:type="dxa"/>
            <w:vAlign w:val="bottom"/>
          </w:tcPr>
          <w:p>
            <w:pPr>
              <w:ind w:left="20"/>
              <w:spacing w:after="0"/>
              <w:rPr>
                <w:sz w:val="20"/>
                <w:szCs w:val="20"/>
                <w:color w:val="auto"/>
              </w:rPr>
            </w:pPr>
            <w:r>
              <w:rPr>
                <w:rFonts w:ascii="Arial" w:cs="Arial" w:eastAsia="Arial" w:hAnsi="Arial"/>
                <w:sz w:val="11"/>
                <w:szCs w:val="11"/>
                <w:color w:val="auto"/>
              </w:rPr>
              <w:t>any of the registrant's executive officers during the relevant recovery period pursuant to § 240.10D-1(b).</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00" w:type="dxa"/>
            <w:vAlign w:val="bottom"/>
          </w:tcPr>
          <w:p>
            <w:pPr>
              <w:spacing w:after="0" w:line="16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6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2193" w:lineRule="exact"/>
        <w:rPr>
          <w:sz w:val="24"/>
          <w:szCs w:val="24"/>
          <w:color w:val="auto"/>
        </w:rPr>
      </w:pPr>
    </w:p>
    <w:p>
      <w:pPr>
        <w:sectPr>
          <w:pgSz w:w="11900" w:h="16838" w:orient="portrait"/>
          <w:cols w:equalWidth="0" w:num="2">
            <w:col w:w="7500" w:space="640"/>
            <w:col w:w="3160"/>
          </w:cols>
          <w:pgMar w:left="300" w:top="844" w:right="299" w:bottom="1440" w:gutter="0" w:footer="0" w:header="0"/>
          <w:type w:val="continuous"/>
        </w:sectPr>
      </w:pPr>
    </w:p>
    <w:p>
      <w:pPr>
        <w:jc w:val="both"/>
        <w:ind w:right="80"/>
        <w:spacing w:after="0" w:line="327" w:lineRule="auto"/>
        <w:rPr>
          <w:sz w:val="20"/>
          <w:szCs w:val="20"/>
          <w:color w:val="auto"/>
        </w:rPr>
      </w:pPr>
      <w:r>
        <w:rPr>
          <w:rFonts w:ascii="Arial" w:cs="Arial" w:eastAsia="Arial" w:hAnsi="Arial"/>
          <w:sz w:val="10"/>
          <w:szCs w:val="10"/>
          <w:color w:val="auto"/>
        </w:rPr>
        <w:t>As of September 4, 2023, there were issued and outstanding 17,367,173 shares of the Registrant’s Common Stock. The aggregate market value of the voting stock held by non-affiliates of the Registrant computed by reference to the closing price of such stock as of December 31, 2022, was $362.5 million. (The exclusion from such amount of the market value of the shares owned by any person shall not be deemed an admission by the Registrant that such person is an affiliate of the Registrant).</w:t>
      </w:r>
    </w:p>
    <w:p>
      <w:pPr>
        <w:spacing w:after="0" w:line="77" w:lineRule="exact"/>
        <w:rPr>
          <w:sz w:val="24"/>
          <w:szCs w:val="24"/>
          <w:color w:val="auto"/>
        </w:rPr>
      </w:pPr>
    </w:p>
    <w:p>
      <w:pPr>
        <w:ind w:left="4700"/>
        <w:spacing w:after="0"/>
        <w:rPr>
          <w:sz w:val="20"/>
          <w:szCs w:val="20"/>
          <w:color w:val="auto"/>
        </w:rPr>
      </w:pPr>
      <w:r>
        <w:rPr>
          <w:rFonts w:ascii="Arial" w:cs="Arial" w:eastAsia="Arial" w:hAnsi="Arial"/>
          <w:sz w:val="11"/>
          <w:szCs w:val="11"/>
          <w:b w:val="1"/>
          <w:bCs w:val="1"/>
          <w:color w:val="auto"/>
        </w:rPr>
        <w:t>Documents Incorporated By Reference</w:t>
      </w:r>
    </w:p>
    <w:p>
      <w:pPr>
        <w:spacing w:after="0" w:line="45" w:lineRule="exact"/>
        <w:rPr>
          <w:sz w:val="24"/>
          <w:szCs w:val="24"/>
          <w:color w:val="auto"/>
        </w:rPr>
      </w:pPr>
    </w:p>
    <w:p>
      <w:pPr>
        <w:spacing w:after="0"/>
        <w:rPr>
          <w:sz w:val="20"/>
          <w:szCs w:val="20"/>
          <w:color w:val="auto"/>
        </w:rPr>
      </w:pPr>
      <w:r>
        <w:rPr>
          <w:rFonts w:ascii="Arial" w:cs="Arial" w:eastAsia="Arial" w:hAnsi="Arial"/>
          <w:sz w:val="11"/>
          <w:szCs w:val="11"/>
          <w:color w:val="auto"/>
        </w:rPr>
        <w:t>Portions of the Registrant's Proxy Statement for its 2023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44"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940" w:type="dxa"/>
            <w:vAlign w:val="bottom"/>
            <w:gridSpan w:val="5"/>
          </w:tcPr>
          <w:p>
            <w:pPr>
              <w:jc w:val="center"/>
              <w:ind w:right="3840"/>
              <w:spacing w:after="0"/>
              <w:rPr>
                <w:sz w:val="20"/>
                <w:szCs w:val="20"/>
                <w:color w:val="auto"/>
              </w:rPr>
            </w:pPr>
            <w:r>
              <w:rPr>
                <w:rFonts w:ascii="Arial" w:cs="Arial" w:eastAsia="Arial" w:hAnsi="Arial"/>
                <w:sz w:val="13"/>
                <w:szCs w:val="13"/>
                <w:b w:val="1"/>
                <w:bCs w:val="1"/>
                <w:color w:val="auto"/>
                <w:w w:val="97"/>
              </w:rPr>
              <w:t>HOMETRUST BANCSHARES, INC.</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9"/>
        </w:trPr>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540" w:type="dxa"/>
            <w:vAlign w:val="bottom"/>
            <w:gridSpan w:val="4"/>
          </w:tcPr>
          <w:p>
            <w:pPr>
              <w:jc w:val="center"/>
              <w:ind w:right="4260"/>
              <w:spacing w:after="0"/>
              <w:rPr>
                <w:sz w:val="20"/>
                <w:szCs w:val="20"/>
                <w:color w:val="auto"/>
              </w:rPr>
            </w:pPr>
            <w:r>
              <w:rPr>
                <w:rFonts w:ascii="Arial" w:cs="Arial" w:eastAsia="Arial" w:hAnsi="Arial"/>
                <w:sz w:val="13"/>
                <w:szCs w:val="13"/>
                <w:b w:val="1"/>
                <w:bCs w:val="1"/>
                <w:color w:val="auto"/>
                <w:w w:val="96"/>
              </w:rPr>
              <w:t>FORM 10-K</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9"/>
        </w:trPr>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320" w:type="dxa"/>
            <w:vAlign w:val="bottom"/>
            <w:gridSpan w:val="6"/>
          </w:tcPr>
          <w:p>
            <w:pPr>
              <w:jc w:val="center"/>
              <w:ind w:right="3460"/>
              <w:spacing w:after="0"/>
              <w:rPr>
                <w:sz w:val="20"/>
                <w:szCs w:val="20"/>
                <w:color w:val="auto"/>
              </w:rPr>
            </w:pPr>
            <w:r>
              <w:rPr>
                <w:rFonts w:ascii="Arial" w:cs="Arial" w:eastAsia="Arial" w:hAnsi="Arial"/>
                <w:sz w:val="13"/>
                <w:szCs w:val="13"/>
                <w:b w:val="1"/>
                <w:bCs w:val="1"/>
                <w:color w:val="auto"/>
                <w:w w:val="96"/>
              </w:rPr>
              <w:t>FOR THE FISCAL YEAR ENDED JUNE 30, 2023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5"/>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40" w:type="dxa"/>
            <w:vAlign w:val="bottom"/>
            <w:gridSpan w:val="5"/>
          </w:tcPr>
          <w:p>
            <w:pPr>
              <w:jc w:val="center"/>
              <w:ind w:right="3860"/>
              <w:spacing w:after="0"/>
              <w:rPr>
                <w:sz w:val="20"/>
                <w:szCs w:val="20"/>
                <w:color w:val="auto"/>
              </w:rPr>
            </w:pPr>
            <w:r>
              <w:rPr>
                <w:rFonts w:ascii="Arial" w:cs="Arial" w:eastAsia="Arial" w:hAnsi="Arial"/>
                <w:sz w:val="13"/>
                <w:szCs w:val="13"/>
                <w:b w:val="1"/>
                <w:bCs w:val="1"/>
                <w:color w:val="auto"/>
                <w:w w:val="97"/>
              </w:rPr>
              <w:t>TABLE OF CONTENTS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55"/>
        </w:trPr>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74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Page</w:t>
            </w:r>
          </w:p>
        </w:tc>
      </w:tr>
      <w:tr>
        <w:trPr>
          <w:trHeight w:val="150"/>
        </w:trPr>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540" w:type="dxa"/>
            <w:vAlign w:val="bottom"/>
            <w:gridSpan w:val="4"/>
          </w:tcPr>
          <w:p>
            <w:pPr>
              <w:jc w:val="center"/>
              <w:ind w:right="4240"/>
              <w:spacing w:after="0"/>
              <w:rPr>
                <w:sz w:val="20"/>
                <w:szCs w:val="20"/>
                <w:color w:val="auto"/>
              </w:rPr>
            </w:pPr>
            <w:r>
              <w:rPr>
                <w:rFonts w:ascii="Arial" w:cs="Arial" w:eastAsia="Arial" w:hAnsi="Arial"/>
                <w:sz w:val="13"/>
                <w:szCs w:val="13"/>
                <w:b w:val="1"/>
                <w:bCs w:val="1"/>
                <w:color w:val="auto"/>
                <w:w w:val="98"/>
              </w:rPr>
              <w:t>PART I</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2"/>
        </w:trPr>
        <w:tc>
          <w:tcPr>
            <w:tcW w:w="1160" w:type="dxa"/>
            <w:vAlign w:val="bottom"/>
          </w:tcPr>
          <w:p>
            <w:pPr>
              <w:spacing w:after="0" w:line="143" w:lineRule="exact"/>
              <w:rPr>
                <w:sz w:val="20"/>
                <w:szCs w:val="20"/>
                <w:color w:val="auto"/>
              </w:rPr>
            </w:pPr>
            <w:r>
              <w:rPr>
                <w:rFonts w:ascii="Arial" w:cs="Arial" w:eastAsia="Arial" w:hAnsi="Arial"/>
                <w:sz w:val="13"/>
                <w:szCs w:val="13"/>
                <w:color w:val="auto"/>
              </w:rPr>
              <w:t>Item 1</w:t>
            </w:r>
          </w:p>
        </w:tc>
        <w:tc>
          <w:tcPr>
            <w:tcW w:w="420" w:type="dxa"/>
            <w:vAlign w:val="bottom"/>
            <w:tcBorders>
              <w:bottom w:val="single" w:sz="8" w:color="0000FF"/>
            </w:tcBorders>
          </w:tcPr>
          <w:p>
            <w:pPr>
              <w:spacing w:after="0" w:line="143" w:lineRule="exact"/>
              <w:rPr>
                <w:sz w:val="20"/>
                <w:szCs w:val="20"/>
                <w:color w:val="auto"/>
              </w:rPr>
            </w:pPr>
            <w:r>
              <w:rPr>
                <w:rFonts w:ascii="Arial" w:cs="Arial" w:eastAsia="Arial" w:hAnsi="Arial"/>
                <w:sz w:val="13"/>
                <w:szCs w:val="13"/>
                <w:color w:val="0000FF"/>
                <w:w w:val="75"/>
              </w:rPr>
              <w:t>Business</w:t>
            </w:r>
          </w:p>
        </w:tc>
        <w:tc>
          <w:tcPr>
            <w:tcW w:w="8940" w:type="dxa"/>
            <w:vAlign w:val="bottom"/>
            <w:gridSpan w:val="19"/>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0000FF"/>
            </w:tcBorders>
          </w:tcPr>
          <w:p>
            <w:pPr>
              <w:jc w:val="center"/>
              <w:spacing w:after="0" w:line="143" w:lineRule="exact"/>
              <w:rPr>
                <w:sz w:val="20"/>
                <w:szCs w:val="20"/>
                <w:color w:val="auto"/>
              </w:rPr>
            </w:pPr>
            <w:r>
              <w:rPr>
                <w:rFonts w:ascii="Arial" w:cs="Arial" w:eastAsia="Arial" w:hAnsi="Arial"/>
                <w:sz w:val="13"/>
                <w:szCs w:val="13"/>
                <w:color w:val="0000FF"/>
                <w:w w:val="82"/>
              </w:rPr>
              <w:t>5</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1A</w:t>
            </w:r>
          </w:p>
        </w:tc>
        <w:tc>
          <w:tcPr>
            <w:tcW w:w="9360" w:type="dxa"/>
            <w:vAlign w:val="bottom"/>
            <w:gridSpan w:val="20"/>
          </w:tcPr>
          <w:p>
            <w:pPr>
              <w:spacing w:after="0"/>
              <w:rPr>
                <w:sz w:val="20"/>
                <w:szCs w:val="20"/>
                <w:color w:val="auto"/>
              </w:rPr>
            </w:pPr>
            <w:r>
              <w:rPr>
                <w:rFonts w:ascii="Arial" w:cs="Arial" w:eastAsia="Arial" w:hAnsi="Arial"/>
                <w:sz w:val="13"/>
                <w:szCs w:val="13"/>
                <w:color w:val="0000FF"/>
              </w:rPr>
              <w:t>Risk Factors</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13</w:t>
            </w:r>
          </w:p>
        </w:tc>
        <w:tc>
          <w:tcPr>
            <w:tcW w:w="30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1B</w:t>
            </w:r>
          </w:p>
        </w:tc>
        <w:tc>
          <w:tcPr>
            <w:tcW w:w="142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86"/>
              </w:rPr>
              <w:t>Unresolved Staff Comments</w:t>
            </w:r>
          </w:p>
        </w:tc>
        <w:tc>
          <w:tcPr>
            <w:tcW w:w="7940" w:type="dxa"/>
            <w:vAlign w:val="bottom"/>
            <w:gridSpan w:val="11"/>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2</w:t>
            </w: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74"/>
              </w:rPr>
              <w:t>Properties</w:t>
            </w:r>
          </w:p>
        </w:tc>
        <w:tc>
          <w:tcPr>
            <w:tcW w:w="8880" w:type="dxa"/>
            <w:vAlign w:val="bottom"/>
            <w:gridSpan w:val="18"/>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3</w:t>
            </w:r>
          </w:p>
        </w:tc>
        <w:tc>
          <w:tcPr>
            <w:tcW w:w="9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83"/>
              </w:rPr>
              <w:t>Legal Proceedings</w:t>
            </w:r>
          </w:p>
        </w:tc>
        <w:tc>
          <w:tcPr>
            <w:tcW w:w="8440" w:type="dxa"/>
            <w:vAlign w:val="bottom"/>
            <w:gridSpan w:val="15"/>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4</w:t>
            </w:r>
          </w:p>
        </w:tc>
        <w:tc>
          <w:tcPr>
            <w:tcW w:w="9360" w:type="dxa"/>
            <w:vAlign w:val="bottom"/>
            <w:gridSpan w:val="20"/>
          </w:tcPr>
          <w:p>
            <w:pPr>
              <w:spacing w:after="0"/>
              <w:rPr>
                <w:sz w:val="20"/>
                <w:szCs w:val="20"/>
                <w:color w:val="auto"/>
              </w:rPr>
            </w:pPr>
            <w:r>
              <w:rPr>
                <w:rFonts w:ascii="Arial" w:cs="Arial" w:eastAsia="Arial" w:hAnsi="Arial"/>
                <w:sz w:val="13"/>
                <w:szCs w:val="13"/>
                <w:color w:val="0000FF"/>
              </w:rPr>
              <w:t>Mine Safety Disclosures</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23</w:t>
            </w:r>
          </w:p>
        </w:tc>
        <w:tc>
          <w:tcPr>
            <w:tcW w:w="300" w:type="dxa"/>
            <w:vAlign w:val="bottom"/>
          </w:tcPr>
          <w:p>
            <w:pPr>
              <w:spacing w:after="0"/>
              <w:rPr>
                <w:sz w:val="13"/>
                <w:szCs w:val="13"/>
                <w:color w:val="auto"/>
              </w:rPr>
            </w:pPr>
          </w:p>
        </w:tc>
      </w:tr>
      <w:tr>
        <w:trPr>
          <w:trHeight w:val="379"/>
        </w:trPr>
        <w:tc>
          <w:tcPr>
            <w:tcW w:w="1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240"/>
              <w:spacing w:after="0"/>
              <w:rPr>
                <w:sz w:val="20"/>
                <w:szCs w:val="20"/>
                <w:color w:val="auto"/>
              </w:rPr>
            </w:pPr>
            <w:r>
              <w:rPr>
                <w:rFonts w:ascii="Arial" w:cs="Arial" w:eastAsia="Arial" w:hAnsi="Arial"/>
                <w:sz w:val="13"/>
                <w:szCs w:val="13"/>
                <w:b w:val="1"/>
                <w:bCs w:val="1"/>
                <w:color w:val="auto"/>
                <w:w w:val="99"/>
              </w:rPr>
              <w:t>PART II</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60" w:type="dxa"/>
            <w:vAlign w:val="bottom"/>
          </w:tcPr>
          <w:p>
            <w:pPr>
              <w:spacing w:after="0" w:line="143" w:lineRule="exact"/>
              <w:rPr>
                <w:sz w:val="20"/>
                <w:szCs w:val="20"/>
                <w:color w:val="auto"/>
              </w:rPr>
            </w:pPr>
            <w:r>
              <w:rPr>
                <w:rFonts w:ascii="Arial" w:cs="Arial" w:eastAsia="Arial" w:hAnsi="Arial"/>
                <w:sz w:val="13"/>
                <w:szCs w:val="13"/>
                <w:color w:val="auto"/>
              </w:rPr>
              <w:t>Item 5</w:t>
            </w:r>
          </w:p>
        </w:tc>
        <w:tc>
          <w:tcPr>
            <w:tcW w:w="9360" w:type="dxa"/>
            <w:vAlign w:val="bottom"/>
            <w:gridSpan w:val="20"/>
          </w:tcPr>
          <w:p>
            <w:pPr>
              <w:spacing w:after="0" w:line="143" w:lineRule="exact"/>
              <w:rPr>
                <w:sz w:val="20"/>
                <w:szCs w:val="20"/>
                <w:color w:val="auto"/>
              </w:rPr>
            </w:pPr>
            <w:r>
              <w:rPr>
                <w:rFonts w:ascii="Arial" w:cs="Arial" w:eastAsia="Arial" w:hAnsi="Arial"/>
                <w:sz w:val="13"/>
                <w:szCs w:val="13"/>
                <w:color w:val="0000FF"/>
              </w:rPr>
              <w:t>Market for Registrant’s Common Equity, Related Stockholder Matters, and Issuer Purchases of Equity Securities</w:t>
            </w:r>
          </w:p>
        </w:tc>
        <w:tc>
          <w:tcPr>
            <w:tcW w:w="440" w:type="dxa"/>
            <w:vAlign w:val="bottom"/>
            <w:gridSpan w:val="2"/>
          </w:tcPr>
          <w:p>
            <w:pPr>
              <w:jc w:val="center"/>
              <w:ind w:left="236"/>
              <w:spacing w:after="0" w:line="143" w:lineRule="exact"/>
              <w:rPr>
                <w:sz w:val="20"/>
                <w:szCs w:val="20"/>
                <w:color w:val="auto"/>
              </w:rPr>
            </w:pPr>
            <w:r>
              <w:rPr>
                <w:rFonts w:ascii="Arial" w:cs="Arial" w:eastAsia="Arial" w:hAnsi="Arial"/>
                <w:sz w:val="13"/>
                <w:szCs w:val="13"/>
                <w:color w:val="0000FF"/>
                <w:w w:val="96"/>
              </w:rPr>
              <w:t>23</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6</w:t>
            </w:r>
          </w:p>
        </w:tc>
        <w:tc>
          <w:tcPr>
            <w:tcW w:w="5700" w:type="dxa"/>
            <w:vAlign w:val="bottom"/>
            <w:tcBorders>
              <w:top w:val="single" w:sz="8" w:color="0000FF"/>
            </w:tcBorders>
            <w:gridSpan w:val="19"/>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Reserved</w:t>
            </w:r>
            <w:r>
              <w:rPr>
                <w:rFonts w:ascii="Arial" w:cs="Arial" w:eastAsia="Arial" w:hAnsi="Arial"/>
                <w:sz w:val="13"/>
                <w:szCs w:val="13"/>
                <w:color w:val="auto"/>
              </w:rPr>
              <w:t>]</w:t>
            </w:r>
          </w:p>
        </w:tc>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24</w:t>
            </w:r>
          </w:p>
        </w:tc>
        <w:tc>
          <w:tcPr>
            <w:tcW w:w="30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7</w:t>
            </w:r>
          </w:p>
        </w:tc>
        <w:tc>
          <w:tcPr>
            <w:tcW w:w="454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88"/>
              </w:rPr>
              <w:t>Management’s Discussion and Analysis of Financial Condition and Results of Operations</w:t>
            </w:r>
          </w:p>
        </w:tc>
        <w:tc>
          <w:tcPr>
            <w:tcW w:w="48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24</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7A</w:t>
            </w:r>
          </w:p>
        </w:tc>
        <w:tc>
          <w:tcPr>
            <w:tcW w:w="9360" w:type="dxa"/>
            <w:vAlign w:val="bottom"/>
            <w:gridSpan w:val="20"/>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40</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8</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3"/>
                <w:szCs w:val="13"/>
                <w:color w:val="0000FF"/>
                <w:w w:val="85"/>
              </w:rPr>
              <w:t>Financial Statements and Supplementary Data</w:t>
            </w:r>
          </w:p>
        </w:tc>
        <w:tc>
          <w:tcPr>
            <w:tcW w:w="720" w:type="dxa"/>
            <w:vAlign w:val="bottom"/>
            <w:tcBorders>
              <w:top w:val="single" w:sz="8" w:color="0000FF"/>
            </w:tcBorders>
            <w:gridSpan w:val="2"/>
          </w:tcPr>
          <w:p>
            <w:pPr>
              <w:spacing w:after="0"/>
              <w:rPr>
                <w:sz w:val="13"/>
                <w:szCs w:val="13"/>
                <w:color w:val="auto"/>
              </w:rPr>
            </w:pPr>
          </w:p>
        </w:tc>
        <w:tc>
          <w:tcPr>
            <w:tcW w:w="6320" w:type="dxa"/>
            <w:vAlign w:val="bottom"/>
            <w:gridSpan w:val="6"/>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40</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9</w:t>
            </w:r>
          </w:p>
        </w:tc>
        <w:tc>
          <w:tcPr>
            <w:tcW w:w="9360" w:type="dxa"/>
            <w:vAlign w:val="bottom"/>
            <w:gridSpan w:val="20"/>
          </w:tcPr>
          <w:p>
            <w:pPr>
              <w:spacing w:after="0"/>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83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9A</w:t>
            </w:r>
          </w:p>
        </w:tc>
        <w:tc>
          <w:tcPr>
            <w:tcW w:w="12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3"/>
                <w:szCs w:val="13"/>
                <w:color w:val="0000FF"/>
                <w:w w:val="83"/>
              </w:rPr>
              <w:t>Controls and Procedures</w:t>
            </w:r>
          </w:p>
        </w:tc>
        <w:tc>
          <w:tcPr>
            <w:tcW w:w="3320" w:type="dxa"/>
            <w:vAlign w:val="bottom"/>
            <w:tcBorders>
              <w:top w:val="single" w:sz="8" w:color="0000FF"/>
            </w:tcBorders>
            <w:gridSpan w:val="10"/>
          </w:tcPr>
          <w:p>
            <w:pPr>
              <w:spacing w:after="0"/>
              <w:rPr>
                <w:sz w:val="13"/>
                <w:szCs w:val="13"/>
                <w:color w:val="auto"/>
              </w:rPr>
            </w:pPr>
          </w:p>
        </w:tc>
        <w:tc>
          <w:tcPr>
            <w:tcW w:w="48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83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9B</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86"/>
              </w:rPr>
              <w:t>Other Information</w:t>
            </w:r>
          </w:p>
        </w:tc>
        <w:tc>
          <w:tcPr>
            <w:tcW w:w="8460" w:type="dxa"/>
            <w:vAlign w:val="bottom"/>
            <w:gridSpan w:val="16"/>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83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9C</w:t>
            </w:r>
          </w:p>
        </w:tc>
        <w:tc>
          <w:tcPr>
            <w:tcW w:w="9360" w:type="dxa"/>
            <w:vAlign w:val="bottom"/>
            <w:gridSpan w:val="20"/>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83</w:t>
            </w:r>
          </w:p>
        </w:tc>
        <w:tc>
          <w:tcPr>
            <w:tcW w:w="300" w:type="dxa"/>
            <w:vAlign w:val="bottom"/>
          </w:tcPr>
          <w:p>
            <w:pPr>
              <w:spacing w:after="0"/>
              <w:rPr>
                <w:sz w:val="13"/>
                <w:szCs w:val="13"/>
                <w:color w:val="auto"/>
              </w:rPr>
            </w:pPr>
          </w:p>
        </w:tc>
      </w:tr>
      <w:tr>
        <w:trPr>
          <w:trHeight w:val="347"/>
        </w:trPr>
        <w:tc>
          <w:tcPr>
            <w:tcW w:w="1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260"/>
              <w:spacing w:after="0"/>
              <w:rPr>
                <w:sz w:val="20"/>
                <w:szCs w:val="20"/>
                <w:color w:val="auto"/>
              </w:rPr>
            </w:pPr>
            <w:r>
              <w:rPr>
                <w:rFonts w:ascii="Arial" w:cs="Arial" w:eastAsia="Arial" w:hAnsi="Arial"/>
                <w:sz w:val="13"/>
                <w:szCs w:val="13"/>
                <w:b w:val="1"/>
                <w:bCs w:val="1"/>
                <w:color w:val="auto"/>
              </w:rPr>
              <w:t>PART III</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60" w:type="dxa"/>
            <w:vAlign w:val="bottom"/>
          </w:tcPr>
          <w:p>
            <w:pPr>
              <w:spacing w:after="0" w:line="143" w:lineRule="exact"/>
              <w:rPr>
                <w:sz w:val="20"/>
                <w:szCs w:val="20"/>
                <w:color w:val="auto"/>
              </w:rPr>
            </w:pPr>
            <w:r>
              <w:rPr>
                <w:rFonts w:ascii="Arial" w:cs="Arial" w:eastAsia="Arial" w:hAnsi="Arial"/>
                <w:sz w:val="13"/>
                <w:szCs w:val="13"/>
                <w:color w:val="auto"/>
              </w:rPr>
              <w:t>Item 10</w:t>
            </w:r>
          </w:p>
        </w:tc>
        <w:tc>
          <w:tcPr>
            <w:tcW w:w="9360" w:type="dxa"/>
            <w:vAlign w:val="bottom"/>
            <w:gridSpan w:val="20"/>
          </w:tcPr>
          <w:p>
            <w:pPr>
              <w:spacing w:after="0" w:line="143" w:lineRule="exact"/>
              <w:rPr>
                <w:sz w:val="20"/>
                <w:szCs w:val="20"/>
                <w:color w:val="auto"/>
              </w:rPr>
            </w:pPr>
            <w:r>
              <w:rPr>
                <w:rFonts w:ascii="Arial" w:cs="Arial" w:eastAsia="Arial" w:hAnsi="Arial"/>
                <w:sz w:val="13"/>
                <w:szCs w:val="13"/>
                <w:color w:val="0000FF"/>
              </w:rPr>
              <w:t>Directors, Executive Officers and Corporate Governance</w:t>
            </w:r>
          </w:p>
        </w:tc>
        <w:tc>
          <w:tcPr>
            <w:tcW w:w="440" w:type="dxa"/>
            <w:vAlign w:val="bottom"/>
            <w:gridSpan w:val="2"/>
          </w:tcPr>
          <w:p>
            <w:pPr>
              <w:jc w:val="center"/>
              <w:ind w:left="236"/>
              <w:spacing w:after="0" w:line="143" w:lineRule="exact"/>
              <w:rPr>
                <w:sz w:val="20"/>
                <w:szCs w:val="20"/>
                <w:color w:val="auto"/>
              </w:rPr>
            </w:pPr>
            <w:r>
              <w:rPr>
                <w:rFonts w:ascii="Arial" w:cs="Arial" w:eastAsia="Arial" w:hAnsi="Arial"/>
                <w:sz w:val="13"/>
                <w:szCs w:val="13"/>
                <w:color w:val="0000FF"/>
                <w:w w:val="96"/>
              </w:rPr>
              <w:t>83</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11</w:t>
            </w:r>
          </w:p>
        </w:tc>
        <w:tc>
          <w:tcPr>
            <w:tcW w:w="2860" w:type="dxa"/>
            <w:vAlign w:val="bottom"/>
            <w:tcBorders>
              <w:top w:val="single" w:sz="8" w:color="0000FF"/>
            </w:tcBorders>
            <w:gridSpan w:val="13"/>
          </w:tcPr>
          <w:p>
            <w:pPr>
              <w:spacing w:after="0"/>
              <w:rPr>
                <w:sz w:val="20"/>
                <w:szCs w:val="20"/>
                <w:color w:val="auto"/>
              </w:rPr>
            </w:pPr>
            <w:r>
              <w:rPr>
                <w:rFonts w:ascii="Arial" w:cs="Arial" w:eastAsia="Arial" w:hAnsi="Arial"/>
                <w:sz w:val="13"/>
                <w:szCs w:val="13"/>
                <w:color w:val="0000FF"/>
              </w:rPr>
              <w:t>Executive Compensation</w:t>
            </w:r>
          </w:p>
        </w:tc>
        <w:tc>
          <w:tcPr>
            <w:tcW w:w="6500" w:type="dxa"/>
            <w:vAlign w:val="bottom"/>
            <w:gridSpan w:val="7"/>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83</w:t>
            </w:r>
          </w:p>
        </w:tc>
        <w:tc>
          <w:tcPr>
            <w:tcW w:w="30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12</w:t>
            </w:r>
          </w:p>
        </w:tc>
        <w:tc>
          <w:tcPr>
            <w:tcW w:w="9360" w:type="dxa"/>
            <w:vAlign w:val="bottom"/>
            <w:gridSpan w:val="20"/>
          </w:tcPr>
          <w:p>
            <w:pPr>
              <w:spacing w:after="0"/>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83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13</w:t>
            </w:r>
          </w:p>
        </w:tc>
        <w:tc>
          <w:tcPr>
            <w:tcW w:w="382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3"/>
                <w:szCs w:val="13"/>
                <w:color w:val="0000FF"/>
                <w:w w:val="86"/>
              </w:rPr>
              <w:t>Certain Relationships and Related Transactions, and Director Independence</w:t>
            </w:r>
          </w:p>
        </w:tc>
        <w:tc>
          <w:tcPr>
            <w:tcW w:w="1300" w:type="dxa"/>
            <w:vAlign w:val="bottom"/>
            <w:tcBorders>
              <w:top w:val="single" w:sz="8" w:color="0000FF"/>
            </w:tcBorders>
            <w:gridSpan w:val="2"/>
          </w:tcPr>
          <w:p>
            <w:pPr>
              <w:spacing w:after="0"/>
              <w:rPr>
                <w:sz w:val="13"/>
                <w:szCs w:val="13"/>
                <w:color w:val="auto"/>
              </w:rPr>
            </w:pPr>
          </w:p>
        </w:tc>
        <w:tc>
          <w:tcPr>
            <w:tcW w:w="42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84</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14</w:t>
            </w:r>
          </w:p>
        </w:tc>
        <w:tc>
          <w:tcPr>
            <w:tcW w:w="9360" w:type="dxa"/>
            <w:vAlign w:val="bottom"/>
            <w:gridSpan w:val="20"/>
          </w:tcPr>
          <w:p>
            <w:pPr>
              <w:spacing w:after="0"/>
              <w:rPr>
                <w:sz w:val="20"/>
                <w:szCs w:val="20"/>
                <w:color w:val="auto"/>
              </w:rPr>
            </w:pPr>
            <w:r>
              <w:rPr>
                <w:rFonts w:ascii="Arial" w:cs="Arial" w:eastAsia="Arial" w:hAnsi="Arial"/>
                <w:sz w:val="13"/>
                <w:szCs w:val="13"/>
                <w:color w:val="0000FF"/>
              </w:rPr>
              <w:t>Principal Accountant Fees and Services</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84</w:t>
            </w:r>
          </w:p>
        </w:tc>
        <w:tc>
          <w:tcPr>
            <w:tcW w:w="300" w:type="dxa"/>
            <w:vAlign w:val="bottom"/>
          </w:tcPr>
          <w:p>
            <w:pPr>
              <w:spacing w:after="0"/>
              <w:rPr>
                <w:sz w:val="13"/>
                <w:szCs w:val="13"/>
                <w:color w:val="auto"/>
              </w:rPr>
            </w:pPr>
          </w:p>
        </w:tc>
      </w:tr>
      <w:tr>
        <w:trPr>
          <w:trHeight w:val="347"/>
        </w:trPr>
        <w:tc>
          <w:tcPr>
            <w:tcW w:w="1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240"/>
              <w:spacing w:after="0"/>
              <w:rPr>
                <w:sz w:val="20"/>
                <w:szCs w:val="20"/>
                <w:color w:val="auto"/>
              </w:rPr>
            </w:pPr>
            <w:r>
              <w:rPr>
                <w:rFonts w:ascii="Arial" w:cs="Arial" w:eastAsia="Arial" w:hAnsi="Arial"/>
                <w:sz w:val="13"/>
                <w:szCs w:val="13"/>
                <w:b w:val="1"/>
                <w:bCs w:val="1"/>
                <w:color w:val="auto"/>
                <w:w w:val="97"/>
              </w:rPr>
              <w:t>PART IV</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60" w:type="dxa"/>
            <w:vAlign w:val="bottom"/>
          </w:tcPr>
          <w:p>
            <w:pPr>
              <w:spacing w:after="0" w:line="143" w:lineRule="exact"/>
              <w:rPr>
                <w:sz w:val="20"/>
                <w:szCs w:val="20"/>
                <w:color w:val="auto"/>
              </w:rPr>
            </w:pPr>
            <w:r>
              <w:rPr>
                <w:rFonts w:ascii="Arial" w:cs="Arial" w:eastAsia="Arial" w:hAnsi="Arial"/>
                <w:sz w:val="13"/>
                <w:szCs w:val="13"/>
                <w:color w:val="auto"/>
              </w:rPr>
              <w:t>Item 15</w:t>
            </w:r>
          </w:p>
        </w:tc>
        <w:tc>
          <w:tcPr>
            <w:tcW w:w="2200" w:type="dxa"/>
            <w:vAlign w:val="bottom"/>
            <w:tcBorders>
              <w:bottom w:val="single" w:sz="8" w:color="0000FF"/>
            </w:tcBorders>
            <w:gridSpan w:val="11"/>
          </w:tcPr>
          <w:p>
            <w:pPr>
              <w:spacing w:after="0" w:line="143" w:lineRule="exact"/>
              <w:rPr>
                <w:sz w:val="20"/>
                <w:szCs w:val="20"/>
                <w:color w:val="auto"/>
              </w:rPr>
            </w:pPr>
            <w:r>
              <w:rPr>
                <w:rFonts w:ascii="Arial" w:cs="Arial" w:eastAsia="Arial" w:hAnsi="Arial"/>
                <w:sz w:val="13"/>
                <w:szCs w:val="13"/>
                <w:color w:val="0000FF"/>
                <w:w w:val="85"/>
              </w:rPr>
              <w:t>Exhibits and Financial Statement Schedules</w:t>
            </w:r>
          </w:p>
        </w:tc>
        <w:tc>
          <w:tcPr>
            <w:tcW w:w="7160" w:type="dxa"/>
            <w:vAlign w:val="bottom"/>
            <w:gridSpan w:val="9"/>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84</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Item 16</w:t>
            </w:r>
          </w:p>
        </w:tc>
        <w:tc>
          <w:tcPr>
            <w:tcW w:w="106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6"/>
              </w:rPr>
              <w:t>Form 10-K Summary</w:t>
            </w:r>
          </w:p>
        </w:tc>
        <w:tc>
          <w:tcPr>
            <w:tcW w:w="8300" w:type="dxa"/>
            <w:vAlign w:val="bottom"/>
            <w:gridSpan w:val="14"/>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86</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13"/>
                <w:szCs w:val="13"/>
                <w:color w:val="auto"/>
              </w:rPr>
            </w:pPr>
          </w:p>
        </w:tc>
        <w:tc>
          <w:tcPr>
            <w:tcW w:w="9360" w:type="dxa"/>
            <w:vAlign w:val="bottom"/>
            <w:gridSpan w:val="20"/>
          </w:tcPr>
          <w:p>
            <w:pPr>
              <w:spacing w:after="0"/>
              <w:rPr>
                <w:sz w:val="20"/>
                <w:szCs w:val="20"/>
                <w:color w:val="auto"/>
              </w:rPr>
            </w:pPr>
            <w:r>
              <w:rPr>
                <w:rFonts w:ascii="Arial" w:cs="Arial" w:eastAsia="Arial" w:hAnsi="Arial"/>
                <w:sz w:val="13"/>
                <w:szCs w:val="13"/>
                <w:color w:val="0000FF"/>
              </w:rPr>
              <w:t>Signatures</w:t>
            </w:r>
          </w:p>
        </w:tc>
        <w:tc>
          <w:tcPr>
            <w:tcW w:w="440" w:type="dxa"/>
            <w:vAlign w:val="bottom"/>
            <w:gridSpan w:val="2"/>
          </w:tcPr>
          <w:p>
            <w:pPr>
              <w:jc w:val="center"/>
              <w:ind w:left="236"/>
              <w:spacing w:after="0"/>
              <w:rPr>
                <w:sz w:val="20"/>
                <w:szCs w:val="20"/>
                <w:color w:val="auto"/>
              </w:rPr>
            </w:pPr>
            <w:r>
              <w:rPr>
                <w:rFonts w:ascii="Arial" w:cs="Arial" w:eastAsia="Arial" w:hAnsi="Arial"/>
                <w:sz w:val="13"/>
                <w:szCs w:val="13"/>
                <w:color w:val="0000FF"/>
                <w:w w:val="96"/>
              </w:rPr>
              <w:t>87</w:t>
            </w:r>
          </w:p>
        </w:tc>
        <w:tc>
          <w:tcPr>
            <w:tcW w:w="30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60"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Glossary of Defined Terms</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following items may be used throughout this Form 10-K, including the Notes to Consolidated Financial Statements in Item 8 and Management's Discussion and Analysis of Financial Condition and Results of Operations in Item 7 of this Form 10-K.</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Term</w:t>
            </w:r>
          </w:p>
        </w:tc>
        <w:tc>
          <w:tcPr>
            <w:tcW w:w="80" w:type="dxa"/>
            <w:vAlign w:val="bottom"/>
            <w:tcBorders>
              <w:bottom w:val="single" w:sz="8" w:color="CCEEFF"/>
            </w:tcBorders>
          </w:tcPr>
          <w:p>
            <w:pPr>
              <w:spacing w:after="0"/>
              <w:rPr>
                <w:sz w:val="14"/>
                <w:szCs w:val="14"/>
                <w:color w:val="auto"/>
              </w:rPr>
            </w:pPr>
          </w:p>
        </w:tc>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Definition</w:t>
            </w:r>
          </w:p>
        </w:tc>
        <w:tc>
          <w:tcPr>
            <w:tcW w:w="0" w:type="dxa"/>
            <w:vAlign w:val="bottom"/>
          </w:tcPr>
          <w:p>
            <w:pPr>
              <w:spacing w:after="0"/>
              <w:rPr>
                <w:sz w:val="1"/>
                <w:szCs w:val="1"/>
                <w:color w:val="auto"/>
              </w:rPr>
            </w:pPr>
          </w:p>
        </w:tc>
      </w:tr>
      <w:tr>
        <w:trPr>
          <w:trHeight w:val="163"/>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ACL</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Credit Losses</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AFS</w:t>
            </w:r>
          </w:p>
        </w:tc>
        <w:tc>
          <w:tcPr>
            <w:tcW w:w="8400" w:type="dxa"/>
            <w:vAlign w:val="bottom"/>
          </w:tcPr>
          <w:p>
            <w:pPr>
              <w:ind w:left="20"/>
              <w:spacing w:after="0"/>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AMLA</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Anti-Money Laundering Act of 2020</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ASC</w:t>
            </w:r>
          </w:p>
        </w:tc>
        <w:tc>
          <w:tcPr>
            <w:tcW w:w="8400" w:type="dxa"/>
            <w:vAlign w:val="bottom"/>
          </w:tcPr>
          <w:p>
            <w:pPr>
              <w:ind w:left="20"/>
              <w:spacing w:after="0"/>
              <w:rPr>
                <w:sz w:val="20"/>
                <w:szCs w:val="20"/>
                <w:color w:val="auto"/>
              </w:rPr>
            </w:pPr>
            <w:r>
              <w:rPr>
                <w:rFonts w:ascii="Arial" w:cs="Arial" w:eastAsia="Arial" w:hAnsi="Arial"/>
                <w:sz w:val="13"/>
                <w:szCs w:val="13"/>
                <w:color w:val="auto"/>
              </w:rPr>
              <w:t>Accounting Standards Codification</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ASU</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Accounting Standards Update</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BHCA</w:t>
            </w:r>
          </w:p>
        </w:tc>
        <w:tc>
          <w:tcPr>
            <w:tcW w:w="8400" w:type="dxa"/>
            <w:vAlign w:val="bottom"/>
          </w:tcPr>
          <w:p>
            <w:pPr>
              <w:ind w:left="20"/>
              <w:spacing w:after="0"/>
              <w:rPr>
                <w:sz w:val="20"/>
                <w:szCs w:val="20"/>
                <w:color w:val="auto"/>
              </w:rPr>
            </w:pPr>
            <w:r>
              <w:rPr>
                <w:rFonts w:ascii="Arial" w:cs="Arial" w:eastAsia="Arial" w:hAnsi="Arial"/>
                <w:sz w:val="13"/>
                <w:szCs w:val="13"/>
                <w:color w:val="auto"/>
              </w:rPr>
              <w:t>Bank Holding Company Act</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BOLI</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Owned Life Insurance</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BSA</w:t>
            </w:r>
          </w:p>
        </w:tc>
        <w:tc>
          <w:tcPr>
            <w:tcW w:w="8400" w:type="dxa"/>
            <w:vAlign w:val="bottom"/>
          </w:tcPr>
          <w:p>
            <w:pPr>
              <w:ind w:left="20"/>
              <w:spacing w:after="0"/>
              <w:rPr>
                <w:sz w:val="20"/>
                <w:szCs w:val="20"/>
                <w:color w:val="auto"/>
              </w:rPr>
            </w:pPr>
            <w:r>
              <w:rPr>
                <w:rFonts w:ascii="Arial" w:cs="Arial" w:eastAsia="Arial" w:hAnsi="Arial"/>
                <w:sz w:val="13"/>
                <w:szCs w:val="13"/>
                <w:color w:val="auto"/>
              </w:rPr>
              <w:t>Bank Secrecy Act of 1970</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CARES Act</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Coronavirus Aid, Relief, and Economic Security Act of 2020</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CBLR</w:t>
            </w:r>
          </w:p>
        </w:tc>
        <w:tc>
          <w:tcPr>
            <w:tcW w:w="8400" w:type="dxa"/>
            <w:vAlign w:val="bottom"/>
          </w:tcPr>
          <w:p>
            <w:pPr>
              <w:ind w:left="20"/>
              <w:spacing w:after="0"/>
              <w:rPr>
                <w:sz w:val="20"/>
                <w:szCs w:val="20"/>
                <w:color w:val="auto"/>
              </w:rPr>
            </w:pPr>
            <w:r>
              <w:rPr>
                <w:rFonts w:ascii="Arial" w:cs="Arial" w:eastAsia="Arial" w:hAnsi="Arial"/>
                <w:sz w:val="13"/>
                <w:szCs w:val="13"/>
                <w:color w:val="auto"/>
              </w:rPr>
              <w:t>Community Bank Leverage Ratio</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CD</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 of Deposit</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CDA</w:t>
            </w:r>
          </w:p>
        </w:tc>
        <w:tc>
          <w:tcPr>
            <w:tcW w:w="8400" w:type="dxa"/>
            <w:vAlign w:val="bottom"/>
          </w:tcPr>
          <w:p>
            <w:pPr>
              <w:ind w:left="20"/>
              <w:spacing w:after="0"/>
              <w:rPr>
                <w:sz w:val="20"/>
                <w:szCs w:val="20"/>
                <w:color w:val="auto"/>
              </w:rPr>
            </w:pPr>
            <w:r>
              <w:rPr>
                <w:rFonts w:ascii="Arial" w:cs="Arial" w:eastAsia="Arial" w:hAnsi="Arial"/>
                <w:sz w:val="13"/>
                <w:szCs w:val="13"/>
                <w:color w:val="auto"/>
              </w:rPr>
              <w:t>Collateral Dependent Asset</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CECL</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Expected Credit Losses</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CET1</w:t>
            </w:r>
          </w:p>
        </w:tc>
        <w:tc>
          <w:tcPr>
            <w:tcW w:w="8400" w:type="dxa"/>
            <w:vAlign w:val="bottom"/>
          </w:tcPr>
          <w:p>
            <w:pPr>
              <w:ind w:left="20"/>
              <w:spacing w:after="0"/>
              <w:rPr>
                <w:sz w:val="20"/>
                <w:szCs w:val="20"/>
                <w:color w:val="auto"/>
              </w:rPr>
            </w:pPr>
            <w:r>
              <w:rPr>
                <w:rFonts w:ascii="Arial" w:cs="Arial" w:eastAsia="Arial" w:hAnsi="Arial"/>
                <w:sz w:val="13"/>
                <w:szCs w:val="13"/>
                <w:color w:val="auto"/>
              </w:rPr>
              <w:t>Common Equity Tier 1</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CFPB</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 Financial Protection Bureau</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COVID-19</w:t>
            </w:r>
          </w:p>
        </w:tc>
        <w:tc>
          <w:tcPr>
            <w:tcW w:w="8400" w:type="dxa"/>
            <w:vAlign w:val="bottom"/>
          </w:tcPr>
          <w:p>
            <w:pPr>
              <w:ind w:left="20"/>
              <w:spacing w:after="0"/>
              <w:rPr>
                <w:sz w:val="20"/>
                <w:szCs w:val="20"/>
                <w:color w:val="auto"/>
              </w:rPr>
            </w:pPr>
            <w:r>
              <w:rPr>
                <w:rFonts w:ascii="Arial" w:cs="Arial" w:eastAsia="Arial" w:hAnsi="Arial"/>
                <w:sz w:val="13"/>
                <w:szCs w:val="13"/>
                <w:color w:val="auto"/>
              </w:rPr>
              <w:t>Coronavirus Disease 2019</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CRA</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Community Reinvestment Act of 1977</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DCF</w:t>
            </w:r>
          </w:p>
        </w:tc>
        <w:tc>
          <w:tcPr>
            <w:tcW w:w="8400" w:type="dxa"/>
            <w:vAlign w:val="bottom"/>
          </w:tcPr>
          <w:p>
            <w:pPr>
              <w:ind w:left="20"/>
              <w:spacing w:after="0"/>
              <w:rPr>
                <w:sz w:val="20"/>
                <w:szCs w:val="20"/>
                <w:color w:val="auto"/>
              </w:rPr>
            </w:pPr>
            <w:r>
              <w:rPr>
                <w:rFonts w:ascii="Arial" w:cs="Arial" w:eastAsia="Arial" w:hAnsi="Arial"/>
                <w:sz w:val="13"/>
                <w:szCs w:val="13"/>
                <w:color w:val="auto"/>
              </w:rPr>
              <w:t>Discounted Cash Flows</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Dodd-Frank Act</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Dodd-Frank Wall Street Reform and Consumer Protection Act</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ECL</w:t>
            </w:r>
          </w:p>
        </w:tc>
        <w:tc>
          <w:tcPr>
            <w:tcW w:w="8400" w:type="dxa"/>
            <w:vAlign w:val="bottom"/>
          </w:tcPr>
          <w:p>
            <w:pPr>
              <w:ind w:left="20"/>
              <w:spacing w:after="0"/>
              <w:rPr>
                <w:sz w:val="20"/>
                <w:szCs w:val="20"/>
                <w:color w:val="auto"/>
              </w:rPr>
            </w:pPr>
            <w:r>
              <w:rPr>
                <w:rFonts w:ascii="Arial" w:cs="Arial" w:eastAsia="Arial" w:hAnsi="Arial"/>
                <w:sz w:val="13"/>
                <w:szCs w:val="13"/>
                <w:color w:val="auto"/>
              </w:rPr>
              <w:t>Expected Credit Losses</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EPS</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Per Share</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ESOP</w:t>
            </w:r>
          </w:p>
        </w:tc>
        <w:tc>
          <w:tcPr>
            <w:tcW w:w="8400" w:type="dxa"/>
            <w:vAlign w:val="bottom"/>
          </w:tcPr>
          <w:p>
            <w:pPr>
              <w:ind w:left="20"/>
              <w:spacing w:after="0"/>
              <w:rPr>
                <w:sz w:val="20"/>
                <w:szCs w:val="20"/>
                <w:color w:val="auto"/>
              </w:rPr>
            </w:pPr>
            <w:r>
              <w:rPr>
                <w:rFonts w:ascii="Arial" w:cs="Arial" w:eastAsia="Arial" w:hAnsi="Arial"/>
                <w:sz w:val="13"/>
                <w:szCs w:val="13"/>
                <w:color w:val="auto"/>
              </w:rPr>
              <w:t>Employee Stock Ownership Plan</w:t>
            </w:r>
          </w:p>
        </w:tc>
        <w:tc>
          <w:tcPr>
            <w:tcW w:w="0" w:type="dxa"/>
            <w:vAlign w:val="bottom"/>
          </w:tcPr>
          <w:p>
            <w:pPr>
              <w:spacing w:after="0"/>
              <w:rPr>
                <w:sz w:val="1"/>
                <w:szCs w:val="1"/>
                <w:color w:val="auto"/>
              </w:rPr>
            </w:pPr>
          </w:p>
        </w:tc>
      </w:tr>
      <w:tr>
        <w:trPr>
          <w:trHeight w:val="168"/>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Exchange Act</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Securities Exchange Act of 1934, as amended</w:t>
            </w:r>
          </w:p>
        </w:tc>
        <w:tc>
          <w:tcPr>
            <w:tcW w:w="0" w:type="dxa"/>
            <w:vAlign w:val="bottom"/>
          </w:tcPr>
          <w:p>
            <w:pPr>
              <w:spacing w:after="0"/>
              <w:rPr>
                <w:sz w:val="1"/>
                <w:szCs w:val="1"/>
                <w:color w:val="auto"/>
              </w:rPr>
            </w:pPr>
          </w:p>
        </w:tc>
      </w:tr>
      <w:tr>
        <w:trPr>
          <w:trHeight w:val="132"/>
        </w:trPr>
        <w:tc>
          <w:tcPr>
            <w:tcW w:w="2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FASB</w:t>
            </w:r>
          </w:p>
        </w:tc>
        <w:tc>
          <w:tcPr>
            <w:tcW w:w="8400" w:type="dxa"/>
            <w:vAlign w:val="bottom"/>
          </w:tcPr>
          <w:p>
            <w:pPr>
              <w:ind w:left="20"/>
              <w:spacing w:after="0"/>
              <w:rPr>
                <w:sz w:val="20"/>
                <w:szCs w:val="20"/>
                <w:color w:val="auto"/>
              </w:rPr>
            </w:pPr>
            <w:r>
              <w:rPr>
                <w:rFonts w:ascii="Arial" w:cs="Arial" w:eastAsia="Arial" w:hAnsi="Arial"/>
                <w:sz w:val="13"/>
                <w:szCs w:val="13"/>
                <w:color w:val="auto"/>
              </w:rPr>
              <w:t>Financial Accounting Standards Board</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FDIC</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Deposit Insurance Corporation</w:t>
            </w: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Federal Reserve</w:t>
            </w:r>
          </w:p>
        </w:tc>
        <w:tc>
          <w:tcPr>
            <w:tcW w:w="8400" w:type="dxa"/>
            <w:vAlign w:val="bottom"/>
          </w:tcPr>
          <w:p>
            <w:pPr>
              <w:ind w:left="20"/>
              <w:spacing w:after="0"/>
              <w:rPr>
                <w:sz w:val="20"/>
                <w:szCs w:val="20"/>
                <w:color w:val="auto"/>
              </w:rPr>
            </w:pPr>
            <w:r>
              <w:rPr>
                <w:rFonts w:ascii="Arial" w:cs="Arial" w:eastAsia="Arial" w:hAnsi="Arial"/>
                <w:sz w:val="13"/>
                <w:szCs w:val="13"/>
                <w:color w:val="auto"/>
              </w:rPr>
              <w:t>Board of Governors of the Federal Reserve System</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FHFA</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Housing Finance Agency</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FHLB or FHLB of Atlanta</w:t>
            </w:r>
          </w:p>
        </w:tc>
        <w:tc>
          <w:tcPr>
            <w:tcW w:w="8400" w:type="dxa"/>
            <w:vAlign w:val="bottom"/>
          </w:tcPr>
          <w:p>
            <w:pPr>
              <w:ind w:left="20"/>
              <w:spacing w:after="0"/>
              <w:rPr>
                <w:sz w:val="20"/>
                <w:szCs w:val="20"/>
                <w:color w:val="auto"/>
              </w:rPr>
            </w:pPr>
            <w:r>
              <w:rPr>
                <w:rFonts w:ascii="Arial" w:cs="Arial" w:eastAsia="Arial" w:hAnsi="Arial"/>
                <w:sz w:val="13"/>
                <w:szCs w:val="13"/>
                <w:color w:val="auto"/>
              </w:rPr>
              <w:t>Federal Home Loan Bank</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FRB</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Reserve Bank of Richmond</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GSE</w:t>
            </w:r>
          </w:p>
        </w:tc>
        <w:tc>
          <w:tcPr>
            <w:tcW w:w="8400" w:type="dxa"/>
            <w:vAlign w:val="bottom"/>
          </w:tcPr>
          <w:p>
            <w:pPr>
              <w:ind w:left="20"/>
              <w:spacing w:after="0"/>
              <w:rPr>
                <w:sz w:val="20"/>
                <w:szCs w:val="20"/>
                <w:color w:val="auto"/>
              </w:rPr>
            </w:pPr>
            <w:r>
              <w:rPr>
                <w:rFonts w:ascii="Arial" w:cs="Arial" w:eastAsia="Arial" w:hAnsi="Arial"/>
                <w:sz w:val="13"/>
                <w:szCs w:val="13"/>
                <w:color w:val="auto"/>
              </w:rPr>
              <w:t>Government-Sponsored Enterprises</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HELOC</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Home Equity Line of Credit</w:t>
            </w: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IRC</w:t>
            </w:r>
          </w:p>
        </w:tc>
        <w:tc>
          <w:tcPr>
            <w:tcW w:w="8400" w:type="dxa"/>
            <w:vAlign w:val="bottom"/>
          </w:tcPr>
          <w:p>
            <w:pPr>
              <w:ind w:left="20"/>
              <w:spacing w:after="0"/>
              <w:rPr>
                <w:sz w:val="20"/>
                <w:szCs w:val="20"/>
                <w:color w:val="auto"/>
              </w:rPr>
            </w:pPr>
            <w:r>
              <w:rPr>
                <w:rFonts w:ascii="Arial" w:cs="Arial" w:eastAsia="Arial" w:hAnsi="Arial"/>
                <w:sz w:val="13"/>
                <w:szCs w:val="13"/>
                <w:color w:val="auto"/>
              </w:rPr>
              <w:t>Internal Revenue Code</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IRLC</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Lock Commitments</w:t>
            </w: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KSOP</w:t>
            </w:r>
          </w:p>
        </w:tc>
        <w:tc>
          <w:tcPr>
            <w:tcW w:w="8400" w:type="dxa"/>
            <w:vAlign w:val="bottom"/>
          </w:tcPr>
          <w:p>
            <w:pPr>
              <w:ind w:left="20"/>
              <w:spacing w:after="0"/>
              <w:rPr>
                <w:sz w:val="20"/>
                <w:szCs w:val="20"/>
                <w:color w:val="auto"/>
              </w:rPr>
            </w:pPr>
            <w:r>
              <w:rPr>
                <w:rFonts w:ascii="Arial" w:cs="Arial" w:eastAsia="Arial" w:hAnsi="Arial"/>
                <w:sz w:val="13"/>
                <w:szCs w:val="13"/>
                <w:color w:val="auto"/>
              </w:rPr>
              <w:t>HomeTrust Bank KSOP Plan</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LIBOR</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London Interbank Offered Rate</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LPO</w:t>
            </w:r>
          </w:p>
        </w:tc>
        <w:tc>
          <w:tcPr>
            <w:tcW w:w="8400" w:type="dxa"/>
            <w:vAlign w:val="bottom"/>
          </w:tcPr>
          <w:p>
            <w:pPr>
              <w:ind w:left="20"/>
              <w:spacing w:after="0"/>
              <w:rPr>
                <w:sz w:val="20"/>
                <w:szCs w:val="20"/>
                <w:color w:val="auto"/>
              </w:rPr>
            </w:pPr>
            <w:r>
              <w:rPr>
                <w:rFonts w:ascii="Arial" w:cs="Arial" w:eastAsia="Arial" w:hAnsi="Arial"/>
                <w:sz w:val="13"/>
                <w:szCs w:val="13"/>
                <w:color w:val="auto"/>
              </w:rPr>
              <w:t>Loan Production Office</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MBS</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Security</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NBV</w:t>
            </w:r>
          </w:p>
        </w:tc>
        <w:tc>
          <w:tcPr>
            <w:tcW w:w="8400" w:type="dxa"/>
            <w:vAlign w:val="bottom"/>
          </w:tcPr>
          <w:p>
            <w:pPr>
              <w:ind w:left="20"/>
              <w:spacing w:after="0"/>
              <w:rPr>
                <w:sz w:val="20"/>
                <w:szCs w:val="20"/>
                <w:color w:val="auto"/>
              </w:rPr>
            </w:pPr>
            <w:r>
              <w:rPr>
                <w:rFonts w:ascii="Arial" w:cs="Arial" w:eastAsia="Arial" w:hAnsi="Arial"/>
                <w:sz w:val="13"/>
                <w:szCs w:val="13"/>
                <w:color w:val="auto"/>
              </w:rPr>
              <w:t>Net Book Value</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NCCOB</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 Office of the Commissioner of Banks</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NOL</w:t>
            </w:r>
          </w:p>
        </w:tc>
        <w:tc>
          <w:tcPr>
            <w:tcW w:w="8400" w:type="dxa"/>
            <w:vAlign w:val="bottom"/>
          </w:tcPr>
          <w:p>
            <w:pPr>
              <w:ind w:left="20"/>
              <w:spacing w:after="0"/>
              <w:rPr>
                <w:sz w:val="20"/>
                <w:szCs w:val="20"/>
                <w:color w:val="auto"/>
              </w:rPr>
            </w:pPr>
            <w:r>
              <w:rPr>
                <w:rFonts w:ascii="Arial" w:cs="Arial" w:eastAsia="Arial" w:hAnsi="Arial"/>
                <w:sz w:val="13"/>
                <w:szCs w:val="13"/>
                <w:color w:val="auto"/>
              </w:rPr>
              <w:t>Net Operating Loss</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PCD</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Purchased Financial Assets with Credit Deterioration</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PCI</w:t>
            </w:r>
          </w:p>
        </w:tc>
        <w:tc>
          <w:tcPr>
            <w:tcW w:w="8400" w:type="dxa"/>
            <w:vAlign w:val="bottom"/>
          </w:tcPr>
          <w:p>
            <w:pPr>
              <w:ind w:left="20"/>
              <w:spacing w:after="0"/>
              <w:rPr>
                <w:sz w:val="20"/>
                <w:szCs w:val="20"/>
                <w:color w:val="auto"/>
              </w:rPr>
            </w:pPr>
            <w:r>
              <w:rPr>
                <w:rFonts w:ascii="Arial" w:cs="Arial" w:eastAsia="Arial" w:hAnsi="Arial"/>
                <w:sz w:val="13"/>
                <w:szCs w:val="13"/>
                <w:color w:val="auto"/>
              </w:rPr>
              <w:t>Purchased Credit Impaired</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PVE</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Present Value of Equity</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Quantum</w:t>
            </w:r>
          </w:p>
        </w:tc>
        <w:tc>
          <w:tcPr>
            <w:tcW w:w="8400" w:type="dxa"/>
            <w:vAlign w:val="bottom"/>
          </w:tcPr>
          <w:p>
            <w:pPr>
              <w:ind w:left="20"/>
              <w:spacing w:after="0"/>
              <w:rPr>
                <w:sz w:val="20"/>
                <w:szCs w:val="20"/>
                <w:color w:val="auto"/>
              </w:rPr>
            </w:pPr>
            <w:r>
              <w:rPr>
                <w:rFonts w:ascii="Arial" w:cs="Arial" w:eastAsia="Arial" w:hAnsi="Arial"/>
                <w:sz w:val="13"/>
                <w:szCs w:val="13"/>
                <w:color w:val="auto"/>
              </w:rPr>
              <w:t>Quantum Capital Corp. and its wholly owned subsidiary, Quantum National Bank</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REO</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 Estate Owned</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ROU</w:t>
            </w:r>
          </w:p>
        </w:tc>
        <w:tc>
          <w:tcPr>
            <w:tcW w:w="8400" w:type="dxa"/>
            <w:vAlign w:val="bottom"/>
          </w:tcPr>
          <w:p>
            <w:pPr>
              <w:ind w:left="20"/>
              <w:spacing w:after="0"/>
              <w:rPr>
                <w:sz w:val="20"/>
                <w:szCs w:val="20"/>
                <w:color w:val="auto"/>
              </w:rPr>
            </w:pPr>
            <w:r>
              <w:rPr>
                <w:rFonts w:ascii="Arial" w:cs="Arial" w:eastAsia="Arial" w:hAnsi="Arial"/>
                <w:sz w:val="13"/>
                <w:szCs w:val="13"/>
                <w:color w:val="auto"/>
              </w:rPr>
              <w:t>Right of Use</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RSU</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SBA</w:t>
            </w:r>
          </w:p>
        </w:tc>
        <w:tc>
          <w:tcPr>
            <w:tcW w:w="8400" w:type="dxa"/>
            <w:vAlign w:val="bottom"/>
          </w:tcPr>
          <w:p>
            <w:pPr>
              <w:ind w:left="20"/>
              <w:spacing w:after="0"/>
              <w:rPr>
                <w:sz w:val="20"/>
                <w:szCs w:val="20"/>
                <w:color w:val="auto"/>
              </w:rPr>
            </w:pPr>
            <w:r>
              <w:rPr>
                <w:rFonts w:ascii="Arial" w:cs="Arial" w:eastAsia="Arial" w:hAnsi="Arial"/>
                <w:sz w:val="13"/>
                <w:szCs w:val="13"/>
                <w:color w:val="auto"/>
              </w:rPr>
              <w:t>U.S. Small Business Administration</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SBIC</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Small Business Investment Companies</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SEC</w:t>
            </w:r>
          </w:p>
        </w:tc>
        <w:tc>
          <w:tcPr>
            <w:tcW w:w="8400" w:type="dxa"/>
            <w:vAlign w:val="bottom"/>
          </w:tcPr>
          <w:p>
            <w:pPr>
              <w:ind w:left="20"/>
              <w:spacing w:after="0"/>
              <w:rPr>
                <w:sz w:val="20"/>
                <w:szCs w:val="20"/>
                <w:color w:val="auto"/>
              </w:rPr>
            </w:pPr>
            <w:r>
              <w:rPr>
                <w:rFonts w:ascii="Arial" w:cs="Arial" w:eastAsia="Arial" w:hAnsi="Arial"/>
                <w:sz w:val="13"/>
                <w:szCs w:val="13"/>
                <w:color w:val="auto"/>
              </w:rPr>
              <w:t>Securities and Exchange Commission</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SOFR</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 Overnight Financing Rate</w:t>
            </w:r>
          </w:p>
        </w:tc>
        <w:tc>
          <w:tcPr>
            <w:tcW w:w="0" w:type="dxa"/>
            <w:vAlign w:val="bottom"/>
          </w:tcPr>
          <w:p>
            <w:pPr>
              <w:spacing w:after="0"/>
              <w:rPr>
                <w:sz w:val="1"/>
                <w:szCs w:val="1"/>
                <w:color w:val="auto"/>
              </w:rPr>
            </w:pPr>
          </w:p>
        </w:tc>
      </w:tr>
      <w:tr>
        <w:trPr>
          <w:trHeight w:val="165"/>
        </w:trPr>
        <w:tc>
          <w:tcPr>
            <w:tcW w:w="2820" w:type="dxa"/>
            <w:vAlign w:val="bottom"/>
            <w:gridSpan w:val="2"/>
          </w:tcPr>
          <w:p>
            <w:pPr>
              <w:spacing w:after="0"/>
              <w:rPr>
                <w:sz w:val="20"/>
                <w:szCs w:val="20"/>
                <w:color w:val="auto"/>
              </w:rPr>
            </w:pPr>
            <w:r>
              <w:rPr>
                <w:rFonts w:ascii="Arial" w:cs="Arial" w:eastAsia="Arial" w:hAnsi="Arial"/>
                <w:sz w:val="13"/>
                <w:szCs w:val="13"/>
                <w:color w:val="auto"/>
              </w:rPr>
              <w:t>TBA</w:t>
            </w:r>
          </w:p>
        </w:tc>
        <w:tc>
          <w:tcPr>
            <w:tcW w:w="8400" w:type="dxa"/>
            <w:vAlign w:val="bottom"/>
          </w:tcPr>
          <w:p>
            <w:pPr>
              <w:ind w:left="20"/>
              <w:spacing w:after="0"/>
              <w:rPr>
                <w:sz w:val="20"/>
                <w:szCs w:val="20"/>
                <w:color w:val="auto"/>
              </w:rPr>
            </w:pPr>
            <w:r>
              <w:rPr>
                <w:rFonts w:ascii="Arial" w:cs="Arial" w:eastAsia="Arial" w:hAnsi="Arial"/>
                <w:sz w:val="13"/>
                <w:szCs w:val="13"/>
                <w:color w:val="auto"/>
              </w:rPr>
              <w:t>To-be-announced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168"/>
        </w:trPr>
        <w:tc>
          <w:tcPr>
            <w:tcW w:w="2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Term</w:t>
            </w:r>
          </w:p>
        </w:tc>
        <w:tc>
          <w:tcPr>
            <w:tcW w:w="80" w:type="dxa"/>
            <w:vAlign w:val="bottom"/>
            <w:tcBorders>
              <w:bottom w:val="single" w:sz="8" w:color="CCEEFF"/>
            </w:tcBorders>
          </w:tcPr>
          <w:p>
            <w:pPr>
              <w:spacing w:after="0"/>
              <w:rPr>
                <w:sz w:val="14"/>
                <w:szCs w:val="14"/>
                <w:color w:val="auto"/>
              </w:rPr>
            </w:pPr>
          </w:p>
        </w:tc>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Definition</w:t>
            </w:r>
          </w:p>
        </w:tc>
        <w:tc>
          <w:tcPr>
            <w:tcW w:w="0" w:type="dxa"/>
            <w:vAlign w:val="bottom"/>
          </w:tcPr>
          <w:p>
            <w:pPr>
              <w:spacing w:after="0"/>
              <w:rPr>
                <w:sz w:val="1"/>
                <w:szCs w:val="1"/>
                <w:color w:val="auto"/>
              </w:rPr>
            </w:pPr>
          </w:p>
        </w:tc>
      </w:tr>
      <w:tr>
        <w:trPr>
          <w:trHeight w:val="163"/>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TDR</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Troubled Debt Restructuring</w:t>
            </w: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USDA B&amp;I</w:t>
            </w:r>
          </w:p>
        </w:tc>
        <w:tc>
          <w:tcPr>
            <w:tcW w:w="8400" w:type="dxa"/>
            <w:vAlign w:val="bottom"/>
          </w:tcPr>
          <w:p>
            <w:pPr>
              <w:ind w:left="20"/>
              <w:spacing w:after="0"/>
              <w:rPr>
                <w:sz w:val="20"/>
                <w:szCs w:val="20"/>
                <w:color w:val="auto"/>
              </w:rPr>
            </w:pPr>
            <w:r>
              <w:rPr>
                <w:rFonts w:ascii="Arial" w:cs="Arial" w:eastAsia="Arial" w:hAnsi="Arial"/>
                <w:sz w:val="13"/>
                <w:szCs w:val="13"/>
                <w:color w:val="auto"/>
              </w:rPr>
              <w:t>United States Department of Agriculture Business &amp; Industry</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US GAAP</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VIE</w:t>
            </w:r>
          </w:p>
        </w:tc>
        <w:tc>
          <w:tcPr>
            <w:tcW w:w="8400" w:type="dxa"/>
            <w:vAlign w:val="bottom"/>
          </w:tcPr>
          <w:p>
            <w:pPr>
              <w:ind w:left="20"/>
              <w:spacing w:after="0"/>
              <w:rPr>
                <w:sz w:val="20"/>
                <w:szCs w:val="20"/>
                <w:color w:val="auto"/>
              </w:rPr>
            </w:pPr>
            <w:r>
              <w:rPr>
                <w:rFonts w:ascii="Arial" w:cs="Arial" w:eastAsia="Arial" w:hAnsi="Arial"/>
                <w:sz w:val="13"/>
                <w:szCs w:val="13"/>
                <w:color w:val="auto"/>
              </w:rPr>
              <w:t>Variable Interest Entity</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WNCSC</w:t>
            </w:r>
          </w:p>
        </w:tc>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Western North Carolina Service Corporation</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matters in this Form 10-K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The factors that could result in material differentiation include, but are not limited to:</w:t>
      </w:r>
    </w:p>
    <w:p>
      <w:pPr>
        <w:spacing w:after="0" w:line="12"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bank failures or adverse developments of other banks and related negative press about the banking industry in general on investor and depositor sentiment</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remaining effects of the COVID-19 pandemic on general economic and financial market conditions and on public health, both nationally and in our market areas;</w:t>
      </w:r>
    </w:p>
    <w:p>
      <w:pPr>
        <w:spacing w:after="0" w:line="1" w:lineRule="exact"/>
        <w:rPr>
          <w:rFonts w:ascii="Arial" w:cs="Arial" w:eastAsia="Arial" w:hAnsi="Arial"/>
          <w:sz w:val="13"/>
          <w:szCs w:val="13"/>
          <w:color w:val="auto"/>
        </w:rPr>
      </w:pPr>
    </w:p>
    <w:p>
      <w:pPr>
        <w:jc w:val="both"/>
        <w:ind w:left="260" w:hanging="255"/>
        <w:spacing w:after="0" w:line="244" w:lineRule="auto"/>
        <w:tabs>
          <w:tab w:leader="none" w:pos="251"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expected revenues, cost savings, synergies and other benefits from our merger and acquisition activities, including our recent merger with Quantum,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ind w:left="260" w:hanging="255"/>
        <w:spacing w:after="0" w:line="244" w:lineRule="auto"/>
        <w:tabs>
          <w:tab w:leader="none" w:pos="25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general economic conditions, either nationally or in our market areas;</w:t>
      </w:r>
    </w:p>
    <w:p>
      <w:pPr>
        <w:spacing w:after="0" w:line="1" w:lineRule="exact"/>
        <w:rPr>
          <w:rFonts w:ascii="Arial" w:cs="Arial" w:eastAsia="Arial" w:hAnsi="Arial"/>
          <w:sz w:val="13"/>
          <w:szCs w:val="13"/>
          <w:color w:val="auto"/>
        </w:rPr>
      </w:pPr>
    </w:p>
    <w:p>
      <w:pPr>
        <w:ind w:left="260" w:hanging="255"/>
        <w:spacing w:after="0" w:line="246" w:lineRule="auto"/>
        <w:tabs>
          <w:tab w:leader="none" w:pos="251"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the levels of general interest rates, and the relative differences between short- and long-term interest rates, deposit interest rates, our net interest margin and funding sources and the effects of inflation or a potential recession;</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transition from LIBOR to new interest rate benchmarks;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fluctuations in the demand for loans, the number of unsold homes, land and other properties and fluctuations in real estate values in our market areas;</w:t>
      </w: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decreases in the secondary market for the sale of loans that we originate;</w:t>
      </w:r>
    </w:p>
    <w:p>
      <w:pPr>
        <w:spacing w:after="0" w:line="1" w:lineRule="exact"/>
        <w:rPr>
          <w:rFonts w:ascii="Arial" w:cs="Arial" w:eastAsia="Arial" w:hAnsi="Arial"/>
          <w:sz w:val="13"/>
          <w:szCs w:val="13"/>
          <w:color w:val="auto"/>
        </w:rPr>
      </w:pPr>
    </w:p>
    <w:p>
      <w:pPr>
        <w:ind w:left="260" w:hanging="255"/>
        <w:spacing w:after="0" w:line="267" w:lineRule="auto"/>
        <w:tabs>
          <w:tab w:leader="none" w:pos="251" w:val="left"/>
        </w:tabs>
        <w:numPr>
          <w:ilvl w:val="0"/>
          <w:numId w:val="3"/>
        </w:numPr>
        <w:rPr>
          <w:rFonts w:ascii="Arial" w:cs="Arial" w:eastAsia="Arial" w:hAnsi="Arial"/>
          <w:sz w:val="12"/>
          <w:szCs w:val="12"/>
          <w:color w:val="auto"/>
        </w:rPr>
      </w:pPr>
      <w:r>
        <w:rPr>
          <w:rFonts w:ascii="Arial" w:cs="Arial" w:eastAsia="Arial" w:hAnsi="Arial"/>
          <w:sz w:val="12"/>
          <w:szCs w:val="12"/>
          <w:color w:val="auto"/>
        </w:rPr>
        <w:t>results of examinations of us by the Federal Reserve, the NCCOB, or other regulatory authorities, including the possibility that any such regulatory authority may, among other things, require us to increase our ACL, write-down assets, change our regulatory capital position or affect our ability to borrow funds or maintain or increase deposits, which could adversely affect our liquidity and earnings;</w:t>
      </w:r>
    </w:p>
    <w:p>
      <w:pPr>
        <w:jc w:val="both"/>
        <w:ind w:left="260" w:hanging="255"/>
        <w:spacing w:after="0" w:line="244" w:lineRule="auto"/>
        <w:tabs>
          <w:tab w:leader="none" w:pos="251" w:val="left"/>
        </w:tabs>
        <w:numPr>
          <w:ilvl w:val="0"/>
          <w:numId w:val="3"/>
        </w:numPr>
        <w:rPr>
          <w:rFonts w:ascii="Arial" w:cs="Arial" w:eastAsia="Arial" w:hAnsi="Arial"/>
          <w:sz w:val="13"/>
          <w:szCs w:val="13"/>
          <w:color w:val="auto"/>
        </w:rPr>
      </w:pPr>
      <w:r>
        <w:rPr>
          <w:rFonts w:ascii="Arial" w:cs="Arial" w:eastAsia="Arial" w:hAnsi="Arial"/>
          <w:sz w:val="13"/>
          <w:szCs w:val="13"/>
          <w:color w:val="auto"/>
        </w:rPr>
        <w:t>legislative or regulatory changes that adversely affect our business including the effects of the Dodd-Frank Act, changes in laws or regulations, changes in regulatory policies and principles or the application or interpretation of laws and regulations by regulatory agencies and tax authorities, including changes in deferred tax asset and liability activity, or the interpretation of regulatory capital or other rules, including as a result of Basel III;</w:t>
      </w: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attract and retain deposits;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access cost-effective funding and maintain sufficient liquidity;</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management's assumptions in determining the adequacy of the ACL;</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control operating costs and expenses, especially costs associated with our operation as a public company;</w:t>
      </w: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use of estimates in determining the fair value of certain assets, which estimates may prove to be incorrect and result in significant declines in valuation;</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difficulties in reducing risks associated with the loans on our balance sheet;</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staffing fluctuations in response to product demand or the implementation of corporate strategies that affect our workforce and potential associated charges;</w:t>
      </w:r>
    </w:p>
    <w:p>
      <w:pPr>
        <w:spacing w:after="0" w:line="1" w:lineRule="exact"/>
        <w:rPr>
          <w:rFonts w:ascii="Arial" w:cs="Arial" w:eastAsia="Arial" w:hAnsi="Arial"/>
          <w:sz w:val="13"/>
          <w:szCs w:val="13"/>
          <w:color w:val="auto"/>
        </w:rPr>
      </w:pPr>
    </w:p>
    <w:p>
      <w:pPr>
        <w:ind w:left="260" w:hanging="255"/>
        <w:spacing w:after="0" w:line="244" w:lineRule="auto"/>
        <w:tabs>
          <w:tab w:leader="none" w:pos="251" w:val="left"/>
        </w:tabs>
        <w:numPr>
          <w:ilvl w:val="0"/>
          <w:numId w:val="3"/>
        </w:numPr>
        <w:rPr>
          <w:rFonts w:ascii="Arial" w:cs="Arial" w:eastAsia="Arial" w:hAnsi="Arial"/>
          <w:sz w:val="13"/>
          <w:szCs w:val="13"/>
          <w:color w:val="auto"/>
        </w:rPr>
      </w:pPr>
      <w:r>
        <w:rPr>
          <w:rFonts w:ascii="Arial" w:cs="Arial" w:eastAsia="Arial" w:hAnsi="Arial"/>
          <w:sz w:val="13"/>
          <w:szCs w:val="13"/>
          <w:color w:val="auto"/>
        </w:rPr>
        <w:t>disruptions, security breaches, or other adverse events, failures or interruptions in, or attacks on, our information technology systems or on the third-party vendors who perform several of our critical processing functions;</w:t>
      </w: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retain key members of our senior management team;</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costs and effects of litigation, including settlements and judgments;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competitive pressures among financial services companies;</w:t>
      </w: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consumer spending, borrowing and savings habits;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availability of resources to address changes in laws, rules, or regulations or to respond to regulatory actions;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changes in the securities markets;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inability of key third-party providers to perform their obligations to us;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accounting principles, policies or guidelines and practices, as may be adopted by the financial institution regulatory agencies, the Public Company Accounting Oversight Board or the FASB;</w:t>
      </w:r>
    </w:p>
    <w:p>
      <w:pPr>
        <w:spacing w:after="0" w:line="10" w:lineRule="exact"/>
        <w:rPr>
          <w:rFonts w:ascii="Arial" w:cs="Arial" w:eastAsia="Arial" w:hAnsi="Arial"/>
          <w:sz w:val="12"/>
          <w:szCs w:val="12"/>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economic, competitive, governmental, regulatory, and technological factors affecting our operations, pricing, products and services including the CARES Act; and</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risks detailed from time to time in our filings with the SEC, including this Form 10-K.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12"/>
          <w:szCs w:val="12"/>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Business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At June 30, 2023, the Company had consolidated total assets of $4.6 billion, total deposits of $3.6 billion and stockholders’ equity of $471.2 million. The Company has not engaged in any significant activity other than holding the stock of the Bank. Accordingly, the information set forth in this Annual Report on Form 10-K (“Form 10-K”), including the audited consolidated financial statements and related data, relates primarily to the Bank and its subsidiary.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Bank was originally formed in 1926. Between the fiscal years of 1996 and 2011, HomeTrust Bank's Board of Directors and executive management expanded the Bank beyond its historical Asheville market and created a unique partnership through which hometown community banks could combine their financial resources to achieve a shared vision. These actions resulted in mergers between six established banks and one de novo bank located in Tryon, Shelby, Eden, Lexington, Cherryville and Forest City, North Carolina.</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Since 2013, we have entered eight attractive markets through various acquisitions and new office openings, as well as expanded our product lines. These include:</w:t>
      </w:r>
    </w:p>
    <w:p>
      <w:pPr>
        <w:spacing w:after="0" w:line="8"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BankGreenville Financial Corporation - one office in Greenville, South Carolina (acquired in July 2013)</w:t>
      </w: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Jefferson Bancshares, Inc. - nine offices across East Tennessee (acquired in May 2014)</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Commercial LPO in Roanoke, Virginia (opened in July 2014)</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Bank of Commerce - one office in Charlotte, North Carolina (acquired in July 2014)</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10 Bank of America Branch Offices - nine in southwest Virginia, one in Eden, North Carolina (acquired in November 2014)</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Commercial LPO in Raleigh, North Carolina (opened in November 2014) and later converted into a full service branch (converted in April 2017)</w:t>
      </w: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United Financial of North Carolina, Inc. - municipal lease company headquartered in Fletcher, North Carolina (acquired in December 2016)</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TriSummit Bancorp, Inc. - six offices in East Tennessee (acquired in January 2017)</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Began origination and sales of SBA loans through our new SBA line of business (September 2017)</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 novo branch in Cary, North Carolina (opened in March 2018)</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Began equipment finance line of business (May 2018)</w:t>
      </w: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Began originations of HELOCs to be pooled and sold (March 2019)</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 novo branch in Cornelius, North Carolina (opened in April 2022)</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Quantum Capital Corp. - two offices in Atlanta, Georgia (acquired in February 2023)</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By expanding our geographic footprint and hiring local experienced talent, we have built a foundation focused on organic growth while maintaining "Our Commitment to the Customer Experience" that has differentiated our brand and characterized our success to date.</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mission is to create stockholder value by building relationships with our employees, customers, and communities. By building a platform that supports growth and profitability, we are continuing our transition toward becoming a high-performing community bank and helping our customers every day to be "Ready For What's Next."</w:t>
      </w:r>
    </w:p>
    <w:p>
      <w:pPr>
        <w:spacing w:after="0" w:line="4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loans, and other consumer loans. We also originate one-to-four family loans, SBA loans, and HELOCs to sell to third parties. In addition, we invest in debt securities issued by United States Government agencies and GSEs, municipal bonds, corporate bonds, commercial paper and certificates of deposit insured by the FDIC. We offer a variety of deposit accounts for individuals, businesses, and nonprofit organizations.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Areas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Bank has over 30 locations across Georgia,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have built a strong foundation in the communities we serve and take pride in the role we play. The management team and employees of each region work to support local nonprofit and community organizations. Each location helps provide critical services to meet the financial needs of its customers and improve the quality of life for individuals and businesses in its community. Initiatives supporting our communities include affordable housing, schools and financial education, and the arts. We support these initiatives through both financial and people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3"/>
          <w:szCs w:val="13"/>
          <w:color w:val="auto"/>
        </w:rPr>
        <w:t>resources in our communities. Collectively, our Bank employees volunteer thousands of hours annually in their local communities, such as helping to build homes and teaching grade school youth how to begin establishing healthy money savings habits. Our Bank employees are making a positive difference in the lives of others every day.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We face strong competition in originating loans and in attracting deposits. Competition in originating real estate loans comes primarily from other commercial banks, savings institutions, credit unions, life insurance companies, and mortgage bankers. Other commercial banks, credit unions, and finance companies provide vigorous competition in consumer lending. Commercial and industrial loan competition is primarily from local and regional commercial banks. We believe that we compete effectively because we consistently deliver high-quality, personal service to our customers that results in a high level of customer satisfaction.</w:t>
      </w:r>
    </w:p>
    <w:p>
      <w:pPr>
        <w:spacing w:after="0" w:line="25"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We attract our deposits through our branch office network, supplementing this funding through brokered deposits as necessary. Competition for deposits is principally from other commercial banks, savings institutions, and credit unions located in the same communities, as well as mutual funds and other alternative investments. We believe that we compete for deposits by offering superior service and a variety of deposit accounts at competitive rates. We also have a highly competitive suite of cash management services, online/mobile banking, and internal support expertise specific to the needs of small to mid-sized commercial business customers.</w:t>
      </w:r>
    </w:p>
    <w:p>
      <w:pPr>
        <w:spacing w:after="0" w:line="1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Beyond traditional financial institutions, we also face competition from financial technology companies, or fintechs. In an effort to open alternative origination sources beyond our physical locations, the Bank positioned itself to partner with fintechs, intentionally selecting an open architecture when converting core banking systems in February 2020 to allow the Bank to quickly integrate fintech partners. As a reflection of this investment, in March 2022 we integrated our second fintech partner focused on small business lending, and integrated our third fintech partner in June 2022 focused on unsecured consumer lending. The Bank continues to evaluate future fintech partnerships which present opportunities for both loan and deposit gathering beyond our traditional origination sources.</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addition, the way we create differentiation from our competition is by focusing on “HOW” we deliver our products and services. While some employees have been a part of HomeTrust Bank for decades, a significant number of employees have more recently brought their professional expertise and industry knowledge to us through internal growth and acquisitions. As a reflection of our strategic goal to make the Bank a best place to work, in the prior year the Company made a significant investment in refreshing our culture model to create organizational clarity via a targeted, robust program that focuses on employee behaviors which support our aspirational corporate values. This “culture model” helps to ensure the Bank workplace remains attentive to:</w:t>
      </w:r>
    </w:p>
    <w:p>
      <w:pPr>
        <w:spacing w:after="0" w:line="2" w:lineRule="exact"/>
        <w:rPr>
          <w:sz w:val="20"/>
          <w:szCs w:val="20"/>
          <w:color w:val="auto"/>
        </w:rPr>
      </w:pPr>
    </w:p>
    <w:p>
      <w:pPr>
        <w:ind w:left="260" w:hanging="255"/>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increased collaboration and productivity;</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attracting and retaining the best talent;</w:t>
      </w:r>
    </w:p>
    <w:p>
      <w:pPr>
        <w:ind w:left="260" w:hanging="255"/>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winning more business in a "look-alike" world; and</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establishing clarity when more workers are remote or hybrid.</w:t>
      </w:r>
    </w:p>
    <w:p>
      <w:pPr>
        <w:spacing w:after="0" w:line="60"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In implementing these principles, the directors, management team, and employees work together as a team to meet the financial needs of our customers while supporting local nonprofit and community organizations to improve the quality of life for individuals and businesses in our communities. We support affordable housing and education initiatives to help build healthy communities through both financial assistance and employees volunteering thousands of hours annually in their local markets. We believe the opportunity to stay close to our customers gives us a unique position in the banking industry as compared to our larger competitors, and we are committed to continuing to build strong relationships with our employees, customers, and communities for generations to come.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Capital</w:t>
      </w:r>
    </w:p>
    <w:p>
      <w:pPr>
        <w:spacing w:after="0" w:line="3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of June 30, 2023, we employed 532 full-time employees and 24 part-time employees, for a total of 556 employees. Our employees are located primarily in our five-state geographic footprint: North Carolina - 372, Tennessee - 62, Virginia - 39, Georgia - 42 and South Carolina - 32. In addition, 9 employees are located in other states across the U.S and work remotely.</w:t>
      </w:r>
    </w:p>
    <w:p>
      <w:pPr>
        <w:spacing w:after="0" w:line="3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For almost 100 years, HomeTrust Bank has strived to be an employer of choice. We value and promote diversity and inclusion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gender, national origin, religion, age, sexual orientation, gender identity, gender expression, genetic information, physical or mental disability, pregnancy, marital status, status as a protected veteran or any other status protected by federal, state or local law.</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Our talent acquisition practices are designed to attract top talent in the financial services industry and foster an inclusive, respectful and rewarding workplace. Selection teams are guided by our talent acquisition professionals in the proper recruitment and selection of candidates with a focus on competency-based hiring. We stay abreast of market trends and best practices, ensuring that we remain competitive and an attractive place to work. An employee referral program serves to reward current employees for identifying top candidates who choose to apply and accept employment with us.</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business strategy relies heavily on relationships with both internal and external stakeholders. At new employee orientation, newly hired employees are educated on the history of the Company, our vision and our 33 culture fundamentals which outline how we work with our customers, partners, and each other. We place an emphasis on providing regular performance feedback and encourage collaboration across the Company through open dialogue and focused execution while seeking diverse perspectives.</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believe that a sense of belonging is essential to providing a work environment where everyone can perform their very best. We are committed to fostering an environment that encourages diverse viewpoints, backgrounds and experiences and with the support of our Board of Directors, we continue to explore additional diversity, equity and inclusion efforts.</w:t>
      </w:r>
    </w:p>
    <w:p>
      <w:pPr>
        <w:spacing w:after="0" w:line="3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offer a comprehensive benefits package to our employees and have designed our benefits and compensation programs to attract, retain, motivate and reward employees. We provide access to financial wellness counseling services and promote the health and wellness of our employees by strongly encouraging work-life balance and a healthy lifestyle. The Company's competitive paid time off program gives our employees a chance to step back from their professional commitments, which employees may use for vacation, personal use and illness.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3"/>
          <w:szCs w:val="13"/>
          <w:color w:val="auto"/>
        </w:rPr>
        <w:t>To foster inclusivity and support our employees through various life events, in 2023, we launched a six week, 100% paid parental leave benefit to all eligible employees, regardless of gender, for the birth, adoption, or fostering of a new child. In addition, we significantly increased our short-term disability coverage to provide 100% wage replacement for eight weeks for employees with at least one year of service if they experience a qualifying medical event.</w:t>
      </w:r>
    </w:p>
    <w:p>
      <w:pPr>
        <w:spacing w:after="0" w:line="4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We believe a strong corporate culture and employee engagement is crucial to the success of the Company. In 2023, we conducted a comprehensive employee engagement survey, with a high-level of employee participation, to gain perspective on what we do well and our opportunities for improvement. In addition, HomeTrust continued deepening the understanding of our 33 culture fundamentals which we introduced in late 2022. Our fundamentals are a behavior-based set of expectations, intended to support the Company's core values and increase overall employee engagement. As employees exit the organization, we seek their candid feedback through confidential interviews and surveys in an effort to improve our processes, practices, and overall work environment.</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2023, HomeTrust was recognized as one of the top 20 Great Employers to Work for in North Carolina, by Best Companies Group. This recognition was a testament to our commitment to enhancing the employee experience and our significant investments in improving the culture of our workplace, expansion of inclusive benefits, increased employee communication, training and education opportunities. Collectively, these initiatives are designed to have a teammate first work environment to boost employee morale, engagement, and job satisfaction.</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are committed to serving and strengthening the communities in which we live, work and play and believe this commitment fosters strong and rewarding relationships with our clients and community partners. Community Service Leave ("CSL") is awarded annually to employees to foster volunteerism with charitable organizations of their choice throughout the year. All employees are eligible for CSL and may use it throughout the calendar year to participate in eligible community service activities.</w:t>
      </w:r>
    </w:p>
    <w:p>
      <w:pPr>
        <w:spacing w:after="0" w:line="31" w:lineRule="exact"/>
        <w:rPr>
          <w:sz w:val="20"/>
          <w:szCs w:val="20"/>
          <w:color w:val="auto"/>
        </w:rPr>
      </w:pPr>
    </w:p>
    <w:p>
      <w:pPr>
        <w:jc w:val="both"/>
        <w:spacing w:after="0" w:line="352" w:lineRule="auto"/>
        <w:rPr>
          <w:sz w:val="20"/>
          <w:szCs w:val="20"/>
          <w:color w:val="auto"/>
        </w:rPr>
      </w:pPr>
      <w:r>
        <w:rPr>
          <w:rFonts w:ascii="Arial" w:cs="Arial" w:eastAsia="Arial" w:hAnsi="Arial"/>
          <w:sz w:val="11"/>
          <w:szCs w:val="11"/>
          <w:color w:val="auto"/>
        </w:rPr>
        <w:t>In addition, we support our communities through a variety of sponsorships and financial contributions to non-profit agencies across our footprint, and provide employees with the opportunity to contribute to those organizations through voluntary payroll deductions. We sponsor an annual workplace campaign designed to promote volunteerism and monetary contributions by employees to community agencies they choose to support.</w:t>
      </w:r>
    </w:p>
    <w:p>
      <w:pPr>
        <w:jc w:val="both"/>
        <w:spacing w:after="0" w:line="248" w:lineRule="auto"/>
        <w:rPr>
          <w:sz w:val="20"/>
          <w:szCs w:val="20"/>
          <w:color w:val="auto"/>
        </w:rPr>
      </w:pPr>
      <w:r>
        <w:rPr>
          <w:rFonts w:ascii="Arial" w:cs="Arial" w:eastAsia="Arial" w:hAnsi="Arial"/>
          <w:sz w:val="13"/>
          <w:szCs w:val="13"/>
          <w:color w:val="auto"/>
        </w:rPr>
        <w:t>Valuing our people, our greatest asset, means that good health, safety and well-being practices, both at home and at work, are woven into the fabric of our culture. We offer a confidential employee assistance program for employees and for those living in their households which provide tools, resources and counseling at no charge to them. We also provide a wellness program, which delivers products, services and tools to help employees maintain a healthy life.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Lending Policy and Procedures</w:t>
      </w:r>
    </w:p>
    <w:p>
      <w:pPr>
        <w:spacing w:after="0" w:line="35"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Loan credit authority is granted by position rather than on an individual officer-by-officer basis. These loan authorities are reviewed and approved, at least annually, by the Credit Risk Committee, which is made up of the Chief Executive Officer, Chief Credit Officer, Chief Risk Officer, and the Commercial Banking Group Executive. The Senior and Executive Loan Committee approval levels must be approved by the Board of Directors.</w:t>
      </w:r>
    </w:p>
    <w:p>
      <w:pPr>
        <w:jc w:val="both"/>
        <w:spacing w:after="0" w:line="250" w:lineRule="auto"/>
        <w:rPr>
          <w:sz w:val="20"/>
          <w:szCs w:val="20"/>
          <w:color w:val="auto"/>
        </w:rPr>
      </w:pPr>
      <w:r>
        <w:rPr>
          <w:rFonts w:ascii="Arial" w:cs="Arial" w:eastAsia="Arial" w:hAnsi="Arial"/>
          <w:sz w:val="13"/>
          <w:szCs w:val="13"/>
          <w:color w:val="auto"/>
        </w:rPr>
        <w:t>Commercial loan relationships in excess of $7.5 million in total credit exposure must be approved by our Senior Loan Committee, which is comprised of the Director of Commercial Credit (Chief Credit Officer or Senior Credit Officer may substitute) and the Commercial Banking Group Executive (Chief Executive Officer may substitute). Any loan submitted for Senior Loan Committee approval should have the prior approval of the Relationship Manager, the Market President (Commercial Banking Group Executive may substitute) and their assigned Senior Credit Officer. Loans in excess of $15.0 million in total credit exposure must be approved by the Executive Loan Committee comprised of the Chief Executive Officer, Commercial Banking Group Executive, Chief Credit Officer, the Director of Commercial Credit and the Senior Credit Officers not involved with the credit. A quorum consists of at least three members, one of whom must be either the Chief Credit Officer or the Senior Credit Officer. A 70% vote is required for approval. Total credit exposure in a single loan or group of loans to related borrowers exceeding 60% of the Bank’s legal lending limit (currently approximately $45.0 million) must be approved by the Bank's Board of Directors. The bank has no relationships currently in excess of this limit.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Investment Policy and Procedures</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Bank invests in various securities based on investment policies that have been approved by our Board of Directors and adhere to bank regulations. These securities include: United States Treasury obligations, securities of various federal agencies, including mortgage-backed securities, callable agency securities, certain certificates of deposit of insured banks and savings institutions, municipal bonds, investment grade corporate bonds and commercial paper, and federal funds. See “How We Are Regulated” below for a discussion of additional restrictions on our investment activities.</w:t>
      </w:r>
    </w:p>
    <w:p>
      <w:pPr>
        <w:spacing w:after="0" w:line="25" w:lineRule="exact"/>
        <w:rPr>
          <w:sz w:val="20"/>
          <w:szCs w:val="20"/>
          <w:color w:val="auto"/>
        </w:rPr>
      </w:pPr>
    </w:p>
    <w:p>
      <w:pPr>
        <w:jc w:val="both"/>
        <w:spacing w:after="0" w:line="322" w:lineRule="auto"/>
        <w:rPr>
          <w:sz w:val="20"/>
          <w:szCs w:val="20"/>
          <w:color w:val="auto"/>
        </w:rPr>
      </w:pPr>
      <w:r>
        <w:rPr>
          <w:rFonts w:ascii="Arial" w:cs="Arial" w:eastAsia="Arial" w:hAnsi="Arial"/>
          <w:sz w:val="11"/>
          <w:szCs w:val="11"/>
          <w:color w:val="auto"/>
        </w:rPr>
        <w:t>Our Chief Executive Officer and Chief Financial Officer are responsible for the management of our investment portfolio, subject to the direction and guidance of the Board of Directors. These officers consider various factors when making decisions, including the marketability, maturity and tax consequences of the proposed investment. The maturity structure of investments will be affected by various market conditions, including the current and anticipated slope of the yield curve, the level of interest rates, the trend of new deposit inflows and the anticipated demand for funds via deposit withdrawals and loan originations and purchases.</w:t>
      </w:r>
    </w:p>
    <w:p>
      <w:pPr>
        <w:jc w:val="both"/>
        <w:spacing w:after="0" w:line="274" w:lineRule="auto"/>
        <w:rPr>
          <w:sz w:val="20"/>
          <w:szCs w:val="20"/>
          <w:color w:val="auto"/>
        </w:rPr>
      </w:pPr>
      <w:r>
        <w:rPr>
          <w:rFonts w:ascii="Arial" w:cs="Arial" w:eastAsia="Arial" w:hAnsi="Arial"/>
          <w:sz w:val="13"/>
          <w:szCs w:val="13"/>
          <w:color w:val="auto"/>
        </w:rPr>
        <w:t>The general objectives of our investment portfolio are to provide liquidity when loan demand is high, to assist in maintaining earnings when loan demand is low and to optimize earnings while satisfactorily managing risk, including credit risk, reinvestment risk, liquidity risk and interest rate risk.</w:t>
      </w:r>
    </w:p>
    <w:p>
      <w:pPr>
        <w:spacing w:after="0" w:line="1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Specific to our investment portfolio, we do not currently participate in hedging programs, stand-alone contracts for interest rate caps, floors or swaps or other activities involving the use of off-balance sheet derivative financial instruments and have no present intention to do so. Further, we do not invest in securities which are not rated investment grade.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HOW WE ARE REGULATED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HomeTrust Bancshares, Inc. is subject to examination and supervision by, and is required to file certain reports with, the Federal Reserve. HomeTrust Bancshares, Inc. is also subject to the rules and regulations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SEC under the federal securities laws.</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Bank is subject to examination and regulation primarily by the NCCOB and the Federal Reserve. This system of regulation and supervision establishes a comprehensive framework of activities in which the Bank may engage and is intended primarily for the protection of depositors and the FDIC deposit insurance fund. The Bank is periodically examined by the NCCOB and the Federal Reserve to ensure that it satisfies applicable standards with respect to its capital adequacy, assets, management, earnings, liquidity and sensitivity to market interest rates. The NCCOB and the Federal Reserve also regulate the branching authority of the Bank. The Bank’s relationship with its depositors and borrowers is regulated by federal consumer protection laws. The CFPB issues regulations under those laws, but as an institution with assets of less than $10 billion, the Bank is generally subject to supervision and enforcement by the Federal Reserve with respect to compliance with federal consumer financial protection laws and CFPB regulations. The Bank’s relationship with its depositors and borrowers is also regulated by state laws with respect to certain matters, including the enforceability of loan documents.</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following is a brief description of certain laws and regulations applicable to HomeTrust Bancshares, Inc. and the Bank. Descriptions of laws and regulations here and elsewhere in this report do not purport to be complete and are qualified in their entirety by reference to the actual laws and regulations. Legislation is introduced from time to time in the United States Congress, the North Carolina legislature, and the legislatures of other states that may affect the operations of HomeTrust Bancshares and the Bank. In addition, the regulations that govern us may be amended from time to time. Any such legislation or regulatory changes in the future could adversely affect our operations and financial condition.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Financial Regulatory Reform. </w:t>
      </w:r>
      <w:r>
        <w:rPr>
          <w:rFonts w:ascii="Arial" w:cs="Arial" w:eastAsia="Arial" w:hAnsi="Arial"/>
          <w:sz w:val="13"/>
          <w:szCs w:val="13"/>
          <w:color w:val="auto"/>
        </w:rPr>
        <w:t>The Dodd-Frank Act, which was enacted in July 2010, imposed various restrictions and an expanded framework of regulatory oversight for financial entities, including depository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institutions and their holding companies.</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May 2018, the Economic Growth, Regulatory Relief and Consumer Protection Act (the “Regulatory Relief Act”), was enacted to modify or remove certain financial reform rules and regulations, including some of those implemented under the Dodd-Frank Act. While the Regulatory Relief Act maintains most of the regulatory structure established by the Dodd-Frank Act, it amends certain aspects of the regulatory framework for depository institutions, such as the Bank, with assets of less than $10 billion and for those with assets of more than $50 billion.</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Regulatory Relief Act, among other matters, expands the definition of qualified mortgages that may be held by a financial institution and simplifies the regulatory capital rules for financial institutions and their holding companies with total consolidated assets of less than $10 billion by instructing the federal banking regulators to establish a single CBLR. In September 2019, the regulatory agencies, including the NCCOB and FRB, adopted a final rule, effective January 1, 2020, creating the CBLR for institutions with total consolidated assets of less than $10 billion and that meet other qualifying criteria. The CBLR provides for a simple measure of capital adequacy for qualifying institutions. According to the final rule, qualifying institutions that elect to use the CBLR framework and that maintain a leverage ratio of greater than 9% will be considered to have satisfied the generally applicable risk-based and leverage capital requirements in the regulatory agencies' capital rules, and to have met the capital requirements for the well capitalized category under the agencies' prompt corrective action framework. The Bank has not currently elected to adopt the CBLR framework, but may consider that election in the future.</w:t>
      </w:r>
    </w:p>
    <w:p>
      <w:pPr>
        <w:spacing w:after="0" w:line="3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regulatory agencies have adopted a rule that provides a banking organization the option to phase-in over a five-year period the effects of CECL on its regulatory capital upon the adoption of the standard. The Company adopted the five-year phase in provision as of July 1, 2020.</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March 30, 2023, the CFPB issued a final rule amending Regulation B to implement changes to the Equal Credit Opportunity Act made by Section 1071 of the Dodd-Frank Act. Under the new rule, covered financial institutions are required to collect and report to the CFPB data on credit applications for small businesses, including those that are owned by women or minorities. Congress enacted Section 1071 for the purpose of facilitating enforcement of fair lending laws and enabling communities, governmental entities, and creditors to identify business and community development needs and opportunities for women-owned, minority-owned, and small businesses.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Regulation of HomeTrust Bank</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Bank is subject to regulation and oversight by the NCCOB and the Federal Reserve extending to all aspects of its operations, including but not limited to requirements concerning an ACL, lending and mortgage operations, interest rates received on loans and paid on deposits, the payment of dividends to the Company, loans to officers and directors, mergers and acquisitions, capital, and the opening and closing of branches. See "Capital Requirements for HomeTrust Bank" and "Limitations on Dividends" for additional details.</w:t>
      </w:r>
    </w:p>
    <w:p>
      <w:pPr>
        <w:spacing w:after="0" w:line="4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a state-chartered institution, the Bank is subject to periodic examinations by the NCCOB and the Federal Reserve. During these examinations, the examiners assess compliance with state and federal banking regulations and the safety and soundness standards on matters such as loan underwriting and documentation, asset quality, earnings standards, internal controls and audit systems, interest rate risk exposure, and employee compensation and benefits. Any institution that fails to comply with these standards must submit a compliance plan.</w:t>
      </w:r>
    </w:p>
    <w:p>
      <w:pPr>
        <w:spacing w:after="0" w:line="46"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The Bank is subject to a statutory lending limit on aggregate loans to one person or a group of persons combined because of certain relationships and common interests. That limit is generally equal to 15% of unimpaired capital and surplus, which was $74.9 million as of June 30, 2023. The limit is increased to 25% for loans fully secured by readily marketable collateral</w:t>
      </w:r>
      <w:r>
        <w:rPr>
          <w:rFonts w:ascii="Arial" w:cs="Arial" w:eastAsia="Arial" w:hAnsi="Arial"/>
          <w:sz w:val="11"/>
          <w:szCs w:val="11"/>
          <w:b w:val="1"/>
          <w:bCs w:val="1"/>
          <w:color w:val="auto"/>
        </w:rPr>
        <w:t>.</w:t>
      </w:r>
      <w:r>
        <w:rPr>
          <w:rFonts w:ascii="Arial" w:cs="Arial" w:eastAsia="Arial" w:hAnsi="Arial"/>
          <w:sz w:val="11"/>
          <w:szCs w:val="11"/>
          <w:color w:val="auto"/>
        </w:rPr>
        <w:t xml:space="preserve"> The Bank has no lending relationships in excess of its lending limit.</w:t>
      </w:r>
    </w:p>
    <w:p>
      <w:pPr>
        <w:jc w:val="both"/>
        <w:spacing w:after="0" w:line="256" w:lineRule="auto"/>
        <w:rPr>
          <w:sz w:val="20"/>
          <w:szCs w:val="20"/>
          <w:color w:val="auto"/>
        </w:rPr>
      </w:pPr>
      <w:r>
        <w:rPr>
          <w:rFonts w:ascii="Arial" w:cs="Arial" w:eastAsia="Arial" w:hAnsi="Arial"/>
          <w:sz w:val="13"/>
          <w:szCs w:val="13"/>
          <w:color w:val="auto"/>
        </w:rPr>
        <w:t>The NCCOB and the Federal Reserve have enforcement responsibility over the Bank and the authority to bring actions against the Bank and certain institution-affiliated parties, including officers, directors, and employees, for violations of laws or regulations and for engaging in unsafe and unsound practices. Formal enforcement actions include the issuance of a capital directive or cease and desist order, civil money penalties, removal of officers and/or directors, and receivership or conservatorship of the institution.</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Insurance of Accounts and Regulation by the FDIC. </w:t>
      </w:r>
      <w:r>
        <w:rPr>
          <w:rFonts w:ascii="Arial" w:cs="Arial" w:eastAsia="Arial" w:hAnsi="Arial"/>
          <w:sz w:val="11"/>
          <w:szCs w:val="11"/>
          <w:color w:val="auto"/>
        </w:rPr>
        <w:t>The deposit insurance fund of the FDIC insures deposit accounts in HomeTrust Bank up to $250,000 per separately insured deposit ownership right or category.</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Under the FDIC’s risk-based assessment system, insured institutions are assessed based on supervisory ratings and in general, stronger institutions pay lower rates while riskier institutions pay higher rates. Currently, assessment rates (inclusive of certain possible adjustments)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13"/>
          <w:szCs w:val="13"/>
          <w:color w:val="auto"/>
        </w:rPr>
        <w:t>for an institution with total assets of less than $10.0 billion range from 1.5 to 30.0 basis points of each institution’s total average consolidated assets less average tangible equity (subject to upward adjustment for certain debt). Extraordinary growth in insured deposits during the first and second quarters of 2020 caused the Deposit Insurance Fund reserve ratio to decline below the statutory minimum of 1.35% as of June 30, 2020. In September 2020, the FDIC Board of Directors adopted a Restoration Plan to restore the reserve ratio to at least 1.35% within eight years, absent extraordinary circumstances, as required by the Federal Deposit Insurance Act. The Restoration Plan maintained the assessment rate schedules in place at the time and required the FDIC to update its analysis and projections for the deposit insurance fund balance and reserve ratio at least semiannually.</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the semiannual update for the Restoration Plan in June 2022, the FDIC projected that the reserve ratio was at risk of not reaching the statutory minimum of 1.35% by September 30, 2028. Based on this update, the FDIC Board of Directors approved an Amended Restoration Plan, and concurrently proposed an increase in initial base deposit insurance assessment rate schedules uniformly by 2 basis points, applicable to all insured depository institutions.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October 2022, the FDIC Board of Directors finalized the increase with an effective date of January 1, 2023, applicable to the first quarterly assessment period of 2023. The revised assessment rate schedules are intended to increase the likelihood that the reserve ratio of the DIF reaches the statutory minimum level of 1.35% by September 30, 2028. Revised assessment rate schedules will remain in effect unless and until the reserve ratio meets or exceeds 2%, absent further action by the FDIC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Increases in the assessment rates for deposit insurance adversely affect the Company's results of operations. Management cannot predict what assessment rates will be in the future.</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our deposit insurance.</w:t>
      </w:r>
    </w:p>
    <w:p>
      <w:pPr>
        <w:spacing w:after="0" w:line="1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Transactions with Related Parties. </w:t>
      </w:r>
      <w:r>
        <w:rPr>
          <w:rFonts w:ascii="Arial" w:cs="Arial" w:eastAsia="Arial" w:hAnsi="Arial"/>
          <w:sz w:val="13"/>
          <w:szCs w:val="13"/>
          <w:color w:val="auto"/>
        </w:rPr>
        <w:t>Federal laws strictly limit the ability of banks to engage in certain transactions with their affiliates, including their bank holding companies. Transactions between the Bank and its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affiliates are required to be on terms as favorable to the Bank as transactions with non-affiliates. Certain of these transactions, such as loans to an affiliate, are restricted to a percentage of the Bank's capital, and loans to affiliates require eligible collateral in specified amounts. HomeTrust Bancshares, Inc. is an affiliate of the Bank.</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Federal law generally prohibits loans by HomeTrust Bancshares to its executive officers and directors, but there is a specific exception for loans made by HomeTrust Bank to its executive officers and directors in compliance with federal banking laws. However, HomeTrust Bank’s authority to extend credit to its executive officers, directors and 10% stockholders (“insiders”), as well as entities those insiders control, is limited. The individual and aggregate amounts of loans that HomeTrust Bank may make to insiders are based, in part, on HomeTrust Bank’s capital level and require that certain Board approval procedures be followed. Such loans are required to be made on terms substantially the same as those offered to unaffiliated individuals and not involve more than the normal risk of repayment. There is an exception for loans made pursuant to a benefit or compensation program that is widely available to all employees of the institution and does not give preference to insiders over other employees. Loans to executive officers are subject to additional limitations based on the type of loan involved.</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Capital Requirements for HomeTrust Bank. </w:t>
      </w:r>
      <w:r>
        <w:rPr>
          <w:rFonts w:ascii="Arial" w:cs="Arial" w:eastAsia="Arial" w:hAnsi="Arial"/>
          <w:sz w:val="13"/>
          <w:szCs w:val="13"/>
          <w:color w:val="auto"/>
        </w:rPr>
        <w:t>The Bank is required to maintain specified levels of regulatory capital under federal banking regulations. The capital adequacy requirements are quantitative measures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established by regulation that require the Bank to maintain minimum amounts and ratios of capital. Failure to meet minimum capital requirements can initiate certain mandatory and possibly additional discretionary actions by bank regulators that, if undertaken, could have a direct material effect on the Company's financial statements.</w:t>
      </w:r>
    </w:p>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Under the capital regulations, the minimum required capital ratios for the Company and the Bank are (i) a CETI capital ratio of 4.50%; (ii) a Tier 1 capital ratio of 6.00%; (iii) a total capital ratio of 8.00%; and (iv) a leverage ratio (the ratio of Tier 1 capital to average total consolidated assets) of 4.00%. CET1 generally consists of common stock and retained earnings. Tier 1 capital generally consists of CET1 and noncumulative perpetual preferred stock. Tier 2 capital generally consists of other preferred stock and subordinated debt meeting certain conditions plus an amount of the ACL up to 1.25% of assets. Total capital is the sum of Tier 1 and Tier 2 capital. The CET1 capital ratio, the Tier 1 capital ratio and the total capital ratio are sometimes referred to as the risk-based capital ratios and are determined based on risk-weightings of assets and certain off-balance sheet items that range from 0% to 1,250%.</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Mortgage servicing and deferred tax assets over designated percentages of CET1 are deducted from capital. Because of our asset size, we were eligible to elect and have elected to permanently opt-out of the inclusion of unrealized gains and losses on available for sale debt and equity securities in our capital calculations.</w:t>
      </w:r>
    </w:p>
    <w:p>
      <w:pPr>
        <w:spacing w:after="0" w:line="41"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In addition to the risk-based capital ratios, the Bank must maintain a capital conservation buffer consisting of additional CET1 capital greater than 2.50% of risk-weighted assets above the minimum levels for such ratios in order to avoid limitations on paying dividends, engaging in share repurchases, and paying discretionary bonuses based on percentages of eligible retained income that could be utilized for such actions. To meet the minimum capital ratios and the capital conservation buffer requirements, the capital ratios applicable to the Company and the Bank are (i) a CETI capital ratio greater than 7.00%; (ii) a Tier 1 capital ratio greater than 8.50%; (iii) a total capital ratio greater than 10.50%; and (iv) a Tier 1 leverage ratio greater than 4.00%. As of June 30, 2023, the Bank's risk-based capital exceeded the required capital contribution buffer.</w:t>
      </w:r>
    </w:p>
    <w:p>
      <w:pPr>
        <w:spacing w:after="0" w:line="1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To be considered “well capitalized,” a depository institution must have a Tier 1 capital ratio of at least 8.00%, a total capital ratio of at least 10.00%, a CET1 capital ratio of at least 6.50% and a leverage ratio of at least 5.00% and not be subject to an individualized order, directive or agreement under which its primary federal banking regulator requires it to maintain a specific capital level. Institutions that are not well capitalized are subject to certain restrictions on brokered deposits and interest rates on deposits. Under certain circumstances, regulators are required to take certain actions against banks that fail to meet the minimum required capital ratios. Any such institution must submit a capital restoration plan and, until such plan is approved, may not increase its assets, acquire another depository institution, establish a branch or engage in any new activities, or make capital distributions. As of June 30, 2023, HomeTrust Bank met the requirements to be “well capitalized” and met the capital conservation buffer requirement. For additional information regarding the Bank’s required and actual capital levels at June 30, 2023, see “Note 18 – Regulatory Capital Matters” of the Notes to Consolidated Financial Statements included in Item 8 in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t>this report.</w:t>
      </w:r>
    </w:p>
    <w:p>
      <w:pPr>
        <w:spacing w:after="0" w:line="6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Federal Home Loan Bank System. </w:t>
      </w:r>
      <w:r>
        <w:rPr>
          <w:rFonts w:ascii="Arial" w:cs="Arial" w:eastAsia="Arial" w:hAnsi="Arial"/>
          <w:sz w:val="13"/>
          <w:szCs w:val="13"/>
          <w:color w:val="auto"/>
        </w:rPr>
        <w:t>HomeTrust Bank is a member of the FHLB of Atlanta, which is one of the 11 regional banks in the FHLB System that administer the home financing credit function of financial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institutions. The FHLBs are subject to the oversight of the FHFA and each FHLB serves as a reserve or central bank for its members within its assigned region. The FHLBs are funded primarily from proceeds derived from the sale of consolidated obligations of the FHLB System and make loans or advances to members in accordance with policies and procedures established by the Board of Directors of the FHLB, which are subject to the oversight of the FHFA. All advances from the FHLB are required to be fully secured by sufficient collateral as determined by the FHLB. In addition, all long-term advances are required to provide funds for residential home financing.</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At June 30, 2023, the Bank held $10.1 million in FHLB stock that was in compliance with the holding requirements.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FHLBs continue to contribute to low- and moderately-priced housing programs through direct loans or interest subsidies on advances targeted for community investment and low- and moderate-income housing projects. These contributions have adversely affected the level of FHLB dividends paid and could continue to do so in the future. These contributions could also have an adverse effect on the value of FHLB stock in the future. A reduction in value of the Bank’s FHLB stock may result in a decrease in net income and possibly capital.</w:t>
      </w:r>
    </w:p>
    <w:p>
      <w:pPr>
        <w:spacing w:after="0" w:line="31" w:lineRule="exact"/>
        <w:rPr>
          <w:sz w:val="20"/>
          <w:szCs w:val="20"/>
          <w:color w:val="auto"/>
        </w:rPr>
      </w:pPr>
    </w:p>
    <w:p>
      <w:pPr>
        <w:jc w:val="both"/>
        <w:spacing w:after="0" w:line="292" w:lineRule="auto"/>
        <w:rPr>
          <w:sz w:val="20"/>
          <w:szCs w:val="20"/>
          <w:color w:val="auto"/>
        </w:rPr>
      </w:pPr>
      <w:r>
        <w:rPr>
          <w:rFonts w:ascii="Arial" w:cs="Arial" w:eastAsia="Arial" w:hAnsi="Arial"/>
          <w:sz w:val="11"/>
          <w:szCs w:val="11"/>
          <w:b w:val="1"/>
          <w:bCs w:val="1"/>
          <w:i w:val="1"/>
          <w:iCs w:val="1"/>
          <w:color w:val="auto"/>
        </w:rPr>
        <w:t xml:space="preserve">Commercial Real Estate Lending Concentrations. </w:t>
      </w:r>
      <w:r>
        <w:rPr>
          <w:rFonts w:ascii="Arial" w:cs="Arial" w:eastAsia="Arial" w:hAnsi="Arial"/>
          <w:sz w:val="11"/>
          <w:szCs w:val="11"/>
          <w:color w:val="auto"/>
        </w:rPr>
        <w:t>The federal banking agencies have issued guidance on sound risk management practices for concentrations in commercial real estate lending. The particular focus is 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exposure to commercial real estate loans that are dependent on the cash flows from the real estate held as collateral and that are likely to be sensitive to conditions in the commercial real estate market (as opposed to real estate collateral held as a secondary source of repayment or as an abundance of caution). The purpose of the guidance is not to limit a bank’s commercial real estate lending but to guide banks in developing risk management practices and capital levels commensurate with the level and nature of real estate concentrations. The guidance directs the Federal Reserve and other bank regulatory agencies to focus their supervisory resources on institutions that may have significant commercial real estate loan concentration risk. A bank that has experienced rapid growth in commercial real estate lending, has notable exposure to a specific type of commercial real estate loan, or is approaching or exceeding the following supervisory criteria may be identified for further supervisory analysis with respect to real estate concentration risk:</w:t>
      </w:r>
    </w:p>
    <w:p>
      <w:pPr>
        <w:spacing w:after="0" w:line="2" w:lineRule="exact"/>
        <w:rPr>
          <w:sz w:val="20"/>
          <w:szCs w:val="20"/>
          <w:color w:val="auto"/>
        </w:rPr>
      </w:pPr>
    </w:p>
    <w:p>
      <w:pPr>
        <w:ind w:left="260" w:hanging="255"/>
        <w:spacing w:after="0"/>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Total reported loans for construction, land development and other land represent 100% or more of the bank’s total regulatory capital; or</w:t>
      </w:r>
    </w:p>
    <w:p>
      <w:pPr>
        <w:spacing w:after="0" w:line="6" w:lineRule="exact"/>
        <w:rPr>
          <w:rFonts w:ascii="Arial" w:cs="Arial" w:eastAsia="Arial" w:hAnsi="Arial"/>
          <w:sz w:val="13"/>
          <w:szCs w:val="13"/>
          <w:color w:val="auto"/>
        </w:rPr>
      </w:pPr>
    </w:p>
    <w:p>
      <w:pPr>
        <w:ind w:left="260" w:hanging="255"/>
        <w:spacing w:after="0" w:line="241" w:lineRule="auto"/>
        <w:tabs>
          <w:tab w:leader="none" w:pos="251" w:val="left"/>
        </w:tabs>
        <w:numPr>
          <w:ilvl w:val="0"/>
          <w:numId w:val="6"/>
        </w:numPr>
        <w:rPr>
          <w:rFonts w:ascii="Arial" w:cs="Arial" w:eastAsia="Arial" w:hAnsi="Arial"/>
          <w:sz w:val="13"/>
          <w:szCs w:val="13"/>
          <w:color w:val="auto"/>
        </w:rPr>
      </w:pPr>
      <w:r>
        <w:rPr>
          <w:rFonts w:ascii="Arial" w:cs="Arial" w:eastAsia="Arial" w:hAnsi="Arial"/>
          <w:sz w:val="13"/>
          <w:szCs w:val="13"/>
          <w:color w:val="auto"/>
        </w:rPr>
        <w:t>Total commercial real estate loans (as defined in the guidance) represent 300% or more of the bank’s total regulatory capital and the outstanding balance of the bank’s commercial real estate loan portfolio has increased 50% or more during the prior 36 months.</w:t>
      </w:r>
    </w:p>
    <w:p>
      <w:pPr>
        <w:spacing w:after="0" w:line="50"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The guidance provides that the strength of an institution’s lending and risk management practices with respect to such concentrations will be taken into account in supervisory guidance on evaluation of capital adequacy. As of June 30, 2023, HomeTrust Bank’s aggregate recorded loan balances for construction, land development and land loans were 94.3% of regulatory capital. In addition, at June 30, 2023, HomeTrust Bank’s commercial real estate loans, as defined by the guidance, were 297.1% of regulatory capital. See "Risk Factors – The level of our commercial real estate portfolio may subject us to additional regulatory scrutiny."</w:t>
      </w:r>
    </w:p>
    <w:p>
      <w:pPr>
        <w:spacing w:after="0" w:line="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b w:val="1"/>
          <w:bCs w:val="1"/>
          <w:i w:val="1"/>
          <w:iCs w:val="1"/>
          <w:color w:val="auto"/>
        </w:rPr>
        <w:t xml:space="preserve">Community Reinvestment and Consumer Protection Laws. </w:t>
      </w:r>
      <w:r>
        <w:rPr>
          <w:rFonts w:ascii="Arial" w:cs="Arial" w:eastAsia="Arial" w:hAnsi="Arial"/>
          <w:sz w:val="12"/>
          <w:szCs w:val="12"/>
          <w:color w:val="auto"/>
        </w:rPr>
        <w:t>In connection with its deposit-taking, lending and other activities, the Bank is subject to federal laws designed to protect consumers and promote lending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various purposes. The CFPB issues regulations and standards under these federal consumer protection laws, which include the Equal Credit Opportunity Act, the Truth-in-Lending Act, the Home Mortgage Disclosure Act, the Real Estate Settlement Procedures Act and others. The CFPB has promulgated a number of proposed and final regulations under these laws that affect our consumer businesses. Among these regulatory initiatives are final regulations setting “ability to repay” and “qualified mortgage” standards for residential mortgage loans and establishing new mortgage loan servicing and loan originator compensation standards. In addition, customer privacy regulations limit the ability of the Bank to disclose nonpublic consumer information to non-affiliated third parties. These regulations require disclosure of privacy policies and allow consumers to prevent certain personal information from being shared with non-affiliated parties.</w:t>
      </w:r>
    </w:p>
    <w:p>
      <w:pPr>
        <w:spacing w:after="0" w:line="24"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The Community Reinvestment Act of 1977 (“CRA”) requires the appropriate federal bank regulatory agency to assess a bank’s performance under the CRA in meeting the credit needs of the community serviced by the bank, including low- and moderate-income neighborhoods. The regulatory agency’s assessment of the bank’s CRA record is made available to the public. Further, a bank’s CRA performance must be considered in connection with an application by the bank to, among other things, establish a new branch office that will accept deposits, relocate an existing office or merge or consolidate with, or acquire the assets or assume the liabilities of, a federally regulated financial institution. An unsatisfactory rating may be the basis for denial of certain applications. The Bank received a “satisfactory” rating during its most recent CRA examination.</w:t>
      </w:r>
    </w:p>
    <w:p>
      <w:pPr>
        <w:spacing w:after="0" w:line="1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On May 5, 2022, the federal bank regulatory agencies jointly issued a proposal to strengthen and modernize regulations implementing the CRA. The proposed regulations included major changes from the current regulations and will be effective on the first day of the first calendar quarter that begins at least 60 days after the publication date of the final rules.</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BSA / Anti-Money Laundering Laws. </w:t>
      </w:r>
      <w:r>
        <w:rPr>
          <w:rFonts w:ascii="Arial" w:cs="Arial" w:eastAsia="Arial" w:hAnsi="Arial"/>
          <w:sz w:val="13"/>
          <w:szCs w:val="13"/>
          <w:color w:val="auto"/>
        </w:rPr>
        <w:t>The Bank is subject to the BSA and other anti-money laundering laws and regulations, including the USA PATRIOT Act of 2001. These laws and regulations require the Bank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implement policies, procedures, and controls to detect, prevent, and report money laundering and terrorist financing and to verify the identity of their customers. Violations of these requirements can result in substantial civil and criminal sanctions. In addition, provisions of the USA PATRIOT Act require the federal financial institution regulatory agencies to consider the effectiveness of a financial institution's anti-money laundering activities when reviewing mergers and acquisitions.</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AMLA, which amends the BSA, was enacted in January 2021. The AMLA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i w:val="1"/>
          <w:iCs w:val="1"/>
          <w:color w:val="auto"/>
        </w:rPr>
        <w:t>Environmental Issues Associated with Real Estate Lending</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Comprehensive Environmental Response, Compensation and Liability Act (“CERCLA”), is a federal statute that generally imposes strict liability on all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 and present “owners and operators” of sites containing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13"/>
          <w:szCs w:val="13"/>
          <w:color w:val="auto"/>
        </w:rPr>
        <w:t>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To the extent that legal uncertainty exists in this area, all creditors, including the Bank, that have made loans secured by properties with potential, hazardous waste contamination could be subject to liability for cleanup costs, which could substantially exceed the value of the collateral property.</w:t>
      </w:r>
    </w:p>
    <w:p>
      <w:pPr>
        <w:spacing w:after="0" w:line="4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 xml:space="preserve">Limitations on Dividends. </w:t>
      </w:r>
      <w:r>
        <w:rPr>
          <w:rFonts w:ascii="Arial" w:cs="Arial" w:eastAsia="Arial" w:hAnsi="Arial"/>
          <w:sz w:val="11"/>
          <w:szCs w:val="11"/>
          <w:color w:val="auto"/>
        </w:rPr>
        <w:t>NCCOB and Federal Reserve regulations impose various restrictions on the ability of the Bank to pay dividends. The Bank generally may pay dividends during any calendar year in an amount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up to 100% of net income for the year-to-date plus retained net income for the two preceding years, without the approval of the Federal Reserve. If the Bank proposes to pay a dividend that will exceed this limitation, it must obtain the Federal Reserve's prior approval. The Federal Reserve may object to a proposed dividend based on safety and soundness concerns. No insured depository institution may pay a dividend if, after paying the dividend, the institution would be undercapitalized. In addition, as noted above, if the Bank does not have the required capital conservation buffer, its ability to pay dividends to HomeTrust Bancshares, Inc. will be limited.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Holding Company Regulation</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a bank holding company under the BHCA, HomeTrust Bancshares, Inc. is subject to regulation, supervision, and examination by the Federal Reserve. The Federal Reserve has enforcement authority with respect to HomeTrust Bancshares, Inc. similar to its enforcement authority over the Bank. We are required to file quarterly reports with the Federal Reserve and provide additional information as the Federal Reserve may require. The Federal Reserve may examine us, and any of our subsidiaries, and charge us for the cost of the examination. The Federal Reserve also has extensive enforcement authority over bank holding companies, including, among other things, the ability to assess civil money penalties, to issue cease and desist or removal orders and to require that a holding company divest subsidiaries (including its bank subsidiaries). In general, enforcement actions may be initiated for violations of law and regulations and unsafe or unsound practices. HomeTrust Bancshares, Inc. is also required to file certain reports with, and otherwise comply with the rules and regulations of, the SEC.</w:t>
      </w:r>
    </w:p>
    <w:p>
      <w:pPr>
        <w:spacing w:after="0" w:line="46" w:lineRule="exact"/>
        <w:rPr>
          <w:sz w:val="20"/>
          <w:szCs w:val="20"/>
          <w:color w:val="auto"/>
        </w:rPr>
      </w:pPr>
    </w:p>
    <w:p>
      <w:pPr>
        <w:jc w:val="both"/>
        <w:spacing w:after="0" w:line="299" w:lineRule="auto"/>
        <w:rPr>
          <w:sz w:val="20"/>
          <w:szCs w:val="20"/>
          <w:color w:val="auto"/>
        </w:rPr>
      </w:pPr>
      <w:r>
        <w:rPr>
          <w:rFonts w:ascii="Arial" w:cs="Arial" w:eastAsia="Arial" w:hAnsi="Arial"/>
          <w:sz w:val="11"/>
          <w:szCs w:val="11"/>
          <w:b w:val="1"/>
          <w:bCs w:val="1"/>
          <w:i w:val="1"/>
          <w:iCs w:val="1"/>
          <w:color w:val="auto"/>
        </w:rPr>
        <w:t xml:space="preserve">The Bank Holding Company Act. </w:t>
      </w:r>
      <w:r>
        <w:rPr>
          <w:rFonts w:ascii="Arial" w:cs="Arial" w:eastAsia="Arial" w:hAnsi="Arial"/>
          <w:sz w:val="11"/>
          <w:szCs w:val="11"/>
          <w:color w:val="auto"/>
        </w:rPr>
        <w:t>Under the BHCA, we are supervised by the Federal Reserve. The Federal Reserve has a policy that a bank holding company is required to serve as a source of financial and managerial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strength to its subsidiary banks and may not conduct its operations in an unsafe or unsound manner. In addition, the Dodd-Frank Act and earlier Federal Reserve policy provide that a bank holding company should serve as a source of strength to its subsidiary banks by having the ability to provide financial assistance to its subsidiary banks during periods of financial distress to the banks. A bank holding company's failure to meet its obligation to serve as a source of strength to its subsidiary banks will generally be considered by the Federal Reserve to be an unsafe and unsound banking practice or a violation of the Federal Reserve's regulations or both. No regulations have yet been proposed by the Federal Reserve to implement the source of strength doctrine required by the Dodd-Frank Act. HomeTrust Bancshares, Inc. and any subsidiaries that it may control are considered “affiliates” within the meaning of the Federal Reserve Act, and transactions between HomeTrust Bancshares, Inc. and affiliates are subject to numerous restrictions. With some exceptions, HomeTrust Bancshares, Inc. and its subsidiaries are prohibited from tying the provision of various services, such as extensions of credit, to other services offered by HomeTrust Bancshares, Inc. or by its affiliates.</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Permissible Activities. </w:t>
      </w:r>
      <w:r>
        <w:rPr>
          <w:rFonts w:ascii="Arial" w:cs="Arial" w:eastAsia="Arial" w:hAnsi="Arial"/>
          <w:sz w:val="13"/>
          <w:szCs w:val="13"/>
          <w:color w:val="auto"/>
        </w:rPr>
        <w:t>The business activities of HomeTrust Bancshares, Inc. are generally limited to those activities permissible for bank holding companies under Section 4(c)(8) of the BHCA, those permitted for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holding company under Section 4(f) of the BHCA, and certain additional activities authorized by regulation. The BHCA generally prohibits a financial holding company from acquiring direct or indirect ownership or control of more than 5% of the voting shares of any company which is not a bank or bank holding company. A bank holding company must obtain Federal Reserve approval before acquiring directly or indirectly, ownership or control of any voting shares of another bank or bank holding company if, after such acquisition, it would own or control more than 5% of such shares (unless it already owns or controls the majority of such shares).</w:t>
      </w:r>
    </w:p>
    <w:p>
      <w:pPr>
        <w:spacing w:after="0" w:line="48" w:lineRule="exact"/>
        <w:rPr>
          <w:sz w:val="20"/>
          <w:szCs w:val="20"/>
          <w:color w:val="auto"/>
        </w:rPr>
      </w:pPr>
    </w:p>
    <w:p>
      <w:pPr>
        <w:jc w:val="both"/>
        <w:spacing w:after="0" w:line="278" w:lineRule="auto"/>
        <w:rPr>
          <w:sz w:val="20"/>
          <w:szCs w:val="20"/>
          <w:color w:val="auto"/>
        </w:rPr>
      </w:pPr>
      <w:r>
        <w:rPr>
          <w:rFonts w:ascii="Arial" w:cs="Arial" w:eastAsia="Arial" w:hAnsi="Arial"/>
          <w:sz w:val="12"/>
          <w:szCs w:val="12"/>
          <w:b w:val="1"/>
          <w:bCs w:val="1"/>
          <w:i w:val="1"/>
          <w:iCs w:val="1"/>
          <w:color w:val="auto"/>
        </w:rPr>
        <w:t xml:space="preserve">Capital Requirements for HomeTrust Bancshares. </w:t>
      </w:r>
      <w:r>
        <w:rPr>
          <w:rFonts w:ascii="Arial" w:cs="Arial" w:eastAsia="Arial" w:hAnsi="Arial"/>
          <w:sz w:val="12"/>
          <w:szCs w:val="12"/>
          <w:color w:val="auto"/>
        </w:rPr>
        <w:t>As a bank holding company, HomeTrust Bancshares, Inc. is subject to the minimum regulatory capital requirements established by Federal Reserve regulation, which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generally are the same as capital requirements for the Bank. These capital requirements include provisions that might impact the ability of the Company to pay dividends to stockholders or repurchase shares. For a description of the capital regulations, see "Regulation of HomeTrust Bank – Capital Requirements for HomeTrust Bank" and “Note 18 – Regulatory Capital Matters” of the Notes to Consolidated Financial Statements included in Item 8 in this report. At June 30, 2023, HomeTrust Bancshares, Inc. exceeded its minimum regulatory capital requirements under Federal Reserve regulations.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Federal Securities Law. </w:t>
      </w:r>
      <w:r>
        <w:rPr>
          <w:rFonts w:ascii="Arial" w:cs="Arial" w:eastAsia="Arial" w:hAnsi="Arial"/>
          <w:sz w:val="13"/>
          <w:szCs w:val="13"/>
          <w:color w:val="auto"/>
        </w:rPr>
        <w:t>The common stock of HomeTrust Bancshares, Inc. is registered with the SEC under the Exchange Act. HomeTrust Bancshares, Inc. is subject to the information, proxy solicitation, insider trading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restrictions, and other requirements of the SEC under the Exchange Act.</w:t>
      </w:r>
    </w:p>
    <w:p>
      <w:pPr>
        <w:spacing w:after="0" w:line="41"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The SEC has adopted regulations and policies under the Exchange Act that seek to increase corporate responsibility, provide for enhanced penalties for accounting and auditing improprieties and protect investors by improving the accuracy and reliability of corporate disclosures in SEC filings. These regulations and policies include very specific additional disclosure requirements and mandate corporate governance practices.</w:t>
      </w:r>
    </w:p>
    <w:p>
      <w:pPr>
        <w:jc w:val="both"/>
        <w:spacing w:after="0" w:line="277" w:lineRule="auto"/>
        <w:rPr>
          <w:sz w:val="20"/>
          <w:szCs w:val="20"/>
          <w:color w:val="auto"/>
        </w:rPr>
      </w:pPr>
      <w:r>
        <w:rPr>
          <w:rFonts w:ascii="Arial" w:cs="Arial" w:eastAsia="Arial" w:hAnsi="Arial"/>
          <w:sz w:val="12"/>
          <w:szCs w:val="12"/>
          <w:b w:val="1"/>
          <w:bCs w:val="1"/>
          <w:i w:val="1"/>
          <w:iCs w:val="1"/>
          <w:color w:val="auto"/>
        </w:rPr>
        <w:t xml:space="preserve">Dividends. </w:t>
      </w:r>
      <w:r>
        <w:rPr>
          <w:rFonts w:ascii="Arial" w:cs="Arial" w:eastAsia="Arial" w:hAnsi="Arial"/>
          <w:sz w:val="12"/>
          <w:szCs w:val="12"/>
          <w:color w:val="auto"/>
        </w:rPr>
        <w:t>The Federal Reserve has issued a policy statement on the payment of cash dividends by bank holding companies, which expresses its view that although there are no specific regulations restricting dividend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payments by bank holding companies other than state corporate laws, a bank holding company must maintain an adequate capital position and generally should not pay cash dividends unless the company's net income for the past year is sufficient to fully fund the cash dividends and that the prospective rate of earnings appears consistent with the company's capital needs, asset quality, and overall financial condition. The Federal Reserve policy statement also indicates that it would be inappropriate for a company experiencing serious financial problems to borrow funds to pay dividends. As described above under "Regulation of HomeTrust Bank – Capital Requirements for HomeTrust Bank," the capital conservation buffer requirement can also restrict the ability of HomeTrust Bancshares, Inc. and the Bank to pay dividends.</w:t>
      </w:r>
    </w:p>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Stock Repurchases. </w:t>
      </w:r>
      <w:r>
        <w:rPr>
          <w:rFonts w:ascii="Arial" w:cs="Arial" w:eastAsia="Arial" w:hAnsi="Arial"/>
          <w:sz w:val="13"/>
          <w:szCs w:val="13"/>
          <w:color w:val="auto"/>
        </w:rPr>
        <w:t>A bank holding company, except for certain “well-capitalized” and highly rated bank holding companies, is required to give the Federal Reserve prior written notice of any purchase or redemption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its outstanding equity securities if the gross consideration for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3"/>
          <w:szCs w:val="13"/>
          <w:color w:val="auto"/>
        </w:rPr>
        <w:t>the purchase or redemption, when combined with the net consideration paid for all such purchases or redemptions during the preceding twelve months, is equal to 10% or more of its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Legislative and Regulatory Proposals. </w:t>
      </w:r>
      <w:r>
        <w:rPr>
          <w:rFonts w:ascii="Arial" w:cs="Arial" w:eastAsia="Arial" w:hAnsi="Arial"/>
          <w:sz w:val="13"/>
          <w:szCs w:val="13"/>
          <w:color w:val="auto"/>
        </w:rPr>
        <w:t>Any changes in the extensive regulatory scheme to which HomeTrust Bancshares, Inc. and the Bank are subject, whether by any of the federal banking agencies or Congress,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North Carolina legislature or NCCOB, or the legislatures or regulatory agencies of other states, could have a material effect on us, and we cannot predict what, if any, future actions may be taken by legislative or regulatory authorities or what impact such actions may have on us.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Federal Taxation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General</w:t>
      </w:r>
      <w:r>
        <w:rPr>
          <w:rFonts w:ascii="Arial" w:cs="Arial" w:eastAsia="Arial" w:hAnsi="Arial"/>
          <w:sz w:val="13"/>
          <w:szCs w:val="13"/>
          <w:color w:val="auto"/>
        </w:rPr>
        <w:t>. HomeTrust Bancshares Inc. and the Bank are subject to federal income taxation in the same general manner as other corporations, with some exceptions discussed below. The following discussion of federal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taxation is intended only to summarize material federal income tax matters and is not a comprehensive description of the tax rules applicable to HomeTrust Bancshares and HomeTrust Bank. See “Note 12 – Income Taxes" in the Notes to the Consolidated Financial Statements included in Item 8 of this Form 10-K for additional information.</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Method of Accounting</w:t>
      </w:r>
      <w:r>
        <w:rPr>
          <w:rFonts w:ascii="Arial" w:cs="Arial" w:eastAsia="Arial" w:hAnsi="Arial"/>
          <w:sz w:val="13"/>
          <w:szCs w:val="13"/>
          <w:color w:val="auto"/>
        </w:rPr>
        <w:t>. For federal income tax purposes, the Company currently reports its income and expenses on the accrual method of accounting and uses a fiscal year ending on June 30th for filing its federal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tax return.</w:t>
      </w:r>
    </w:p>
    <w:p>
      <w:pPr>
        <w:spacing w:after="0" w:line="4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b w:val="1"/>
          <w:bCs w:val="1"/>
          <w:i w:val="1"/>
          <w:iCs w:val="1"/>
          <w:color w:val="auto"/>
        </w:rPr>
        <w:t>Net Operating Loss Carryovers</w:t>
      </w:r>
      <w:r>
        <w:rPr>
          <w:rFonts w:ascii="Arial" w:cs="Arial" w:eastAsia="Arial" w:hAnsi="Arial"/>
          <w:sz w:val="12"/>
          <w:szCs w:val="12"/>
          <w:color w:val="auto"/>
        </w:rPr>
        <w:t>. A financial institution may carry back net operating losses to the preceding two taxable years and forward to the succeeding 20 taxable years. This provision applies to losses incurred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taxable years beginning after August 6, 1997. In 2009, IRC 172 (b) (1) was amended to allow businesses to carry back losses incurred in 2008 and 2009 for up to five years to offset 50% of the available income from the fifth year and 100% of the available income for the other four years. At June 30, 2023, we had $13.2 million of net operating loss carryforwards for federal income tax purposes.</w:t>
      </w:r>
    </w:p>
    <w:p>
      <w:pPr>
        <w:spacing w:after="0" w:line="3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Corporate Dividends-Received Deduction. </w:t>
      </w:r>
      <w:r>
        <w:rPr>
          <w:rFonts w:ascii="Arial" w:cs="Arial" w:eastAsia="Arial" w:hAnsi="Arial"/>
          <w:sz w:val="13"/>
          <w:szCs w:val="13"/>
          <w:color w:val="auto"/>
        </w:rPr>
        <w:t>HomeTrust Bancshares, Inc. files a consolidated return with the Bank. As a result, any dividends HomeTrust Bancshares, Inc. receives from the Bank will not be included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income to HomeTrust Bancshares, Inc. The corporate dividends-received deduction is 100%, or 65% in the case of dividends received from corporations with which a corporate recipient does not file a consolidated tax return, depending on the level of stock ownership of the payer of the dividend.</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 Taxation</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Georgia. </w:t>
      </w:r>
      <w:r>
        <w:rPr>
          <w:rFonts w:ascii="Arial" w:cs="Arial" w:eastAsia="Arial" w:hAnsi="Arial"/>
          <w:sz w:val="12"/>
          <w:szCs w:val="12"/>
          <w:color w:val="auto"/>
        </w:rPr>
        <w:t>The state of Georgia requires banks to file a bank tax return. As a multi-state bank, we pay taxes on the portion of revenue generated within the state. In 2023 and 2022 the tax rate was 5.75%.</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North Carolina. </w:t>
      </w:r>
      <w:r>
        <w:rPr>
          <w:rFonts w:ascii="Arial" w:cs="Arial" w:eastAsia="Arial" w:hAnsi="Arial"/>
          <w:sz w:val="13"/>
          <w:szCs w:val="13"/>
          <w:color w:val="auto"/>
        </w:rPr>
        <w:t>The state of North Carolina requires all corporations chartered or doing business in the state to pay a corporate tax. In 2023 and 2022 the tax rate was 2.5%.</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a corporation in North Carolina does business in North Carolina and in one or more other states, North Carolina taxes a fraction of the corporation’s income based on the amount of sales, payroll, and property it maintains within North Carolina. North Carolina franchise tax is levied on business corporations at the rate of $1.50 per $1,000 of the largest of the following three alternate bases: (i) the amount of the corporation’s capital stock, surplus, and undivided profits apportionable to the state; (ii) 55% of the appraised value of the corporation’s property in the state subject to local taxation; or (iii) the book value of the corporation’s real and tangible personal property in the state less any outstanding debt that was created to acquire or improve real property in the state.</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Any cash dividends, in excess of a certain exempt amount, that would be paid with respect to HomeTrust Bancshares common stock to a stockholder (including a partnership and certain other entities) who is a resident of North Carolina will be subject to the North Carolina income tax. Any distribution by a corporation from earnings according to percentage ownership is considered a dividend, and the definition of a dividend for North Carolina income tax purposes may not be the same as the definition of a dividend for federal income tax purposes. A corporate distribution may be treated as a dividend for North Carolina income tax purposes if it is paid from funds that exceed the corporation’s earned surplus and profits under certain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South Carolina. </w:t>
      </w:r>
      <w:r>
        <w:rPr>
          <w:rFonts w:ascii="Arial" w:cs="Arial" w:eastAsia="Arial" w:hAnsi="Arial"/>
          <w:sz w:val="11"/>
          <w:szCs w:val="11"/>
          <w:color w:val="auto"/>
        </w:rPr>
        <w:t>The state of South Carolina requires banks to file a bank tax return. As a multi-state bank, we pay taxes on the portion of revenue generated within the state. In 2023 and 2022 the tax rate was 4.5%.</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Tennessee</w:t>
      </w:r>
      <w:r>
        <w:rPr>
          <w:rFonts w:ascii="Arial" w:cs="Arial" w:eastAsia="Arial" w:hAnsi="Arial"/>
          <w:sz w:val="13"/>
          <w:szCs w:val="13"/>
          <w:color w:val="auto"/>
        </w:rPr>
        <w:t>. The state of Tennessee requires banks to file a franchise and excise tax form for financial institutions. The franchise tax is based on the portion of revenue generated in the state, the net worth of the Bank,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applicable franchise tax, which was $0.25 per $100 in 2023 and 2022. The excise tax is based on the taxable income (as defined by the state), the portion of revenue generated in the state, and the applicable excise tax, which was 6.5% in 2023 and 2022.</w:t>
      </w:r>
    </w:p>
    <w:p>
      <w:pPr>
        <w:spacing w:after="0" w:line="4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b w:val="1"/>
          <w:bCs w:val="1"/>
          <w:i w:val="1"/>
          <w:iCs w:val="1"/>
          <w:color w:val="auto"/>
        </w:rPr>
        <w:t>Virginia</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state of Virginia requires banks to file a bank franchise tax. The tax is based on the portion of capital deployed within the state and county level (as defined by the state) and was taxed at $1 per $100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taxable value in 2023 and 2022.</w:t>
      </w:r>
    </w:p>
    <w:p>
      <w:pPr>
        <w:spacing w:after="0" w:line="1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is subject to taxation via nexus in several other states where we do not have physical locations. The amount paid to these states is immaterial to the financial statements. If the percentage of Company revenues were to increase in these states, our state income tax provision would have an increased effect on our effective tax rate and results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The Company’s internet address is </w:t>
      </w:r>
      <w:r>
        <w:rPr>
          <w:rFonts w:ascii="Arial" w:cs="Arial" w:eastAsia="Arial" w:hAnsi="Arial"/>
          <w:sz w:val="13"/>
          <w:szCs w:val="13"/>
          <w:u w:val="single" w:color="auto"/>
          <w:color w:val="auto"/>
        </w:rPr>
        <w:t>www.htb.com</w:t>
      </w:r>
      <w:r>
        <w:rPr>
          <w:rFonts w:ascii="Arial" w:cs="Arial" w:eastAsia="Arial" w:hAnsi="Arial"/>
          <w:sz w:val="13"/>
          <w:szCs w:val="13"/>
          <w:color w:val="auto"/>
        </w:rPr>
        <w:t>. The information contained on our website is not included as a part of, or incorporated by reference into, this Annual Report on Form 10-K. Other than an investor’s own Internet access charges, we make available free of charge through our website our Annual Report on Form 10-K, quarterly reports on Form 10-Q and current reports on Form 8-K, and amendments to these reports, as soon as reasonably practicable after we have electronically filed such material with, or furnished such material to, the SEC.</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Item 1A. Risk Factors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An investment in our common stock is subject to risks inherent in our business. Before making an investment decision, you should carefully consider the risks and uncertainties described below together with all of the other information included in this report. In addition to the risks and uncertainties described below, other risks and uncertainties not currently known to us or that we currently deem to be immaterial also may materially and adversely affect our business, financial condition and results of operations. The value or market price of our common stock could decline due to any of these identified or other risks, and you could lose all or part of your investment.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Macroeconomic Conditions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events in the financial services industry may have a material adverse effect on us.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Recent events in the financial services industry, including the failures of two large U.S. banks in the span of three days in March 2023 and another failure in early May 2023, created industry-wide concerns related to liquidity, deposit outflows, uninsured deposit concentrations and eroding consumer confidence in the banking system. These events occurred against the backdrop of a rapidly rising interest rate environment which, among other things, has resulted in unrealized losses in longer duration securities and loans held by banks, and more competition for bank deposits. These events have had, and may continue to have, an adverse impact on the market price of our common stock.</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While the U.S. Department of the Treasury, the Federal Reserve, and the FDIC acted to fully protect the insured and uninsured depositors of two of the recently failed banks, and the FDIC secured an agreement with a large financial institution for that institution to assume all the deposits of the third recently failed bank, no assurance can be given that these or similar actions will restore confidence in the banking system, and we may be further impacted by concerns regarding the soundness of other financial institutions, or other future bank failures or disruptions. Any loss of customer deposits could increase our cost of funding or negatively affect our overall liquidity or capital.</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cost of resolving the recent bank failures may prompt the FDIC to charge higher deposit insurance premiums and/or impose special assessments on insured depository institutions. These events and any future similar events may also result in changes to laws or regulations governing bank holding companies and banks, including higher capital requirements, or the imposition of restrictions through supervisory or enforcement activities, any of which could have a material adverse effect on us.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Adverse economic conditions in the market areas we serve could adversely impact our earnings and could increase the credit risk associated with our loan portfolio.</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Our primary market areas are concentrated in North Carolina (the Asheville metropolitan area, the "Piedmont" region, Charlotte, and Raleigh/Cary), Upstate South Carolina (Greenville), East Tennessee (Kingsport/Johnson City, Knoxville, and Morristown), Southwest Virginia (the Roanoke Valley) and Georgia (Greater Atlanta). Adverse economic conditions in our market areas can reduce our rate of growth, affect our customers’ ability to repay loans and adversely impact our financial condition and earnings. General economic conditions, including inflation, unemployment and money supply fluctuations, also may affect our profitability adversely. Weakness in the global economy has adversely affected many businesses operating in our markets that are dependent upon international trade, and it is not known how changes in tariffs being imposed on international trade may also affect these businesses. Changes in agreements or relationships between the U.S. and other countries may also affect these businesses.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 deterioration in economic conditions, particularly within our primary market areas, could result in the following consequences among others, any of which could materially hurt our business:</w:t>
      </w:r>
    </w:p>
    <w:p>
      <w:pPr>
        <w:spacing w:after="0" w:line="12"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loan delinquencies, problem assets and foreclosures may increase;</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need to increase our ACL;</w:t>
      </w: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slowing of sales and/or the reduction in value of foreclosed assets;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demand for our products and services may decline, possibly resulting in a decrease in our total loans or assets;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collateral for loans made may decline further in value, exposing us to increased risk of loss on existing loans and reducing customers’ borrowing power;</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net worth and liquidity of loan guarantors may decline, impairing their ability to honor commitments to us; and</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amount of our deposits may decrease and the composition of our deposits may be adversely affected.</w:t>
      </w:r>
    </w:p>
    <w:p>
      <w:pPr>
        <w:spacing w:after="0" w:line="5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At June 30, 2023, the most significant portion of our loans located outside of our primary market areas were equipment finance, SBA, and purchased HELOCs. As a result, our financial condition and results of operations are subject to general economic conditions and the real estate conditions prevailing in the markets in which the underlying properties securing these loans are located, as well as the conditions in our primary market areas. If economic conditions or the real estate markets decline in the areas where these properties are located, we may suffer decreased net income or losses associated with higher default rates and decreased collateral values on our existing portfolio. Further, because of their geographical diversity, these loans can be more difficult to oversee than loans in our market areas in the event of delinquency.</w:t>
      </w:r>
    </w:p>
    <w:p>
      <w:pPr>
        <w:spacing w:after="0" w:line="29"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 decline in economic conditions may have a greater effect on our earnings and capital than on the earnings and capital of larger financial institutions whose real estate loan portfolios are more geographically diverse. Many of the loans in our portfolio are secured by real estate. Deterioration in the real estate markets where collateral for a mortgage loan is located could negatively affect the borrower’s ability to repay the loan and the value of the collateral securing the loan. Real estate values are affected by various other factors, including changes in general or regional economic conditions, governmental rules or policies and natural disasters. If we are required to liquidate a significant amount of collateral during a period of reduced real estate values, our financial condition and profitability could be adversely affected.</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A continued weak economic recovery or recessionary conditions could increase our level of nonperforming assets, lower real estate values in our primary market areas and reduce demand for loans, which would result in increased loan losses and lower earnings.</w:t>
      </w:r>
    </w:p>
    <w:p>
      <w:pPr>
        <w:spacing w:after="0" w:line="4"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Recessionary conditions and/or negative developments in the domestic and international credit markets may significantly affect the markets in which we do business, the value of our loans and investments, and our ongoing operations, costs and profitability. Declines in real estate values and sales volumes and higher unemployment levels may result in higher than expected loan delinquencies and a decline in demand for our products and services. These negative events may cause us to incur reduced earnings or even losses</w:t>
      </w:r>
      <w:r>
        <w:rPr>
          <w:rFonts w:ascii="Arial" w:cs="Arial" w:eastAsia="Arial" w:hAnsi="Arial"/>
          <w:sz w:val="12"/>
          <w:szCs w:val="12"/>
          <w:color w:val="008080"/>
        </w:rPr>
        <w:t>,</w:t>
      </w:r>
      <w:r>
        <w:rPr>
          <w:rFonts w:ascii="Arial" w:cs="Arial" w:eastAsia="Arial" w:hAnsi="Arial"/>
          <w:sz w:val="12"/>
          <w:szCs w:val="12"/>
          <w:color w:val="auto"/>
        </w:rPr>
        <w:t xml:space="preserve"> and may adversely affect our capital, liquidity, and financial condition.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Inflationary pressures and rising prices may adversely affect our results of operations and financial condition.</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Inflation has risen sharply since the end of 2021 to levels not seen in more than 40 years. Small- and medium-sized businesses may be impacted more during periods of high inflation, as they are not able to leverage economies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 Furthermore, a prolonged period of inflation could cause wages and other costs to the Company to increase, which could adversely affect our results of operations and financial condition.</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economic impact of the COVID-19 pandemic could continue to adversely affect us.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COVID-19 pandemic has adversely impacted the global and national economy and certain industries and geographies in which our customers reside and operate. As a result of its ongoing and dynamic nature, it is difficult to predict the full impact of the COVID-19 pandemic on the Company and its customers, employees, and third-party service providers. The extent of this impact will depend on future developments, which are highly uncertain. Additionally, the responses of various governmental and nongovernmental authorities and consumers to the pandemic may have material long-term effects on the Company and its customers, which are difficult to quantify in the near-term or long-term.</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could be subject to a number of risks as the result of the COVID-19 pandemic, any of which could have a material adverse effect on our business, financial condition, liquidity, and/or results of operations. These risks include, but are not limited to, changes in demand for our products and services; increased loan losses or other impairments in our loan portfolios and increases in our ACL; a decline in collateral for our loans, especially real estate; unanticipated unavailability of employees; increased cyber security risks to the extent employees work remotely; a prolonged weakness in economic conditions; and increased costs as we and our regulators, customers, and third-party service providers adapt to evolving pandemic conditions.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Severe weather and other natural disasters, acts of war or terrorism, new public health issues, or other adverse external events could harm our business.</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Severe weather and other natural disasters, acts of war or terrorism, new public health issues, or other adverse external events could have a significant impact on our ability to conduct business. Such events could harm our operations through interference with communications, including the interruption or loss of our computer systems, which could prevent or impede us from gathering deposits, originating loans, and processing and controlling the flow of business, as well as through the destruction of our facilities and our operational, financial, and management information systems. There is no assurance that our business continuity and disaster recovery program can adequately mitigate these risks. Such events could also affect the stability of our deposit base, cause significant property damage, adversely affect our employees, adversely impact the values of collateral securing our loans and/or interfere with our borrowers’ abilities to repay their debt obligations to us.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Lending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may be adversely affected by credit risk associated with residential property.</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At June 30, 2023, $529.7 million, or 14.5% of our total loan portfolio, was secured by liens on one-to-four family residential loans. These types of loans are generally sensitive to regional and local economic conditions that significantly impact the ability of borrowers to meet their loan payment obligations, making loss levels difficult to predict. A decline in residential real estate values resulting from a downturn in the housing markets in which we operate may reduce the value of the real estate collateral securing these types of loans and increase our risk of loss if borrowers default on their loans. Recessionary conditions or declines in the volume of real estate sales and/or the sales prices coupled with elevated unemployment rates may result in higher than expected loan delinquencies or problem assets, and a decline in demand for our products and services. These potential negative events may cause us to incur losses, adversely affect our capital and liquidity, and damage our financial condition and business operations.</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 majority of our residential loans are “non-conforming” because they are adjustable rate mortgages that contain interest rate floors or do not satisfy credit or other requirements due to personal and financial reasons (e.g., divorce, bankruptcy, length of time employed, etc.), conforming loan limits (i.e., jumbo mortgages), and other requirements, imposed by secondary market purchasers. Some of these borrowers have higher debt-to-income ratios, or the loans are secured by unique properties in rural markets for which there are no sales of comparable properties to support the value according to secondary market requirements. We may require additional collateral or lower loan-to-value ratios to reduce the risk of these loans. We believe that these loans satisfy a need in our local market areas. As a result, subject to market conditions, we intend to continue to originate these types of loans.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High loan-to-value ratios on a portion of our residential mortgage loan portfolio expose us to greater risk of loss.</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Many of our one-to-four family loans and home equity lines of credit are secured by liens on mortgage properties in which the borrowers have little or no equity because of declines in prior years in home values in our market areas. Residential loans with high combined loan-to-value ratios will be more sensitive to declining property values than those with lower combined loan-to-value ratios and therefore may experience a higher incidence of default and severity of losses. In addition, if the borrowers sell their homes, they may be unable to repay their loans in full from the sale proceeds. Further, a majority of our home equity lines of credit consist of second mortgage loans. For those home equity lines secured by a second mortgage, it is unlikely that we will be successful in recovering all or a portion of our loan proceeds in the event of default unless we are prepared to repay the first mortgage loan and such repayment and the costs associated with a foreclosure are justified by the value of the property. For these reasons, we may experience higher rates of delinquency, default and loss.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non-owner occupied real estate loans may expose us to increased credit risk.</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At June 30, 2023, $151.8 million, or 30.4% of our one-to-four family loans and 4.1% of our total loan portfolio, consisted of loans secured by non-owner occupied residential properties. Loans secured by non-owner occupied properties generally expose a lender to greater risk of non-payment and loss than loans secured by owner occupied properties because repayment of such loans depends primarily on the tenant’s continuing ability to pay rent to the property owner who is our borrower, or, if the property owner is unable to find a tenant, the property owner’s ability to repay the loan without the benefit of a rental income stream. In addition, the physical condition of non-owner occupied properties is often below that of owner occupied properties due to lax property maintenance standards, which has a negative impact on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3"/>
          <w:szCs w:val="13"/>
          <w:color w:val="auto"/>
        </w:rPr>
        <w:t>value of the collateral properties. Furthermore, some of our non-owner occupied residential loan borrowers have more than one loan outstanding with HomeTrust Bank, which may expose us to a greater risk of loss compared to an adverse development with respect to an owner occupied residential mortgage loan.</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construction and land development loans have a higher risk of loss than residential or commercial real estate loans.</w:t>
      </w:r>
    </w:p>
    <w:p>
      <w:pPr>
        <w:spacing w:after="0" w:line="35"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At June 30, 2023, construction and land development loans in our residential real estate loan portfolio were $110.1 million, or 3.0% of our total loan portfolio, and consisted primarily of construction to permanent loans to homeowners building a residence or developing lots in residential subdivisions intending to construct a residence within one year. Construction and development loans in our commercial real estate loan portfolio at June 30, 2023, totaled $356.7 million, or 9.7% of our total loan portfolio, and consisted of loans to contractors and builders primarily to finance the construction of single and multi-family homes, subdivisions, as well as commercial properties. We originate these loans whether or not the collateral property underlying the loan is under contract for sale.</w:t>
      </w:r>
    </w:p>
    <w:p>
      <w:pPr>
        <w:spacing w:after="0" w:line="1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Construction and land development lending generally involves additional risks because funds are advanced upon estimates of costs in relation to values associated with the completed project. Construction and land development lending involves additional risks when compared with permanent residential lending because funds are advanced upon the collateral for the project based on an estimate of costs that will produce a future value at completion. Because of the uncertainties inherent in estimating construction costs, as well as the market value of the complete project and the effects of governmental regulation on real property, it is relatively difficult to evaluate accurately the total funds required to complete a project and the completed project loan-to-value ratio. Changes in demand for new housing and higher than anticipated building costs, may cause actual results to vary significantly from those estimated. This type of lending also typically involves higher loan principal amounts and is often concentrated with loans to a small number of builders. For these reasons, a downturn in housing or the real estate market, could increase loan delinquencies, defaults and foreclosures, and significantly impair the value of the collateral underlying our construction and land development loans and our ability to sell the collateral upon foreclosure. Some of the builders we deal with have more than one loan outstanding with us. Consequently, an adverse development with respect to one loan or one credit relationship can expose us to a significantly greater risk of loss.</w:t>
      </w:r>
    </w:p>
    <w:p>
      <w:pPr>
        <w:spacing w:after="0" w:line="33"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In addition, during the term of some of our construction and land development loans, no payment from the borrower is required since the accumulated interest is added to the principal of the loan through an interest reserve. As a result, these loans often involve the disbursement of funds with repayment substantially dependent on the success of the ultimate project and the ability of the borrower to sell or lease the property or obtain permanent take-out financing, rather than the ability of the borrower or guarantor to repay principal and interest. If our appraisal of the value of a completed project proves to be overstated, we may have inadequate security for the repayment of the loan upon completion of construction of the project and may incur a loss. Because construction loans require active monitoring of the building process, including cost comparisons and on-site inspections, these loans are more difficult and costly to monitor. Increases in market rates of interest may have a more pronounced effect on construction loans by rapidly increasing the end-purchasers' borrowing costs, thereby reducing the overall demand for the project. Properties under construction are often difficult to sell and typically must be completed in order to be successfully sold, which also complicates the process of working out problem construction loans. This may require us to advance additional funds and/or contract with another builder to complete construction and assume the market risk of selling the project at a future market price, which may or may not enable us to fully recover unpaid loan funds and associated construction and liquidation costs. Furthermore, in the case of speculative construction loans, there is the added risk associated with identifying an end-purchaser for the finished project. At June 30, 2023, $80.1 million of our construction and land development loans were for speculative construction loans and none were classified as nonaccruing.</w:t>
      </w:r>
    </w:p>
    <w:p>
      <w:pPr>
        <w:spacing w:after="0" w:line="24"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Loans on land under development or held for future construction as well as lot loans made to individuals for the future construction of a residence also pose additional risk because the length of time from financing to completion of a development project is significantly longer than for a traditional construction loan, which makes them more susceptible to declines in real estate values, declines in overall economic conditions, which may delay the development of the land and changes in the political landscape that could affect the permitted and intended use of the land being financed, and the potential illiquid nature of the collateral. In addition, during this long period of time from financing to completion, the collateral often does not generate any cash flow to support the debt service.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commercial real estate loans involve higher principal amounts than other loans and repayment of these loans may be dependent on factors outside our control or the control of our borrowers.</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While commercial real estate lending may potentially be more profitable than single-family residential lending, it is generally more sensitive to regional and local economic conditions, making loss levels more difficult to predict. Collateral evaluation and financial statement analysis in these types of loans require a more detailed analysis at the time of loan underwriting and on an ongoing basis. At June 30, 2023, commercial real estate loans were $1.9 billion, or 51.5% of our total loan portfolio, including multifamily loans totaling $81.8 million or 2.2% of our total loan portfolio. These loans typically involve higher principal amounts than other types of loans and some of our commercial borrowers have more than one loan outstanding with us. Consequently, an adverse development with respect to one loan or one credit relationship can expose us to a significantly greater risk of loss compared to an adverse development with respect to a one-to-four family residential mortgage loan. Repayment of these loans is dependent upon income being generated from the property securing the loan in amounts sufficient to cover operating expenses and debt service, which may be adversely affected by changes in the economy or local market conditions. Commercial real estate loans also expose a lender to greater credit risk than loans secured by one-to-four family residential real estate because the collateral securing these loans typically cannot be sold as easily as residential real estate. In addition, many of our commercial real estate loans are not fully amortizing and contain large balloon payments upon maturity. Such balloon payments may require the borrower to either sell or refinance the underlying property in order to make the payment, which may increase the risk of default or non-payment. At June 30, 2023, commercial real estate loans that were nonperforming totaled $624,000, or 7.5% of our total nonperforming loans.</w:t>
      </w:r>
    </w:p>
    <w:p>
      <w:pPr>
        <w:spacing w:after="0" w:line="24"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 secondary market for most types of commercial real estate loans is not readily available, so we have less opportunity to mitigate credit risk by selling part or all of our interest in these loans. As a result of these characteristics, if we foreclose on a commercial real estate loan, our holding period for the collateral typically is longer than for one-to-four family residential loans because there are fewer potential purchasers of the collateral. Additionally, charge-offs on commercial real estate loans may be larger on a per loan basis than those incurred with our residential and consumer loan portfolios.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The level of our commercial real estate loan portfolio may subject us to additional regulatory scrutiny.</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A financial institution may have a concentration in commercial real estate lending if, among other factors (i) total reported loans for construction, land development, and other land represent 100% or more of total capital, or (ii) total reported loans secured by multifamily and non-farm/non-residential properties, loans for construction, land development and other land, and loans otherwise sensitive to the general commercial real estate market, including loans to commercial real estate related entities, represent 300% or more of total capital. Our total loans for multifamily, non-farm/non-residential, construction, land development and other land represented 292.3% of total risk-based capital at June 30, 2023.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assist banks in developing risk management practices and capital levels commensurate with the level and nature of real estate concentrations. The guidance states that management should employ heightened risk management practices including Board and management oversight and strategic planning, development of underwriting standards, risk assessment and monitoring through market analysis and stress testing. While we believe we have implemented policies and procedures with respect to our commercial real estate loan portfolio consistent with this guidance, bank regulators could require us to implement additional policies and procedures pursuant to their interpretation of the guidance that may result in additional costs to us.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equipment finance and auto finance lending increases our exposure to lending risks.</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At June 30, 2023, $462.2 million and $105.0 million, or 12.6% and 2.8% of our total loan portfolio, consisted of equipment finance and indirect auto finance loans, respectively. Equipment finance and indirect auto finance loans are inherently risky as they are secured by assets that depreciate rapidly. In some cases, repossessed collateral for transportation and construction loans, and manufacturing equipment for equipment finance loans may not provide an adequate source of repayment for the outstanding loan and the remaining deficiency may not warrant further substantial collection efforts against the borrower. Equipment finance loan collections depend on the borrower's continuing financial stability, and therefore are more likely to be adversely affected by the cash flows of the borrower's business within certain industries. Similarly, automobile loan collections depend on the borrower’s continuing financial stability, and therefore are more likely to be adversely affected by job loss, divorce, illness, or personal bankruptcy. In addition, for indirect auto finance loans, our ability to originate loans is reliant on our relationships with automotive dealers. In particular, our automotive finance operations depend in large part upon our ability to establish and maintain relationships with reputable automotive dealers that direct customers to our offices or originate loans at the point-of-sale. Although we have relationships with certain automotive dealers, none of our relationships are exclusive and any of these relationships may be terminated at any time. If our existing dealer base experiences decreased sales we may experience decreased loan volume in the future, which may have an adverse effect on our business, results of operations, and financial condition.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Repayment of our municipal leases is dependent on fire departments receiving tax revenues from counties/municipalities.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June 30, 2023, municipal leases were $142.2 million, or 3.9% of our total loan portfolio. We offer ground and equipment lease financing to fire departments located throughout North Carolina and, to a lesser extent, South Carolina. Repayment of our municipal leases is often dependent on the tax revenues collected by the county/municipality on behalf of the fire department. Although a municipal lease does not constitute a general obligation of the county/municipality for which the county/municipality's taxing power is pledged, a municipal lease is ordinarily backed by the county/municipality's covenant to budget for, appropriate and pay the tax revenues to the fire department. However, certain municipal leases contain "non-appropriation" clauses which provide that the municipality has no obligation to make lease or installment purchase payments in future years unless money is appropriated for that purpose on a yearly basis. In the case of a "non-appropriation" lease, our ability to recover under the lease in the event of non-appropriation or default will be limited solely to the repossession of the leased property, without recourse to the general credit of the lessee, and disposition or releasing of the property might prove difficult. At June 30, 2023, $10.7 million of our municipal leases contained a non-appropriation clause.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allowance for credit losses may prove to be insufficient to absorb losses in our loan portfolio.</w:t>
      </w:r>
    </w:p>
    <w:p>
      <w:pPr>
        <w:spacing w:after="0" w:line="3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Lending money is a substantial part of our business, and each loan carries a certain risk that it will not be repaid in accordance with its terms, or that any underlying collateral will not be sufficient to assure repayment. This risk is affected by, among other things:</w:t>
      </w:r>
    </w:p>
    <w:p>
      <w:pPr>
        <w:spacing w:after="0" w:line="1" w:lineRule="exact"/>
        <w:rPr>
          <w:sz w:val="20"/>
          <w:szCs w:val="20"/>
          <w:color w:val="auto"/>
        </w:rPr>
      </w:pPr>
    </w:p>
    <w:p>
      <w:pPr>
        <w:ind w:left="260" w:hanging="255"/>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cash flow of the borrower and/or the project being financed;</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the case of a collateralized loan, changes and uncertainties as to the future value of the collateral;</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duration of the loan;</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character and creditworthiness of a particular borrower; and</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economic and industry conditions.</w:t>
      </w:r>
    </w:p>
    <w:p>
      <w:pPr>
        <w:spacing w:after="0" w:line="53"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We maintain an ACL, established through a provision for expected losses charged against income, which we believe is appropriate to provide for lifetime ECLs in our loan portfolio. The amount of this ACL is determined by our management through periodic reviews and consideration of several factors, including, but not limited to:</w:t>
      </w:r>
    </w:p>
    <w:p>
      <w:pPr>
        <w:spacing w:after="0" w:line="1" w:lineRule="exact"/>
        <w:rPr>
          <w:sz w:val="20"/>
          <w:szCs w:val="20"/>
          <w:color w:val="auto"/>
        </w:rPr>
      </w:pPr>
    </w:p>
    <w:p>
      <w:pPr>
        <w:ind w:left="260" w:hanging="255"/>
        <w:spacing w:after="0" w:line="244" w:lineRule="auto"/>
        <w:tabs>
          <w:tab w:leader="none" w:pos="251"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reserve on loans collectively evaluated, based on peer loss experience, which management believes provides the best basis for its assessment of ECLs, and consideration of the effects of past events, current conditions, and reasonable and supportable forecasts on the collectability of the loan portfolio;</w:t>
      </w:r>
    </w:p>
    <w:p>
      <w:pPr>
        <w:ind w:left="260" w:hanging="255"/>
        <w:spacing w:after="0"/>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qualitative reserve based on factors that are relevant within the qualitative framework; and</w:t>
      </w:r>
    </w:p>
    <w:p>
      <w:pPr>
        <w:spacing w:after="0" w:line="1" w:lineRule="exact"/>
        <w:rPr>
          <w:rFonts w:ascii="Arial" w:cs="Arial" w:eastAsia="Arial" w:hAnsi="Arial"/>
          <w:sz w:val="13"/>
          <w:szCs w:val="13"/>
          <w:color w:val="auto"/>
        </w:rPr>
      </w:pPr>
    </w:p>
    <w:p>
      <w:pPr>
        <w:ind w:left="260" w:hanging="255"/>
        <w:spacing w:after="0" w:line="253" w:lineRule="auto"/>
        <w:tabs>
          <w:tab w:leader="none" w:pos="251"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reserve on loans individually evaluated for loans no longer sharing similar risk characteristics which is based on a DCF analysis unless the loan meets the criteria for use of the fair value of collateral, either by virtue of an expected foreclosure or through meeting the definition of collateral dependent.</w:t>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Our determination of the appropriate level of the ACL inherently involves a high degree of subjectivity and requires us to make significant estimates of current credit risks and future trends, all of which may undergo material changes. If our estimates are incorrect, the ACL may not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3"/>
          <w:szCs w:val="13"/>
          <w:color w:val="auto"/>
        </w:rPr>
        <w:t>be sufficient to cover the expected losses in our loan portfolio, resulting in the need for increases in our ACL. Management also recognizes that significant new growth in loan portfolios, new loan products and the refinancing of existing loans can result in portfolios comprised of unseasoned loans that may not perform in a historical or projected manner and will increase the risk that our ACL may be insufficient to absorb losses without significant additional provisions.</w:t>
      </w:r>
    </w:p>
    <w:p>
      <w:pPr>
        <w:spacing w:after="0" w:line="4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bank regulatory agencies periodically review our allowance and may require an increase in the provision for credit losses or the recognition of further loan charge-offs based on judgments different than those of management. If charge-offs in future periods exceed the ACL, we may need additional provisions to increase the ACL. Any increases in the ACL will result in a decrease in net income and possibly capital and may have a material adverse effect on our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our nonperforming assets increase, our earnings will be adversely affected.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Our nonperforming assets (which consist of nonaccruing loans and REO) were $8.3 million, or 0.18% of total assets, at June 30, 2023, compared to $6.3 million, or 0.18% of total assets, at June 30, 2022, respectively. We also had $8.2 million in loans classified as performing TDRs at June 30, 2023. Our nonperforming assets adversely affect our net income in various ways:</w:t>
      </w: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record interest income only on a cash basis for nonaccrual loans and any nonperforming debt securities, and do not record interest income for REO;</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must provide for ECLs through a current period charge to the provision for credit losses;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noninterest expense increases when we write down the value of properties in our REO portfolio to reflect changing market values or recognize credit impairment on nonperforming debt securities;</w:t>
      </w:r>
    </w:p>
    <w:p>
      <w:pPr>
        <w:spacing w:after="0" w:line="10" w:lineRule="exact"/>
        <w:rPr>
          <w:rFonts w:ascii="Arial" w:cs="Arial" w:eastAsia="Arial" w:hAnsi="Arial"/>
          <w:sz w:val="12"/>
          <w:szCs w:val="12"/>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there are legal fees associated with the resolution of problem assets, as well as carrying costs such as taxes, insurance and maintenance fees related to our REO; and</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resolution of nonperforming assets requires the active involvement of management, a distraction from more profitable activity.</w:t>
      </w:r>
    </w:p>
    <w:p>
      <w:pPr>
        <w:spacing w:after="0" w:line="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If additional borrowers become delinquent and do not pay their loans and we are unable to successfully manage our nonperforming assets, our losses and troubled assets could increase significantly, which could have a material adverse effect on our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our REO is not properly valued or sufficiently reserved to cover actual losses, or if we are required to increase our valuation reserves, our earnings could be reduced.</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We obtain updated valuations in the form of appraisals and broker price opinions when a loan has been foreclosed upon and the property taken in as REO and at certain other times during the asset’s holding period. Our NBV in the loan at the time of foreclosure and thereafter is compared to the updated market value of the foreclosed property less estimated selling costs (fair value). A charge-off is recorded for any excess in the asset’s NBV over its fair value. If our valuation process is incorrect, or if property values decline, the fair value of our REO may not be sufficient to recover our carrying value in such assets, resulting in the need for additional charge-offs. Significant charge-offs to our REO could have a material adverse effect on our financial condition and results of operations.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bank regulators periodically review our REO and may require us to recognize further charge-offs. Any increase in our write-downs may have a material adverse effect on our financial condition, liquidity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Market Interest Rates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Fluctuating interest rates can adversely affect our profitability.</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Our earnings and cash flows are largely dependent upon our net interest income, which is the difference, or spread, between the interest earned on loans, securities and other interest-earning assets and the interest paid on deposits, borrowings, and other interest-bearing liabilities. Interest rates are highly sensitive to many factors that are beyond our control, including general economic conditions and policies of various governmental and regulatory agencies and, in particular, the Federal Reserve. In March 2020, in response to the COVID-19 pandemic, the Federal Open Market Committee (“FOMC”) of the Federal Reserve reduced the targeted federal funds rate 150 basis points to a range of 0.00% to 0.25%. The reduction in the targeted federal funds rate resulted in a decline in overall interest rates which negatively impacted our net interest income. Starting in March 2022, the FOMC has increased the targeted federal funds rate eleven separate times, raising the rate by 525 basis points to a range of 5.25% to 5.50%. If the FOMC further increases the targeted federal funds rates, overall interest rates will likely rise, which will positively impact our net interest income but may continue to negatively impact both the housing market, by reducing refinancing activity and new home purchases, and the U.S. economy. In addition, deflationary pressures, while possibly lowering our operational costs, could have a significant negative effect on our borrowers, especially our business borrowers, and the values of collateral securing loans which could negatively affect our financial performance.</w:t>
      </w:r>
    </w:p>
    <w:p>
      <w:pPr>
        <w:spacing w:after="0" w:line="3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We principally manage interest rate risk by managing our volume and mix of earning assets and funding liabilities. Changes in monetary policy, including changes in interest rates, could influence not only the interest we receive on loans and investments and the amount of interest we pay on deposits and borrowings, but also (i) our ability to originate loans and obtain deposits, (ii) the fair value of our financial assets and liabilities, which could negatively impact stockholders' equity and our ability to realize gains from the sale of such assets; (iii) our ability to obtain and retain deposits in competition with other available investment alternatives; (iv) the ability of our borrowers to repay adjustable or variable rate loans; and (v) the average duration of our debt securities portfolio and other interest-earning assets.</w:t>
      </w:r>
    </w:p>
    <w:p>
      <w:pPr>
        <w:spacing w:after="0" w:line="29"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In a changing interest rate environment we may not be able to manage this risk effectively. If we are unable to manage interest rate risk effectively, our business, financial condition and results of operations could be materially affected.</w:t>
      </w:r>
    </w:p>
    <w:p>
      <w:pPr>
        <w:spacing w:after="0" w:line="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Changes in interest rates could also have a negative impact on our results of operations by reducing the ability of borrowers to repay their current loan obligations (generally, if rates increase) or by reducing our margins and profitability (generally, if rates decrease). Our net interest margin is the difference between the yield we earn on our assets and the interest rate we pay for deposits and our other sources of funding. Changes in interest rates, up or down, could adversely affect our net interest margin and, as a result, our net interest income.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1"/>
          <w:szCs w:val="11"/>
          <w:color w:val="auto"/>
        </w:rPr>
        <w:t>Although the yield we earn on our assets and our funding costs tend to move in the same direction in response to changes in interest rates, one can rise or fall faster than the other, causing our net interest margin to expand or contract. When we anticipate a rising-rate environment, our assets tend to be shorter in duration than our liabilities, so they may adjust faster in response to changes in interest rates. As a result, when interest rates decline, the yield we earn on our assets may decline faster than the rate we pay on funding, causing our net interest margin to contract until the interest rates on interest-bearing liabilities catch up. When we anticipate a declining-rate environment, our liabilities tend to be shorter in duration than our assets, so they may adjust faster in response to changes in interest rates. As a result, when interest rates rise, our funding costs may rise faster than the yield we earn on our assets, causing our net interest margin to contract until the yields on interest-earning assets catch up. Changes in the slope of the “yield curve”, or the spread between short-term and long-term interest rates, could also reduce our net interest margin. Normally, the yield curve is upward sloping, meaning short-term rates are lower than long-term rates. Because our liabilities tend to be shorter in duration than our assets in periods where we anticipate a declining-rate environment, when the yield curve flattens or even inverts, we will experience pressure on our net interest margin as our cost of funds increases relative to the yield we can earn on our assets. Also, interest rate decreases can lead to increased prepayments of loans and mortgage-backed securities as borrowers refinance their loans to reduce borrowing costs. Under these circumstances, we are subject to reinvestment risk as we may have to redeploy such repayment proceeds into lower yielding investments, which would likely hurt our income.</w:t>
      </w:r>
    </w:p>
    <w:p>
      <w:pPr>
        <w:spacing w:after="0" w:line="24"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A sustained increase in market interest rates, such as the increases experienced over the past 15-18 months, could adversely affect our earnings. A significant portion of our loans have fixed interest rates and longer terms than our deposits and borrowings. As is the case with many other financial institutions, our emphasis on increasing the development of core deposits, those deposits bearing no or a relatively low rate of interest with no stated maturity date, has resulted in our having a significant amount of these deposits which have a shorter duration than our assets. At June 30, 2023, we had $642.8 million in certificates of deposit that mature within one year and $2.9 billion in checking, savings, and money market accounts with no stated maturity. We have incurred and may continue to incur a higher cost of funds to retain these deposits in a rising interest rate environment, as well as supplementing any runoff with other types of borrowings also at a higher cost of funds. Our net interest income has been and could continue to be adversely affected if the rates we pay on deposits and borrowings increase more rapidly than the rates we earn on loans and other investments.</w:t>
      </w:r>
    </w:p>
    <w:p>
      <w:pPr>
        <w:spacing w:after="0" w:line="34"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In addition, a substantial amount of our loans have adjustable interest rates. As a result, these loans may experience a higher rate of default in a rising interest rate environment. Further, a significant portion of our adjustable rate loans have interest rate floors below which the loan’s contractual interest rate may not adjust. As of June 30, 2023, our loans with interest rate floors totaled approximately $640.1 million, or 17.5% of our total loan portfolio, and had a weighted average floor rate of 4.80%, of which $26.5 million were at their floor rate. The inability of our loans to adjust downward can contribute to increased income in periods of declining interest rates, although this result is subject to the risks that borrowers may refinance these loans during such periods. Also, when loans are at their floors, there is a further risk that our interest income may not increase as rapidly as our cost of funds during periods of increasing interest rates which could have a material adverse effect on our results of operations.</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Changes in interest rates also affect the value of our interest-earning assets and in particular our debt securities portfolio. Generally, the fair value of fixed-rate debt securities fluctuates inversely with changes in interest rates. Unrealized gains and losses on debt securities available for sale are reported as a separate component of equity, net of tax. Decreases in the fair value of debt securities available for sale resulting from increases in interest rates could have an adverse effect on stockholders’ equity.</w:t>
      </w:r>
    </w:p>
    <w:p>
      <w:pPr>
        <w:spacing w:after="0" w:line="3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Although management believes it has implemented effective asset and liability management strategies to reduce the potential effects of changes in interest rates on our results of operations, any substantial, unexpected or prolonged change in market interest rates could have a material adverse effect on our financial condition, liquidity, and results of operations. Also, our interest rate risk modeling techniques and assumptions likely may not fully predict or capture the impact of actual interest rate changes on our consolidated balance sheet or projected operating results. For further discussion of how changes in interest rates could impact us, see "Part II, Item 7A. Quantitative and Qualitative Disclosures About Market Risk" for additional information about our interest rate risk management.</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incur losses on our securities portfolio due to factors beyond our control, including changes in interest rates.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or other adverse events affecting the issuer or the underlying securities, and changes in market interest rates and continued instability in the capital markets. Any of these factors, among others, could cause other-than-temporary impairments and realized and/or unrealized losses in future periods and declines in other comprehensive income, which could have a material effect on our business, financial condition, and results of operations. The process for determining whether impairment of a security is other-than-temporary usually requires complex, subjective judgments about the future financial performance and liquidity of the issuer and any collateral underlying the security to assess the probability of receiving all contractual principal and interest payments on the security. Furthermore, there can be no assurance that the declines in market value will not result in other-than-temporary impairments of these assets and lead to accounting charges that could have a material adverse effect on our net income and capital levels. As of June 30, 2023, an ACL was not necessary for credit-related impairment on our securities portfolio.</w:t>
      </w:r>
    </w:p>
    <w:p>
      <w:pPr>
        <w:spacing w:after="0" w:line="4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Changes in the programs offered by GSEs, our ability to qualify for such programs, and changes in interest rates may affect our gains on sale of loans held for sale, which could negatively impact our noninterest income.</w:t>
      </w:r>
    </w:p>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Our mortgage banking and SBA lending operations provide a significant portion of our noninterest income. We generate mortgage revenues primarily from gains on the sale of single-family residential loans pursuant to programs currently offered by Fannie Mae, Freddie Mac, Ginnie Mae and other investors. These entities account for a substantial portion of the secondary market in residential mortgage loans. We also generate commercial business loan revenues from gains on the sale of the guaranteed portion of SBA and business and industry loans pursuant to programs currently offered by the SBA and USDA B&amp;I. Any future changes in these programs, significant impairment of our eligibility to participate in such programs, the criteria for loans to be accepted or laws that significantly affect the activity of such entities could, in turn, result in a lower volume of corresponding loan originations or increase other administrative costs which may materially adversely affect our results of operations.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2"/>
          <w:szCs w:val="12"/>
          <w:color w:val="auto"/>
        </w:rPr>
        <w:t>Mortgage production, especially refinancing, generally declines in rising interest rate environments resulting in fewer loans that are available to be sold to investors. When interest rates rise, or even if they do not, there can be no assurance that our mortgage production will continue at current levels. The profitability of our mortgage banking operations depends in large part upon our ability to aggregate a high volume of loans and sell them in the secondary market at a gain. Thus, in addition to the interest rate environment, our mortgage business is dependent upon (i) the existence of an active secondary market and (ii) our ability to profitably sell loans into that market. Similar to mortgage production, our SBA and USDA B&amp;I operations are dependent upon (i) and (ii) previously mentioned. The loans in our held-for-sale portfolio are carried at the lower of cost or fair market value less estimated costs to sell with changes recognized in our statement of operations. Carrying the loans at fair value may also increase the volatility in our earnings.</w:t>
      </w:r>
    </w:p>
    <w:p>
      <w:pPr>
        <w:spacing w:after="0" w:line="2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In addition, our results of operations are affected by the amount of noninterest expense associated with mortgage banking and SBA lending activities, such as salaries and employee benefits, occupancy, equipment and data processing expense and other operating costs. During periods of reduced loan demand, our results of operations may be adversely affected to the extent that we are unable to reduce expenses commensurate with the decline in loan originations. Also, although we sell loans into the secondary market without recourse, we are required to give customary representations and warranties about the loans to the buyers. If we breach those representations and warranties, the buyers may require us to repurchase the loans and we may incur a loss on the repurchase.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Acquisition Activities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strategy of pursuing acquisitions exposes us to financial, execution, and operational risks that could adversely affect us.</w:t>
      </w:r>
    </w:p>
    <w:p>
      <w:pPr>
        <w:spacing w:after="0" w:line="3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implemented a strategy of supplementing organic growth by acquiring other financial institutions or other businesses that we believe will help us fulfill our strategic objectives and enhance our earnings; however, there are risks associated with this strategy, including the following:</w:t>
      </w:r>
    </w:p>
    <w:p>
      <w:pPr>
        <w:spacing w:after="0" w:line="1" w:lineRule="exact"/>
        <w:rPr>
          <w:sz w:val="20"/>
          <w:szCs w:val="20"/>
          <w:color w:val="auto"/>
        </w:rPr>
      </w:pPr>
    </w:p>
    <w:p>
      <w:pPr>
        <w:ind w:left="260" w:hanging="255"/>
        <w:spacing w:after="0" w:line="246" w:lineRule="auto"/>
        <w:tabs>
          <w:tab w:leader="none" w:pos="25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may be exposed to potential asset quality issues or unknown or contingent liabilities of the banks, businesses, assets, and liabilities we acquire. If these issues or liabilities exceed our estimates, our results of operations and financial condition may be materially negatively affected;</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prices at which future acquisitions can be made may not be acceptable to us;</w:t>
      </w:r>
    </w:p>
    <w:p>
      <w:pPr>
        <w:spacing w:after="0" w:line="1" w:lineRule="exact"/>
        <w:rPr>
          <w:rFonts w:ascii="Arial" w:cs="Arial" w:eastAsia="Arial" w:hAnsi="Arial"/>
          <w:sz w:val="13"/>
          <w:szCs w:val="13"/>
          <w:color w:val="auto"/>
        </w:rPr>
      </w:pPr>
    </w:p>
    <w:p>
      <w:pPr>
        <w:ind w:left="260" w:hanging="255"/>
        <w:spacing w:after="0" w:line="244" w:lineRule="auto"/>
        <w:tabs>
          <w:tab w:leader="none" w:pos="251"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growth initiatives may require us to recruit experienced personnel to assist in such initiatives. The failure to identify and retain such personnel would place significant limitations on our ability to execute our growth strategy;</w:t>
      </w: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strategic efforts may divert resources or management’s attention from ongoing business operations and may subject us to additional regulatory scrutiny;</w:t>
      </w:r>
    </w:p>
    <w:p>
      <w:pPr>
        <w:spacing w:after="0" w:line="1" w:lineRule="exact"/>
        <w:rPr>
          <w:rFonts w:ascii="Arial" w:cs="Arial" w:eastAsia="Arial" w:hAnsi="Arial"/>
          <w:sz w:val="13"/>
          <w:szCs w:val="13"/>
          <w:color w:val="auto"/>
        </w:rPr>
      </w:pPr>
    </w:p>
    <w:p>
      <w:pPr>
        <w:jc w:val="both"/>
        <w:ind w:left="260" w:hanging="255"/>
        <w:spacing w:after="0" w:line="245" w:lineRule="auto"/>
        <w:tabs>
          <w:tab w:leader="none" w:pos="251"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acquisition of other entities generally requires integration of systems, procedures, and personnel of the acquired entity into our company to make the transaction economically successful. This integration process is complicated and time-consuming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to the extent expected or within the expected time frame, and we may lose customers or employees of the acquired business. We may also experience greater than anticipated customer losses even if the integration process is successful;</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to finance a future acquisition, we may borrow funds, thereby increasing our leverage and diminishing our liquidity, or raise additional capital, which could dilute the interests of our existing stockholders;</w:t>
      </w:r>
    </w:p>
    <w:p>
      <w:pPr>
        <w:spacing w:after="0" w:line="13" w:lineRule="exact"/>
        <w:rPr>
          <w:rFonts w:ascii="Arial" w:cs="Arial" w:eastAsia="Arial" w:hAnsi="Arial"/>
          <w:sz w:val="12"/>
          <w:szCs w:val="12"/>
          <w:color w:val="auto"/>
        </w:rPr>
      </w:pPr>
    </w:p>
    <w:p>
      <w:pPr>
        <w:ind w:left="260" w:hanging="255"/>
        <w:spacing w:after="0"/>
        <w:tabs>
          <w:tab w:leader="none" w:pos="2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have completed six acquisitions during the past 10 fiscal years that enhanced our rate of growth. We may not be able to continue to sustain our past rate of growth or to grow at all in the future; and</w:t>
      </w:r>
    </w:p>
    <w:p>
      <w:pPr>
        <w:spacing w:after="0" w:line="18" w:lineRule="exact"/>
        <w:rPr>
          <w:rFonts w:ascii="Arial" w:cs="Arial" w:eastAsia="Arial" w:hAnsi="Arial"/>
          <w:sz w:val="12"/>
          <w:szCs w:val="12"/>
          <w:color w:val="auto"/>
        </w:rPr>
      </w:pPr>
    </w:p>
    <w:p>
      <w:pPr>
        <w:jc w:val="both"/>
        <w:ind w:left="260" w:hanging="255"/>
        <w:spacing w:after="0" w:line="248" w:lineRule="auto"/>
        <w:tabs>
          <w:tab w:leader="none" w:pos="25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expect our net income will increase following our acquisitions; however, we also expect our general and administrative expenses, and consequently our efficiency rates, will also increase. Ultimately, we would expect our efficiency ratio to improve; however, if we are not successful in our integration process, this may not occur, and our acquisitions or branching activities may not be accretive to earnings in the short or long-term.</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We have faced many of these risks in connection with our recently completed merger with Quantum.</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The required accounting treatment of loans we acquire through acquisitions, including purchased financial assets with credit deterioration, could result in higher net interest margins and interest income in current periods and lower net interest margins and interest income in future periods.</w:t>
      </w:r>
    </w:p>
    <w:p>
      <w:pPr>
        <w:spacing w:after="0" w:line="4"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Under US GAAP, we are required to record loans acquired through acquisitions, including PCD, at fair value. Estimating the fair value of such loans requires management to make estimates based on available information and facts and circumstances as of the acquisition date. Actual performance could differ from management's initial estimates. If these loans outperform our original fair value estimates, the difference between our original estimate and the actual performance of the loan (the “discount”) is accreted into net interest income. Thus, our net interest margins may initially increase due to the discount. We expect the yields on our loans to decline as our acquired loan portfolio pays down or matures and the discount decreases, and we expect downward pressure on our interest income to the extent that the runoff on our acquired loan portfolio is not replaced with comparable high-yielding loans. This could result in higher net interest margins and interest income in current periods and lower net interest rate margins and lower interest income in future periods.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experience future goodwill impairment, which could reduce our earnings.</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Our annual goodwill impairment test did not identify any impairment for the year ended June 30, 2023. In testing goodwill for impairment, the Company has the option to assess either qualitative or quantitative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a quantitative impairment test, otherwise no further analysis is required. Under the quantitative impairment test, the evaluation involves comparing the current fair value of each reporting unit to its carrying value, including goodwill. Our evaluation of the fair value of goodwill involves a substantial amount of judgment. If our judgment was incorrect, or if events or circumstances change, and an impairment of goodwill is deemed to exist, we would be required to write down our goodwill resulting in a charge to earnings, which would adversely affect our results of operations, perhaps materially; however, it would have no impact on our liquidity, operations, or regulatory capital.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auto"/>
        </w:rPr>
        <w:t>Risks Related to Regulation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operate in a highly regulated environment and may be adversely affected by changes in federal and state laws and regulations.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financial services industry is extensively regulated. Federal and state banking regulations are designed primarily to protect the deposit insurance funds and consumers, not to benefit a company’s stockholders. These regulations may sometimes impose significant limitations on operations. Regulatory authorities have extensive discretion in connection with their supervisory and enforcement activities, including the imposition of restrictions on the operation of an institution, the classification of assets by the institution and the adequacy of an institution’s ACL. Bank regulators also have the ability to impose conditions in the approval of merger and acquisition transactions.</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significant federal and state banking regulations that affect us are described under the heading "Business – How We Are Regulated” in Item 1 of this Form 10-K. These regulations, along with the currently existing tax, accounting, securities, insurance, and monetary laws, regulations, rules, standards, policies, and interpretations control the methods by which financial institutions conduct business, implement strategic initiatives and tax compliance, and govern financial reporting and disclosures. These laws, regulations, rules, standards, policies, and interpretations are constantly evolving and may change significantly over time. Any new regulations or legislation, change in existing regulations or oversight, whether a change in regulatory policy or a change in a regulator’s interpretation of a law or regulation, may require us to invest significant management attention and resources to make any necessary changes to operations to comply and could have an adverse effect on our business, financial condition, and results of operations. Additionally, actions by regulatory agencies or significant litigation against us may lead to penalties that materially affect us. Further, changes in accounting standards can be both difficult to predict and involve judgment and discretion in their interpretation by us and our independent registered public accounting firm. These accounting changes could materially impact, potentially even retroactively, how we report our financial condition and results of our operations as could our interpretation of those changes.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Non-compliance with the USA PATRIOT Act, Bank Secrecy Act, or other laws and regulations could result in fines or sanctions and limit our ability to get regulatory approval of acquisitions.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USA PATRIOT and Bank Secrecy Acts require financial institutions to develop programs to prevent financial institutions from being used for money laundering and terrorist activities. If such activities are detected, financial institutions are obligated to file suspicious activity reports with the U.S. Treasury’s Office of Financial Crimes Enforcement Network. These rules require financial institutions to establish procedures for identifying and verifying the identity of customers seeking to open new financial accounts. Failure to comply with these regulations could result in fines or sanctions and limit our ability to get regulatory approval of acquisitions. Banking institutions continue to receive large fines for non-compliance with these laws and regulations. While we have developed policies and procedures designed to assist in compliance with these laws and regulations, no assurance can be given that these policies and procedures will be effective in preventing violations of these laws and regulations.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framework for managing risks may not be effective in mitigating risk and loss to us</w:t>
      </w:r>
      <w:r>
        <w:rPr>
          <w:rFonts w:ascii="Arial" w:cs="Arial" w:eastAsia="Arial" w:hAnsi="Arial"/>
          <w:sz w:val="13"/>
          <w:szCs w:val="13"/>
          <w:color w:val="auto"/>
        </w:rPr>
        <w:t>.</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established processes and procedures intended to identify, measure, monitor, report, analyze, and control the types of risk to which we are subject. These risks include liquidity risk, credit risk, market risk, interest rate risk, operational risk, legal and compliance risk, and reputational risk, among others. We also maintain a compliance program to identify, measure, assess, and report on our adherence to applicable laws, policies and procedures. While we assess and improve these programs on an ongoing basis, there can be no assurance that our risk management or compliance programs, along with other related controls, will effectively mitigate all risk and limit losses in our business. As with any risk management framework, there are inherent limitations to our risk management strategies as there may exist, or develop in the future, risks that we have not appropriately anticipated or identified. If our risk management framework proves ineffective, we could suffer unexpected losses which could have a material adverse effect on our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Cybersecurity, Data, and Fraud</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are subject to certain risks in connection with our use of technology.</w:t>
      </w:r>
    </w:p>
    <w:p>
      <w:pPr>
        <w:spacing w:after="0" w:line="35" w:lineRule="exact"/>
        <w:rPr>
          <w:sz w:val="20"/>
          <w:szCs w:val="20"/>
          <w:color w:val="auto"/>
        </w:rPr>
      </w:pPr>
    </w:p>
    <w:p>
      <w:pPr>
        <w:jc w:val="both"/>
        <w:spacing w:after="0" w:line="299" w:lineRule="auto"/>
        <w:rPr>
          <w:sz w:val="20"/>
          <w:szCs w:val="20"/>
          <w:color w:val="auto"/>
        </w:rPr>
      </w:pPr>
      <w:r>
        <w:rPr>
          <w:rFonts w:ascii="Arial" w:cs="Arial" w:eastAsia="Arial" w:hAnsi="Arial"/>
          <w:sz w:val="11"/>
          <w:szCs w:val="11"/>
          <w:i w:val="1"/>
          <w:iCs w:val="1"/>
          <w:color w:val="auto"/>
        </w:rPr>
        <w:t xml:space="preserve">Our security measures may not be sufficient to mitigate the risk of a cyber attack. </w:t>
      </w:r>
      <w:r>
        <w:rPr>
          <w:rFonts w:ascii="Arial" w:cs="Arial" w:eastAsia="Arial" w:hAnsi="Arial"/>
          <w:sz w:val="11"/>
          <w:szCs w:val="11"/>
          <w:color w:val="auto"/>
        </w:rPr>
        <w:t>Communications and information systems are essential to the conduct of our business, as we use such systems to manage our customer</w:t>
      </w:r>
      <w:r>
        <w:rPr>
          <w:rFonts w:ascii="Arial" w:cs="Arial" w:eastAsia="Arial" w:hAnsi="Arial"/>
          <w:sz w:val="11"/>
          <w:szCs w:val="11"/>
          <w:i w:val="1"/>
          <w:iCs w:val="1"/>
          <w:color w:val="auto"/>
        </w:rPr>
        <w:t xml:space="preserve"> </w:t>
      </w:r>
      <w:r>
        <w:rPr>
          <w:rFonts w:ascii="Arial" w:cs="Arial" w:eastAsia="Arial" w:hAnsi="Arial"/>
          <w:sz w:val="11"/>
          <w:szCs w:val="11"/>
          <w:color w:val="auto"/>
        </w:rPr>
        <w:t>relationships, our general ledger, and virtually all other aspects of our business. Our operations rely on the secure processing, storage, and transmission of confidential and other information in our computer systems and networks. Although we take protective measures and endeavor to modify them as circumstances warrant, the security of our computer systems, software, and networks may be vulnerable to breaches, fraudulent or unauthorized access, denial or degradation of service attacks, misuse, computer viruses, malware or other malicious code and cyber-attacks that could have a security impact. If one or more of these events occur, this could jeopardize our or our customers' confidential and other information processed and stored in, and transmitted through, our computer systems and networks, or otherwise cause interruptions or malfunctions in our operations or the operations of our customers or counterparties. We may be required to expend significant additional resources to modify our protective measures or to investigate and remediate vulnerabilities or other exposures, and we may be subject to litigation and financial losses that are either not insured against or not fully covered through any insurance maintained by us. We could also suffer significant reputational damage.</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Further, our cardholders use their debit and credit cards to make purchases from third parties or through third party processing services. As such, we are subject to risk from data breaches of such third party’s information systems or their payment processors. Such a data security breach could compromise our account information. The payment methods that we offer also subject us to potential fraud and theft by criminals, who are becoming increasingly more sophisticated, seeking to obtain unauthorized access to or exploit weaknesses that may exist in the payment systems. If we fail to comply with applicable rules or requirements for the payment methods we accept, or if payment-related data is compromised due to a breach or misuse of data, we may be liable for losses associated with reimbursing our clients for such fraudulent transactions on clients’ card accounts, as well as costs incurred by payment card issuing banks and other third parties, we may be subject to fines and higher transaction fees, or our ability to accept or facilitate certain types of payments may be impaired. We may also incur other costs related to data security breaches, such as replacing cards associated with compromised card accounts. In addition, our customers could lose confidence in certain payment types, which may result in a shift to other payment types or potential changes to our payment systems that may result in higher costs.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3"/>
          <w:szCs w:val="13"/>
          <w:color w:val="auto"/>
        </w:rPr>
        <w:t>Breaches of information security also may occur through intentional or unintentional acts by those having access to our systems or our clients’ or counterparties’ confidential information, including employees. The Company is continuously working to install new and upgrade its existing information technology systems and provide employee awareness training around phishing, malware, and other cyber risks to further protect the Company against cyber risks and security breaches.</w:t>
      </w:r>
    </w:p>
    <w:p>
      <w:pPr>
        <w:spacing w:after="0" w:line="41"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There continues to be a rise in electronic fraudulent activity, security breaches, and cyber-attacks within the financial services industry, especially in the commercial banking sector, due to cyber criminals targeting commercial bank accounts. We are regularly the target of attempted cyber and other security threats and must continuously monitor and develop our information technology networks and infrastructure to prevent, detect, address, and mitigate the risk of unauthorized access, misuse, computer viruses, and other events that could have a security impact. Insider or employee cyber and security threats are increasingly a concern for companies, including ours. We are not aware that we have experienced any material misappropriation, loss or other unauthorized disclosure of confidential or personally identifiable information as a result of a cyber-security breach or other act, however, some of our clients may have been affected by these breaches, which could increase their risks of identity theft, credit card fraud, and other fraudulent activity that could involve their accounts with us.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i w:val="1"/>
          <w:iCs w:val="1"/>
          <w:color w:val="auto"/>
        </w:rPr>
        <w:t xml:space="preserve">Security breaches in our internet banking activities could further expose us to possible liability and damage our reputation. </w:t>
      </w:r>
      <w:r>
        <w:rPr>
          <w:rFonts w:ascii="Arial" w:cs="Arial" w:eastAsia="Arial" w:hAnsi="Arial"/>
          <w:sz w:val="12"/>
          <w:szCs w:val="12"/>
          <w:color w:val="auto"/>
        </w:rPr>
        <w:t>Increases in criminal activity levels and sophistication, advances in computer capabilities, new</w:t>
      </w:r>
      <w:r>
        <w:rPr>
          <w:rFonts w:ascii="Arial" w:cs="Arial" w:eastAsia="Arial" w:hAnsi="Arial"/>
          <w:sz w:val="12"/>
          <w:szCs w:val="12"/>
          <w:i w:val="1"/>
          <w:iCs w:val="1"/>
          <w:color w:val="auto"/>
        </w:rPr>
        <w:t xml:space="preserve"> </w:t>
      </w:r>
      <w:r>
        <w:rPr>
          <w:rFonts w:ascii="Arial" w:cs="Arial" w:eastAsia="Arial" w:hAnsi="Arial"/>
          <w:sz w:val="12"/>
          <w:szCs w:val="12"/>
          <w:color w:val="auto"/>
        </w:rPr>
        <w:t>discoveries, vulnerabilities in third party technologies (including browsers and operating systems), or other developments could result in a compromise or breach of the technology, processes and controls that we use to prevent fraudulent transactions and to protect data about us, our clients and underlying transactions. Any compromise of our security could deter customers from using our internet banking services that involve the transmission of confidential information. We rely on standard internet security systems to provide the security and authentication necessary to effect secure transmission of data. Although we have developed and continue to invest in systems and processes that are designed to detect and prevent security breaches and cyber-attacks and periodically test our security, these precautions may not protect our systems from compromises or breaches of our security measures, and could result in losses to us or our customers, our loss of business and/or customers, damage to our reputation, the incurrence of additional expenses, disruption to our business, our inability to grow our online services or other businesses, additional regulatory scrutiny or penalties, or our exposure to civil litigation and possible financial liability, any of which could have a material adverse effect on our business, financial condition, and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Our security measures may not protect us from system failures or interruptions of our own systems or those of our third-party vendors</w:t>
      </w:r>
      <w:r>
        <w:rPr>
          <w:rFonts w:ascii="Arial" w:cs="Arial" w:eastAsia="Arial" w:hAnsi="Arial"/>
          <w:sz w:val="11"/>
          <w:szCs w:val="11"/>
          <w:color w:val="auto"/>
        </w:rPr>
        <w:t>. While we have established policies and procedures to prevent or limit the impact of</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systems failures and interruptions, there can be no assurance that such events will not occur or that they will be adequately addressed if they do. In addition, we outsource certain aspects of our data processing and other operational functions to certain third-party providers. While the Company selects third-party vendors carefully, it does not control their actions. If our third-party providers encounter difficulties including those resulting from breakdowns or other disruptions in communication services provided by a vendor, failure of a vendor to handle current or higher transaction volumes, cyber-attacks and security breaches or if we otherwise have difficulty in communicating with them, our ability to adequately process and account for transactions could be affected, and our ability to deliver products and services to our customers and otherwise conduct business operations could be adversely impacted. Replacing these third-party vendors could also entail significant delay and expense. Threats to information security also exist in the processing of customer information through various other vendors and their personnel.</w:t>
      </w:r>
    </w:p>
    <w:p>
      <w:pPr>
        <w:spacing w:after="0" w:line="3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We cannot assure you that such breaches, failures, or interruptions will not occur or, if they do occur, that they will be adequately addressed by us or the third parties on which we rely. We may not be insured against all types of losses as a result of third-party failures and insurance coverage may be inadequate to cover all losses resulting from breaches, system failures, or other disruptions. If any of our third-party service providers experience financial, operational, or technological difficulties, or if there is any other disruption in our relationships with them, we may be required to identify alternative sources of such services, and we cannot assure you that we could negotiate terms that are as favorable to us, or could obtain services with similar functionality as found in our existing systems without the need to expend substantial resources, if at all. Further, the occurrence of any systems failure or interruption could damage our reputation and result in a loss of customers and business, could subject us to additional regulatory scrutiny, or could expose us to legal liability. Any of these occurrences could have a material adverse effect on our financial condition and results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may be adversely affected by an increasing prevalence of fraud and other financial crimes</w:t>
      </w:r>
      <w:r>
        <w:rPr>
          <w:rFonts w:ascii="Arial" w:cs="Arial" w:eastAsia="Arial" w:hAnsi="Arial"/>
          <w:sz w:val="13"/>
          <w:szCs w:val="13"/>
          <w:color w:val="auto"/>
        </w:rPr>
        <w:t>.</w:t>
      </w:r>
    </w:p>
    <w:p>
      <w:pPr>
        <w:spacing w:after="0" w:line="35"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As a bank, we are susceptible to fraudulent activity that may be committed against us or our clients, which may result in financial losses or increased costs to us or our clients, disclosure or misuse of our information or our client information, misappropriation of assets, privacy breaches against our clients, litigation, or damage to our reputation. Such fraudulent activity may take many forms, including check fraud, electronic fraud, wire fraud, phishing, social engineering, and other dishonest acts. Nationally, reported incidents of fraud and other financial crimes have increased. We have also experienced losses due to apparent fraud and other financial crimes</w:t>
      </w:r>
      <w:r>
        <w:rPr>
          <w:rFonts w:ascii="Arial" w:cs="Arial" w:eastAsia="Arial" w:hAnsi="Arial"/>
          <w:sz w:val="12"/>
          <w:szCs w:val="12"/>
          <w:b w:val="1"/>
          <w:bCs w:val="1"/>
          <w:color w:val="auto"/>
        </w:rPr>
        <w:t>.</w:t>
      </w:r>
      <w:r>
        <w:rPr>
          <w:rFonts w:ascii="Arial" w:cs="Arial" w:eastAsia="Arial" w:hAnsi="Arial"/>
          <w:sz w:val="12"/>
          <w:szCs w:val="12"/>
          <w:color w:val="auto"/>
        </w:rPr>
        <w:t xml:space="preserve"> While we have policies and procedures designed to prevent or reduce the severity of such losses, there can be no assurance that such losses will not occur.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Business and Industry Generally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replacement of LIBOR as a benchmark interest rate may adversely impact us.</w:t>
      </w:r>
    </w:p>
    <w:p>
      <w:pPr>
        <w:spacing w:after="0" w:line="35"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We had certain loans, investment securities, and borrowings indexed to USD LIBOR to calculate the interest rate. ICE Benchmark Administration, the authorized and regulated administrator of LIBOR, ended publication of the one-week and two-month USD LIBOR tenors on December 31, 2021, and ended publication of the remaining USD LIBOR tenors on June 30, 2023. The Adjustable Interest Rate (LIBOR) Act (the “LIBOR Act”) was enacted in March 2022 to permit financing agreements that contain a LIBOR-based benchmark without adequate “fallback provisions” to be automatically replaced by a benchmark recommended by the Federal Reserve. In January 2023, the Federal Reserve adopted a final rule implementing the LIBOR Act that, among other things, identifies the applicable SOFR-based benchmark replacements under the LIBOR Act.</w:t>
      </w:r>
    </w:p>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SOFR is considered to be a risk-free rate while USD LIBOR was a risk-weighted rate. Thus, SOFR tends to be a lower rate than USD LIBOR as SOFR does not contain a risk component. This difference may negatively impact our net interest margin. The implementation of a substitute index or indices for the calculation of interest rates under our loan agreements with our borrowers or under our existing borrowings may result in our incurring significant expenses in effecting the transition, may result in reduced loan balances if borrowers do not accept the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1" w:name="page22"/>
    <w:bookmarkEnd w:id="21"/>
    <w:p>
      <w:pPr>
        <w:jc w:val="both"/>
        <w:spacing w:after="0" w:line="256" w:lineRule="auto"/>
        <w:rPr>
          <w:sz w:val="20"/>
          <w:szCs w:val="20"/>
          <w:color w:val="auto"/>
        </w:rPr>
      </w:pPr>
      <w:r>
        <w:rPr>
          <w:rFonts w:ascii="Arial" w:cs="Arial" w:eastAsia="Arial" w:hAnsi="Arial"/>
          <w:sz w:val="13"/>
          <w:szCs w:val="13"/>
          <w:color w:val="auto"/>
        </w:rPr>
        <w:t>substitute index or indices, and may result in disputes or litigation with customers and creditors over the appropriateness or comparability to LIBOR of the substitute index or indices, which could adversely affect our results of operations and financial condition. We began to use SOFR as a substitute for USD LIBOR for new originations in calendar year 2021. As of June 30, 2023, there were no loans in our portfolio tied to USD LIBOR.</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Ineffective liquidity management could adversely affect our financial results and condition.</w:t>
      </w:r>
    </w:p>
    <w:p>
      <w:pPr>
        <w:spacing w:after="0" w:line="35"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Liquidity is essential to our business. We rely on a number of different sources in order to meet our potential liquidity demands. Our primary sources of liquidity are increases in deposit accounts, cash flows from loan payments, and our securities portfolio. Borrowings also provide us with a source of funds to meet liquidity demands. An inability to raise funds through deposits, borrowings, the sale of loans or debt securities, and other sources could have a substantial negative effect on our liquidity. Our access to funding sources in amounts adequate to finance our activities or on terms which are acceptable to us could be impaired by factors that affect us specifically, or the financial services industry or economy in general. Factors that could detrimentally impact our access to liquidity sources include a decrease in the level of our business activity as a result of a downturn in the Georgia, North Carolina, South Carolina, Virginia, and/or Tennessee markets in which the majority of our loans are concentrated or adverse regulatory action against us. Our ability to borrow could also be impaired by factors that are not specific to us such as a disruption in the financial markets or negative views and expectations about the prospects for the financial services industry or deterioration in credit markets. In particular, our liquidity position could be significantly constrained if we are unable to access funds from the FHLB Atlanta or other wholesale funding sources, or if adequate financing is not available at acceptable interest rates. Finally, if we are required to rely more heavily on more expensive funding sources, our revenues may not increase proportionately to cover our costs. 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 See “Item 7. Management’s Discussion and Analysis of Financial Condition and Results of Operations – Liquidity” of this Form 10-K.</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Additionally, collateralized public funds are bank deposits of state and local municipalities. These deposits are required to be secured by certain investment grade securities to ensure repayment, which on the one hand tends to reduce our contingent liquidity risk by making these funds somewhat less credit sensitive, but on the other hand reduces standby liquidity by restricting the potential liquidity of the pledged collateral. Although these funds historically have been a relatively stable source of funds for us, availability depends on the individual municipality’s fiscal policies and cash flow needs.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 with other financial institutions could adversely affect our profitability.</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Although we consider ourselves competitive in our market areas, we face intense competition in both making loans and attracting deposits. Price competition for loans and deposits might result in our earning less on our loans and paying more on our deposits, which reduces net interest income. Some of the institutions with which we compete have substantially greater resources than we have and may offer services that we do not provide. We expect competition to increase in the future as a result of legislative, regulatory and technological changes and the continuing trend of consolidation in the financial services industry. Our profitability will depend upon our continued ability to compete successfully in our market areas.</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b w:val="1"/>
          <w:bCs w:val="1"/>
          <w:color w:val="auto"/>
        </w:rPr>
        <w:t>Our ability to retain and recruit key management personnel and bankers is critical to the success of our business strategy and any failure to do so could impair our customer relationships and adversely affect our business and results of operations.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Competition for qualified employees and personnel in the banking industry is intense and there are a limited number of qualified persons with knowledge of, and experience in, the community banking industry where the Bank conducts its business. The process of recruiting personnel with the combination of skills and attributes required to carry out our strategies is often lengthy. Our success depends to a significant degree upon our ability to attract and retain qualified management, loan origination, finance, administrative, marketing, and technical personnel and upon the continued contributions of our management and personnel. Our ability to retain and grow our loans, deposits, and fee income depends upon the business generation capabilities, reputation, and relationship management skills of our bankers. If we were to lose the services of any of our bankers, including successful bankers employed by banks that we may acquire, to a new or existing competitor, or otherwise, we may not be able to retain valuable relationships and some of our customers could choose to use the services of a competitor instead of our services. In addition, our success has been and continues to be highly dependent upon the services of our directors, several of whom are nearing retirement age, and we may not be able to identify and attract suitable candidates to replace such directors.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financial services market is undergoing rapid technological changes, and if we are unable to stay current with those changes, we will not be able to effectively compete.</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financial services market, including banking services, is undergoing rapid changes with frequent introductions of new technology-driven products and services. Our future success will depend, in part, on our ability to keep pace with technological changes and to use technology to satisfy and grow customer demand for our products and services and to create additional efficiencies in our operations. We expect that we will need to make substantial investments in our technology and information systems to compete effectively and to stay current with technological changes. Some of our competitors have substantially greater resources to invest in technological improvements and will be able to invest more heavily in developing and adopting new technologies, which may put us at a competitive disadvantage. We may not be able to effectively implement new technology-driven products and services or be successful in marketing these products and services to our customers. As a result, our ability to effectively compete to retain or acquire new business may be impaired, and our business, financial condition or results of operations may be adversely affected</w:t>
      </w:r>
      <w:r>
        <w:rPr>
          <w:rFonts w:ascii="Arial" w:cs="Arial" w:eastAsia="Arial" w:hAnsi="Arial"/>
          <w:sz w:val="13"/>
          <w:szCs w:val="13"/>
          <w:b w:val="1"/>
          <w:bCs w:val="1"/>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rely on other companies to provide key components of our business infrastructure.</w:t>
      </w:r>
    </w:p>
    <w:p>
      <w:pPr>
        <w:spacing w:after="0" w:line="35"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We rely on numerous external vendors to provide us with products and services necessary to maintain our day-to-day operations. Accordingly, our operations are exposed to risk that these vendors will not perform in accordance with the contracted arrangements under service level agreements. The failure of an external vendor to perform in accordance with the contracted arrangements under service level agreements because of changes in the vendor’s organizational structure, financial condition, support for existing products and services or strategic focus or for any other reason, could be disruptive to our operations, which in turn could have a material negative impact on our financial condition and results of operations. We also could be adversely affected to the extent such an agreement is not renewed by the third-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2" w:name="page23"/>
    <w:bookmarkEnd w:id="22"/>
    <w:p>
      <w:pPr>
        <w:jc w:val="both"/>
        <w:spacing w:after="0" w:line="287" w:lineRule="auto"/>
        <w:rPr>
          <w:sz w:val="20"/>
          <w:szCs w:val="20"/>
          <w:color w:val="auto"/>
        </w:rPr>
      </w:pPr>
      <w:r>
        <w:rPr>
          <w:rFonts w:ascii="Arial" w:cs="Arial" w:eastAsia="Arial" w:hAnsi="Arial"/>
          <w:sz w:val="12"/>
          <w:szCs w:val="12"/>
          <w:color w:val="auto"/>
        </w:rPr>
        <w:t>party vendor or is renewed on terms less favorable to us. Additionally, the bank regulatory agencies expect financial institutions to be responsible for all aspects of our vendors’ performance, including aspects which they delegate to third parties. Disruptions or failures in the physical infrastructure or operating systems that support our business and clients could result in client attrition, regulatory fines, penalties or intervention, reputational damage, reimbursement or other compensation costs, and/or additional compliance costs, any of which could materially adversely affect our results of operations or financial condition.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Managing reputational risk is important to attracting and maintaining customers, investors and employees.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Threats to our reputation can come from many sources, including adverse sentiment about financial institutions generally, unethical practices, employee misconduct, failure to deliver minimum standards of service or quality, compliance deficiencies, and questionable or fraudulent activities of our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regulation.</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growth or future losses may require us to raise additional capital in the future, but that capital may not be available when it is needed or the cost of that capital may be very high.</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required by federal regulatory authorities to maintain adequate levels of capital to support our operations. Our ability to raise additional capital, if needed, will depend on conditions in the capital markets at that time, which are outside our control, and on our financial condition and performance. Accordingly, we cannot make assurances that we will be able to raise additional capital if needed on terms that are acceptable to us, or at all. If we cannot raise additional capital when needed, our ability to further expand our operations could be materially impaired and our financial condition and liquidity could be materially and adversely affected. In addition, any additional capital we obtain may result in the dilution of the interests of existing holders of our common stock. Further, if we are unable to raise additional capital when required by our bank regulators, we may be subject to adverse regulatory action.</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rely on dividends from the Bank for substantially all of our revenue at the holding company level.</w:t>
      </w:r>
    </w:p>
    <w:p>
      <w:pPr>
        <w:spacing w:after="0" w:line="35"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We are an entity separate and distinct from our principal subsidiary, HomeTrust Bank, and derive substantially all of our revenue at the holding company level in the form of dividends from that subsidiary. Accordingly, we are, and will be, dependent upon dividends from the Bank to pay the principal of and interest on our indebtedness, to satisfy our other cash needs and to pay dividends on our common stock. HomeTrust Bank’s ability to pay dividends is subject to its ability to earn net income and to meet certain regulatory requirements. In the event the Bank is unable to pay dividends to us, we may not be able to pay dividends on our common stock or continue stock repurchases. Also, our right to participate in a distribution of assets upon a subsidiary’s liquidation or reorganization is subject to the prior claims of the subsidiary’s creditors.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We maintain our administrative office, which is owned by us, in Asheville, North Carolina. In total, as of June 30, 2023, we have 34 locations in five states, which include: North Carolina (including the Asheville metropolitan area, the "Piedmont" region, Charlotte, and Raleigh/Cary), Upstate South Carolina (Greenville), East Tennessee (including Kingsport/Johnson City, Knoxville, and Morristown), Southwest Virginia (including the Roanoke Valley) and Georgia (Greater Atlanta). Of those offices, 9 are leased facilities. We also own an operations center located in Asheville, North Carolina. We lease additional space, which is adjacent to the facility we own in Asheville, for administrative and operations personnel. The lease terms for our branch offices, operations center, and other offices are not individually material. Lease expirations range from two to 18 years. In the opinion of management, all properties are adequately covered by insurance, are in a good state of repair and are appropriately designed for their present and future use. See "Note 7 – Premises and Equipment" and "Note 11 – Leases" of the Notes to the Consolidated Financial Statements included in Item 8 of this Form 10-K for additional information.</w:t>
      </w:r>
    </w:p>
    <w:p>
      <w:pPr>
        <w:spacing w:after="0" w:line="3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maintain depositor and borrower customer files on an online basis, utilizing a telecommunications network, portions of which are leased. Management has a disaster recovery plan in place with respect to the data processing system, as well as our operations as a whole.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Legal Proceedings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 "Litigation" section of “Note 17 – Commitments and Contingencies” of the Notes to Consolidated Financial Statements included in Item 8 of this Form 10-K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PART II</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35"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The Company’s common stock is listed on the Nasdaq Global Market under the symbol “HTBI.” As of the close of business on September 4, 2023, there were 17,367,173 shares of common stock outstanding held by 1,029 holders of record. Certain shares are held in “nominee” or “street” name and accordingly, the number of beneficial owners of such shares is not known or included in the foregoing number.</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began paying its first cash dividends during the second fiscal quarter of 2019. The timing and amount of cash dividends paid depends on our earnings, capital requirements, financial condition and other relevant factors. We also have the ability to receive dividends or capital distributions from HomeTrust Bank, our wholly owned subsidiary. There are regulatory restrictions on the ability of HomeTrust Bank to pay dividends. See Item 1, “How We Are Regulated,” for more information regarding the restrictions on the Company’s and the Bank’s abilities to pay dividends.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5"/>
        </w:trPr>
        <w:tc>
          <w:tcPr>
            <w:tcW w:w="3480" w:type="dxa"/>
            <w:vAlign w:val="bottom"/>
          </w:tcPr>
          <w:p>
            <w:pPr>
              <w:spacing w:after="0"/>
              <w:rPr>
                <w:sz w:val="20"/>
                <w:szCs w:val="20"/>
                <w:color w:val="auto"/>
              </w:rPr>
            </w:pPr>
            <w:r>
              <w:rPr>
                <w:rFonts w:ascii="Arial" w:cs="Arial" w:eastAsia="Arial" w:hAnsi="Arial"/>
                <w:sz w:val="13"/>
                <w:szCs w:val="13"/>
                <w:b w:val="1"/>
                <w:bCs w:val="1"/>
                <w:color w:val="auto"/>
              </w:rPr>
              <w:t>Purchases of Equity Securities by the Issuer</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00" w:type="dxa"/>
            <w:vAlign w:val="bottom"/>
            <w:gridSpan w:val="6"/>
          </w:tcPr>
          <w:p>
            <w:pPr>
              <w:spacing w:after="0"/>
              <w:rPr>
                <w:sz w:val="20"/>
                <w:szCs w:val="20"/>
                <w:color w:val="auto"/>
              </w:rPr>
            </w:pPr>
            <w:r>
              <w:rPr>
                <w:rFonts w:ascii="Arial" w:cs="Arial" w:eastAsia="Arial" w:hAnsi="Arial"/>
                <w:sz w:val="13"/>
                <w:szCs w:val="13"/>
                <w:color w:val="auto"/>
                <w:w w:val="92"/>
              </w:rPr>
              <w:t>The following table provides information about repurchases of common stock by the Company during the quarter ended June 30, 2023:</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Maximum # of</w:t>
            </w:r>
          </w:p>
        </w:tc>
        <w:tc>
          <w:tcPr>
            <w:tcW w:w="0" w:type="dxa"/>
            <w:vAlign w:val="bottom"/>
          </w:tcPr>
          <w:p>
            <w:pPr>
              <w:spacing w:after="0"/>
              <w:rPr>
                <w:sz w:val="1"/>
                <w:szCs w:val="1"/>
                <w:color w:val="auto"/>
              </w:rPr>
            </w:pPr>
          </w:p>
        </w:tc>
      </w:tr>
      <w:tr>
        <w:trPr>
          <w:trHeight w:val="127"/>
        </w:trPr>
        <w:tc>
          <w:tcPr>
            <w:tcW w:w="3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1"/>
              </w:rPr>
              <w:t>Total # of Shares Purchased as Part</w:t>
            </w:r>
          </w:p>
        </w:tc>
        <w:tc>
          <w:tcPr>
            <w:tcW w:w="19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0"/>
              </w:rPr>
              <w:t>Shares that May</w:t>
            </w:r>
          </w:p>
        </w:tc>
        <w:tc>
          <w:tcPr>
            <w:tcW w:w="0" w:type="dxa"/>
            <w:vAlign w:val="bottom"/>
          </w:tcPr>
          <w:p>
            <w:pPr>
              <w:spacing w:after="0"/>
              <w:rPr>
                <w:sz w:val="1"/>
                <w:szCs w:val="1"/>
                <w:color w:val="auto"/>
              </w:rPr>
            </w:pPr>
          </w:p>
        </w:tc>
      </w:tr>
      <w:tr>
        <w:trPr>
          <w:trHeight w:val="127"/>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vMerge w:val="restart"/>
          </w:tcPr>
          <w:p>
            <w:pPr>
              <w:ind w:left="120"/>
              <w:spacing w:after="0"/>
              <w:rPr>
                <w:sz w:val="20"/>
                <w:szCs w:val="20"/>
                <w:color w:val="auto"/>
              </w:rPr>
            </w:pPr>
            <w:r>
              <w:rPr>
                <w:rFonts w:ascii="Arial" w:cs="Arial" w:eastAsia="Arial" w:hAnsi="Arial"/>
                <w:sz w:val="13"/>
                <w:szCs w:val="13"/>
                <w:b w:val="1"/>
                <w:bCs w:val="1"/>
                <w:color w:val="auto"/>
                <w:w w:val="92"/>
              </w:rPr>
              <w:t>Total # of Shares Purchased</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vMerge w:val="restart"/>
          </w:tcPr>
          <w:p>
            <w:pPr>
              <w:spacing w:after="0"/>
              <w:rPr>
                <w:sz w:val="20"/>
                <w:szCs w:val="20"/>
                <w:color w:val="auto"/>
              </w:rPr>
            </w:pPr>
            <w:r>
              <w:rPr>
                <w:rFonts w:ascii="Arial" w:cs="Arial" w:eastAsia="Arial" w:hAnsi="Arial"/>
                <w:sz w:val="13"/>
                <w:szCs w:val="13"/>
                <w:b w:val="1"/>
                <w:bCs w:val="1"/>
                <w:color w:val="auto"/>
                <w:w w:val="91"/>
              </w:rPr>
              <w:t>Average Price Paid per Share</w:t>
            </w:r>
          </w:p>
        </w:tc>
        <w:tc>
          <w:tcPr>
            <w:tcW w:w="100" w:type="dxa"/>
            <w:vAlign w:val="bottom"/>
            <w:vMerge w:val="restart"/>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9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8"/>
              </w:rPr>
              <w:t>Yet Be Purchased Under Publicly</w:t>
            </w:r>
          </w:p>
        </w:tc>
        <w:tc>
          <w:tcPr>
            <w:tcW w:w="0" w:type="dxa"/>
            <w:vAlign w:val="bottom"/>
          </w:tcPr>
          <w:p>
            <w:pPr>
              <w:spacing w:after="0"/>
              <w:rPr>
                <w:sz w:val="1"/>
                <w:szCs w:val="1"/>
                <w:color w:val="auto"/>
              </w:rPr>
            </w:pPr>
          </w:p>
        </w:tc>
      </w:tr>
      <w:tr>
        <w:trPr>
          <w:trHeight w:val="170"/>
        </w:trPr>
        <w:tc>
          <w:tcPr>
            <w:tcW w:w="348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9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98"/>
              </w:rPr>
              <w:t>of Publicly Announced Plans</w:t>
            </w:r>
          </w:p>
        </w:tc>
        <w:tc>
          <w:tcPr>
            <w:tcW w:w="8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Announced Plans</w:t>
            </w:r>
          </w:p>
        </w:tc>
        <w:tc>
          <w:tcPr>
            <w:tcW w:w="0" w:type="dxa"/>
            <w:vAlign w:val="bottom"/>
          </w:tcPr>
          <w:p>
            <w:pPr>
              <w:spacing w:after="0"/>
              <w:rPr>
                <w:sz w:val="1"/>
                <w:szCs w:val="1"/>
                <w:color w:val="auto"/>
              </w:rPr>
            </w:pPr>
          </w:p>
        </w:tc>
      </w:tr>
      <w:tr>
        <w:trPr>
          <w:trHeight w:val="161"/>
        </w:trPr>
        <w:tc>
          <w:tcPr>
            <w:tcW w:w="3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April 1 - April 30, 2023</w:t>
            </w:r>
          </w:p>
        </w:tc>
        <w:tc>
          <w:tcPr>
            <w:tcW w:w="1860" w:type="dxa"/>
            <w:vAlign w:val="bottom"/>
            <w:gridSpan w:val="2"/>
            <w:shd w:val="clear" w:color="auto" w:fill="CCEEFF"/>
          </w:tcPr>
          <w:p>
            <w:pPr>
              <w:ind w:left="15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ind w:left="1500"/>
              <w:spacing w:after="0"/>
              <w:rPr>
                <w:sz w:val="20"/>
                <w:szCs w:val="20"/>
                <w:color w:val="auto"/>
              </w:rPr>
            </w:pPr>
            <w:r>
              <w:rPr>
                <w:rFonts w:ascii="Arial" w:cs="Arial" w:eastAsia="Arial" w:hAnsi="Arial"/>
                <w:sz w:val="13"/>
                <w:szCs w:val="13"/>
                <w:color w:val="auto"/>
              </w:rPr>
              <w:t>—</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3"/>
                <w:szCs w:val="13"/>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68"/>
        </w:trPr>
        <w:tc>
          <w:tcPr>
            <w:tcW w:w="3480" w:type="dxa"/>
            <w:vAlign w:val="bottom"/>
          </w:tcPr>
          <w:p>
            <w:pPr>
              <w:ind w:left="80"/>
              <w:spacing w:after="0"/>
              <w:rPr>
                <w:sz w:val="20"/>
                <w:szCs w:val="20"/>
                <w:color w:val="auto"/>
              </w:rPr>
            </w:pPr>
            <w:r>
              <w:rPr>
                <w:rFonts w:ascii="Arial" w:cs="Arial" w:eastAsia="Arial" w:hAnsi="Arial"/>
                <w:sz w:val="13"/>
                <w:szCs w:val="13"/>
                <w:color w:val="auto"/>
              </w:rPr>
              <w:t>May 1 - May 31, 2023</w:t>
            </w:r>
          </w:p>
        </w:tc>
        <w:tc>
          <w:tcPr>
            <w:tcW w:w="1860" w:type="dxa"/>
            <w:vAlign w:val="bottom"/>
            <w:gridSpan w:val="2"/>
          </w:tcPr>
          <w:p>
            <w:pPr>
              <w:ind w:left="15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780" w:type="dxa"/>
            <w:vAlign w:val="bottom"/>
            <w:gridSpan w:val="2"/>
          </w:tcPr>
          <w:p>
            <w:pPr>
              <w:ind w:left="1500"/>
              <w:spacing w:after="0"/>
              <w:rPr>
                <w:sz w:val="20"/>
                <w:szCs w:val="20"/>
                <w:color w:val="auto"/>
              </w:rPr>
            </w:pPr>
            <w:r>
              <w:rPr>
                <w:rFonts w:ascii="Arial" w:cs="Arial" w:eastAsia="Arial" w:hAnsi="Arial"/>
                <w:sz w:val="13"/>
                <w:szCs w:val="13"/>
                <w:color w:val="auto"/>
              </w:rPr>
              <w:t>—</w:t>
            </w:r>
          </w:p>
        </w:tc>
        <w:tc>
          <w:tcPr>
            <w:tcW w:w="2060" w:type="dxa"/>
            <w:vAlign w:val="bottom"/>
            <w:gridSpan w:val="2"/>
          </w:tcPr>
          <w:p>
            <w:pPr>
              <w:ind w:left="1800"/>
              <w:spacing w:after="0"/>
              <w:rPr>
                <w:sz w:val="20"/>
                <w:szCs w:val="20"/>
                <w:color w:val="auto"/>
              </w:rPr>
            </w:pPr>
            <w:r>
              <w:rPr>
                <w:rFonts w:ascii="Arial" w:cs="Arial" w:eastAsia="Arial" w:hAnsi="Arial"/>
                <w:sz w:val="13"/>
                <w:szCs w:val="13"/>
                <w:color w:val="auto"/>
              </w:rPr>
              <w:t>—</w:t>
            </w:r>
          </w:p>
        </w:tc>
        <w:tc>
          <w:tcPr>
            <w:tcW w:w="1980" w:type="dxa"/>
            <w:vAlign w:val="bottom"/>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June 1 - June 30, 2023</w:t>
            </w:r>
          </w:p>
        </w:tc>
        <w:tc>
          <w:tcPr>
            <w:tcW w:w="176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58"/>
        </w:trPr>
        <w:tc>
          <w:tcPr>
            <w:tcW w:w="348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1860" w:type="dxa"/>
            <w:vAlign w:val="bottom"/>
            <w:gridSpan w:val="2"/>
          </w:tcPr>
          <w:p>
            <w:pPr>
              <w:ind w:left="15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ind w:left="1500"/>
              <w:spacing w:after="0"/>
              <w:rPr>
                <w:sz w:val="20"/>
                <w:szCs w:val="20"/>
                <w:color w:val="auto"/>
              </w:rPr>
            </w:pPr>
            <w:r>
              <w:rPr>
                <w:rFonts w:ascii="Arial" w:cs="Arial" w:eastAsia="Arial" w:hAnsi="Arial"/>
                <w:sz w:val="13"/>
                <w:szCs w:val="13"/>
                <w:color w:val="auto"/>
              </w:rPr>
              <w:t>—</w:t>
            </w:r>
          </w:p>
        </w:tc>
        <w:tc>
          <w:tcPr>
            <w:tcW w:w="2060" w:type="dxa"/>
            <w:vAlign w:val="bottom"/>
            <w:gridSpan w:val="2"/>
          </w:tcPr>
          <w:p>
            <w:pPr>
              <w:ind w:left="1800"/>
              <w:spacing w:after="0"/>
              <w:rPr>
                <w:sz w:val="20"/>
                <w:szCs w:val="20"/>
                <w:color w:val="auto"/>
              </w:rPr>
            </w:pPr>
            <w:r>
              <w:rPr>
                <w:rFonts w:ascii="Arial" w:cs="Arial" w:eastAsia="Arial" w:hAnsi="Arial"/>
                <w:sz w:val="13"/>
                <w:szCs w:val="13"/>
                <w:color w:val="auto"/>
              </w:rPr>
              <w:t>—</w:t>
            </w:r>
          </w:p>
        </w:tc>
        <w:tc>
          <w:tcPr>
            <w:tcW w:w="1980" w:type="dxa"/>
            <w:vAlign w:val="bottom"/>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On April 2, 2020, the Company's Board of Directors authorized the repurchase of up to 851,004 shares of the Company's common stock, representing 5% of its outstanding shares at the time of the announcement. This repurchase plan was completed on July 26, 2021. On July 28, 2021, 825,941 shares of common stock were authorized for repurchase representing 5% of the Company's outstanding shares at the time of the announcement. This repurchase plan was completed on February 28, 2022. On February 28, 2022, an additional 806,000 shares of common stock were authorized for repurchase representing approximately 5% of the Company's outstanding shares at the time of the announcement. As of June 30, 2023, 539,361 of these shares had been purchased at an average price of $28.93 per share, although no shares were repurchased during the year ended June 30, 2023. The shares may be purchased in the open market or in privately negotiated transactions, from time to time depending upon market conditions and other factors.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Stockholder Return Performance Graph Presentation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performance graph below compares the Company’s cumulative stockholder return on its common stock since June 30, 2018 to the cumulative total return of the S&amp;P US BMI Bank Index and the Nasdaq Composite for the periods indicated. The information presented below assumes the reinvestment of all dividends and that the value of common stock and each index was $100 on June 30, 2018.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-8890</wp:posOffset>
            </wp:positionV>
            <wp:extent cx="4042410" cy="185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42410" cy="185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Year Ended June 30,</w:t>
            </w: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0"/>
        </w:trPr>
        <w:tc>
          <w:tcPr>
            <w:tcW w:w="4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2023</w:t>
            </w:r>
          </w:p>
        </w:tc>
      </w:tr>
      <w:tr>
        <w:trPr>
          <w:trHeight w:val="163"/>
        </w:trPr>
        <w:tc>
          <w:tcPr>
            <w:tcW w:w="4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HomeTrust Bancshares, Inc.</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100.00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88.37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56.72</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101.24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90.56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75.67</w:t>
            </w:r>
          </w:p>
        </w:tc>
      </w:tr>
      <w:tr>
        <w:trPr>
          <w:trHeight w:val="168"/>
        </w:trPr>
        <w:tc>
          <w:tcPr>
            <w:tcW w:w="4100" w:type="dxa"/>
            <w:vAlign w:val="bottom"/>
          </w:tcPr>
          <w:p>
            <w:pPr>
              <w:spacing w:after="0"/>
              <w:rPr>
                <w:sz w:val="20"/>
                <w:szCs w:val="20"/>
                <w:color w:val="auto"/>
              </w:rPr>
            </w:pPr>
            <w:r>
              <w:rPr>
                <w:rFonts w:ascii="Arial" w:cs="Arial" w:eastAsia="Arial" w:hAnsi="Arial"/>
                <w:sz w:val="13"/>
                <w:szCs w:val="13"/>
                <w:color w:val="auto"/>
              </w:rPr>
              <w:t>S&amp;P US BMI Bank Index</w:t>
            </w:r>
          </w:p>
        </w:tc>
        <w:tc>
          <w:tcPr>
            <w:tcW w:w="1120" w:type="dxa"/>
            <w:vAlign w:val="bottom"/>
          </w:tcPr>
          <w:p>
            <w:pPr>
              <w:jc w:val="center"/>
              <w:spacing w:after="0"/>
              <w:rPr>
                <w:sz w:val="20"/>
                <w:szCs w:val="20"/>
                <w:color w:val="auto"/>
              </w:rPr>
            </w:pPr>
            <w:r>
              <w:rPr>
                <w:rFonts w:ascii="Arial" w:cs="Arial" w:eastAsia="Arial" w:hAnsi="Arial"/>
                <w:sz w:val="13"/>
                <w:szCs w:val="13"/>
                <w:color w:val="auto"/>
                <w:w w:val="90"/>
              </w:rPr>
              <w:t>100.00</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2"/>
              </w:rPr>
              <w:t>97.17</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2"/>
              </w:rPr>
              <w:t>74.17</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0"/>
              </w:rPr>
              <w:t>124.88</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5"/>
              </w:rPr>
              <w:t>100.77</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5"/>
              </w:rPr>
              <w:t>93.08</w:t>
            </w:r>
          </w:p>
        </w:tc>
      </w:tr>
      <w:tr>
        <w:trPr>
          <w:trHeight w:val="172"/>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NASDAQ Composite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100.00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107.88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137.61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203.61</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155.66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196.35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This discussion and analysis reviews our consolidated financial statements and other relevant statistical data and is intended to enhance your understanding of our financial condition and results of operations. The information in this section has been derived from the Consolidated Financial Statements and notes thereto which are included in Item 8 of this Form 10-K. You should read the information in this section in conjunction with the business and financial information regarding us as provided in this Form 10-K.</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20"/>
                <w:szCs w:val="20"/>
                <w:color w:val="auto"/>
              </w:rPr>
            </w:pPr>
            <w:r>
              <w:rPr>
                <w:rFonts w:ascii="Arial" w:cs="Arial" w:eastAsia="Arial" w:hAnsi="Arial"/>
                <w:sz w:val="13"/>
                <w:szCs w:val="13"/>
                <w:b w:val="1"/>
                <w:bCs w:val="1"/>
                <w:color w:val="auto"/>
              </w:rPr>
              <w:t>Financial Highlights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3"/>
        </w:trPr>
        <w:tc>
          <w:tcPr>
            <w:tcW w:w="708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2022</w:t>
            </w:r>
          </w:p>
        </w:tc>
        <w:tc>
          <w:tcPr>
            <w:tcW w:w="200" w:type="dxa"/>
            <w:vAlign w:val="bottom"/>
          </w:tcPr>
          <w:p>
            <w:pPr>
              <w:spacing w:after="0"/>
              <w:rPr>
                <w:sz w:val="15"/>
                <w:szCs w:val="15"/>
                <w:color w:val="auto"/>
              </w:rPr>
            </w:pPr>
          </w:p>
        </w:tc>
        <w:tc>
          <w:tcPr>
            <w:tcW w:w="1140" w:type="dxa"/>
            <w:vAlign w:val="bottom"/>
          </w:tcPr>
          <w:p>
            <w:pPr>
              <w:jc w:val="right"/>
              <w:ind w:right="236"/>
              <w:spacing w:after="0"/>
              <w:rPr>
                <w:sz w:val="20"/>
                <w:szCs w:val="20"/>
                <w:color w:val="auto"/>
              </w:rPr>
            </w:pPr>
            <w:r>
              <w:rPr>
                <w:rFonts w:ascii="Arial" w:cs="Arial" w:eastAsia="Arial" w:hAnsi="Arial"/>
                <w:sz w:val="13"/>
                <w:szCs w:val="13"/>
                <w:b w:val="1"/>
                <w:bCs w:val="1"/>
                <w:color w:val="auto"/>
                <w:w w:val="96"/>
              </w:rPr>
              <w:t>June 30, 2021</w:t>
            </w:r>
          </w:p>
        </w:tc>
      </w:tr>
      <w:tr>
        <w:trPr>
          <w:trHeight w:val="163"/>
        </w:trPr>
        <w:tc>
          <w:tcPr>
            <w:tcW w:w="70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Selected financial condition data</w:t>
            </w: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4,607,487</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3,549,204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3,524,723</w:t>
            </w: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303,497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50,990</w:t>
            </w: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Commercial paper, net</w:t>
            </w: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194,427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189,596</w:t>
            </w: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Certificates of deposit in other banks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40,122</w:t>
            </w: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Debt securities available for sale, at fair value</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126,978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156,459</w:t>
            </w: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net of ACL and deferred loan fees and costs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3,611,630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2,734,605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2,697,799</w:t>
            </w: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Deposits</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3,601,168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3,099,761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2,955,541</w:t>
            </w: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Junior subordinated debt</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Borrowings</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457,263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115,000</w:t>
            </w: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Stockholders’ equity</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471,186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388,845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396,519</w:t>
            </w: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 except per share data)</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Selected operations data</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Total interest and dividend income</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187,126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116,114</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118,733</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interest expense</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29,711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15,411</w:t>
            </w:r>
          </w:p>
        </w:tc>
        <w:tc>
          <w:tcPr>
            <w:tcW w:w="0" w:type="dxa"/>
            <w:vAlign w:val="bottom"/>
          </w:tcPr>
          <w:p>
            <w:pPr>
              <w:spacing w:after="0"/>
              <w:rPr>
                <w:sz w:val="1"/>
                <w:szCs w:val="1"/>
                <w:color w:val="auto"/>
              </w:rPr>
            </w:pPr>
          </w:p>
        </w:tc>
      </w:tr>
      <w:tr>
        <w:trPr>
          <w:trHeight w:val="158"/>
        </w:trPr>
        <w:tc>
          <w:tcPr>
            <w:tcW w:w="7080" w:type="dxa"/>
            <w:vAlign w:val="bottom"/>
          </w:tcPr>
          <w:p>
            <w:pPr>
              <w:ind w:left="200"/>
              <w:spacing w:after="0"/>
              <w:rPr>
                <w:sz w:val="20"/>
                <w:szCs w:val="20"/>
                <w:color w:val="auto"/>
              </w:rPr>
            </w:pPr>
            <w:r>
              <w:rPr>
                <w:rFonts w:ascii="Arial" w:cs="Arial" w:eastAsia="Arial" w:hAnsi="Arial"/>
                <w:sz w:val="13"/>
                <w:szCs w:val="13"/>
                <w:color w:val="auto"/>
              </w:rPr>
              <w:t>Net interest income</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157,415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110,774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103,322</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(benefit) for credit losses</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15,392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(7,135)</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interest income after provision (benefit) for credit losses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142,023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111,366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110,457</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 charges and fees on deposit accounts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9,083</w:t>
            </w:r>
          </w:p>
        </w:tc>
        <w:tc>
          <w:tcPr>
            <w:tcW w:w="0" w:type="dxa"/>
            <w:vAlign w:val="bottom"/>
          </w:tcPr>
          <w:p>
            <w:pPr>
              <w:spacing w:after="0"/>
              <w:rPr>
                <w:sz w:val="1"/>
                <w:szCs w:val="1"/>
                <w:color w:val="auto"/>
              </w:rPr>
            </w:pP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Loan income and fees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3,185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2,208</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 sale of loans held for sale</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17,352</w:t>
            </w:r>
          </w:p>
        </w:tc>
        <w:tc>
          <w:tcPr>
            <w:tcW w:w="0" w:type="dxa"/>
            <w:vAlign w:val="bottom"/>
          </w:tcPr>
          <w:p>
            <w:pPr>
              <w:spacing w:after="0"/>
              <w:rPr>
                <w:sz w:val="1"/>
                <w:szCs w:val="1"/>
                <w:color w:val="auto"/>
              </w:rPr>
            </w:pP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BOLI income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 income</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5,601</w:t>
            </w:r>
          </w:p>
        </w:tc>
        <w:tc>
          <w:tcPr>
            <w:tcW w:w="0" w:type="dxa"/>
            <w:vAlign w:val="bottom"/>
          </w:tcPr>
          <w:p>
            <w:pPr>
              <w:spacing w:after="0"/>
              <w:rPr>
                <w:sz w:val="1"/>
                <w:szCs w:val="1"/>
                <w:color w:val="auto"/>
              </w:rPr>
            </w:pPr>
          </w:p>
        </w:tc>
      </w:tr>
      <w:tr>
        <w:trPr>
          <w:trHeight w:val="168"/>
        </w:trPr>
        <w:tc>
          <w:tcPr>
            <w:tcW w:w="7080" w:type="dxa"/>
            <w:vAlign w:val="bottom"/>
          </w:tcPr>
          <w:p>
            <w:pPr>
              <w:ind w:left="100"/>
              <w:spacing w:after="0"/>
              <w:rPr>
                <w:sz w:val="20"/>
                <w:szCs w:val="20"/>
                <w:color w:val="auto"/>
              </w:rPr>
            </w:pPr>
            <w:r>
              <w:rPr>
                <w:rFonts w:ascii="Arial" w:cs="Arial" w:eastAsia="Arial" w:hAnsi="Arial"/>
                <w:sz w:val="13"/>
                <w:szCs w:val="13"/>
                <w:color w:val="auto"/>
              </w:rPr>
              <w:t>Gain on sale of debt securities available for sale</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(loss) on sale of premises and equipment</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4,732</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noninterest income</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31,050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39,109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39,821</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noninterest expense</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115,909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105,097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131,182</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before income taxes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45,378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19,096</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Income tax expense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12,560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3,421</w:t>
            </w:r>
          </w:p>
        </w:tc>
        <w:tc>
          <w:tcPr>
            <w:tcW w:w="0" w:type="dxa"/>
            <w:vAlign w:val="bottom"/>
          </w:tcPr>
          <w:p>
            <w:pPr>
              <w:spacing w:after="0"/>
              <w:rPr>
                <w:sz w:val="1"/>
                <w:szCs w:val="1"/>
                <w:color w:val="auto"/>
              </w:rPr>
            </w:pPr>
          </w:p>
        </w:tc>
      </w:tr>
      <w:tr>
        <w:trPr>
          <w:trHeight w:val="188"/>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Net income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44,604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35,653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Net income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7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Basic</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r>
        <w:trPr>
          <w:trHeight w:val="165"/>
        </w:trPr>
        <w:tc>
          <w:tcPr>
            <w:tcW w:w="7080" w:type="dxa"/>
            <w:vAlign w:val="bottom"/>
          </w:tcPr>
          <w:p>
            <w:pPr>
              <w:ind w:left="100"/>
              <w:spacing w:after="0"/>
              <w:rPr>
                <w:sz w:val="20"/>
                <w:szCs w:val="20"/>
                <w:color w:val="auto"/>
              </w:rPr>
            </w:pPr>
            <w:r>
              <w:rPr>
                <w:rFonts w:ascii="Arial" w:cs="Arial" w:eastAsia="Arial" w:hAnsi="Arial"/>
                <w:sz w:val="13"/>
                <w:szCs w:val="13"/>
                <w:color w:val="auto"/>
              </w:rPr>
              <w:t>Diluted</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0.94</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8140"/>
        <w:spacing w:after="0"/>
        <w:rPr>
          <w:sz w:val="20"/>
          <w:szCs w:val="20"/>
          <w:color w:val="auto"/>
        </w:rPr>
      </w:pPr>
      <w:r>
        <w:rPr>
          <w:rFonts w:ascii="Arial" w:cs="Arial" w:eastAsia="Arial" w:hAnsi="Arial"/>
          <w:sz w:val="13"/>
          <w:szCs w:val="13"/>
          <w:b w:val="1"/>
          <w:bCs w:val="1"/>
          <w:color w:val="auto"/>
        </w:rPr>
        <w:t>At or For the Year Ended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5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r>
      <w:tr>
        <w:trPr>
          <w:trHeight w:val="160"/>
        </w:trPr>
        <w:tc>
          <w:tcPr>
            <w:tcW w:w="686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Performance ratios</w:t>
            </w:r>
          </w:p>
        </w:tc>
        <w:tc>
          <w:tcPr>
            <w:tcW w:w="8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6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Return on assets (ratio of net income to average total assets)</w:t>
            </w:r>
          </w:p>
        </w:tc>
        <w:tc>
          <w:tcPr>
            <w:tcW w:w="540" w:type="dxa"/>
            <w:vAlign w:val="bottom"/>
          </w:tcPr>
          <w:p>
            <w:pPr>
              <w:jc w:val="right"/>
              <w:spacing w:after="0"/>
              <w:rPr>
                <w:sz w:val="20"/>
                <w:szCs w:val="20"/>
                <w:color w:val="auto"/>
              </w:rPr>
            </w:pPr>
            <w:r>
              <w:rPr>
                <w:rFonts w:ascii="Arial" w:cs="Arial" w:eastAsia="Arial" w:hAnsi="Arial"/>
                <w:sz w:val="13"/>
                <w:szCs w:val="13"/>
                <w:color w:val="auto"/>
              </w:rPr>
              <w:t>1.16 %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0.42 %</w:t>
            </w:r>
          </w:p>
        </w:tc>
      </w:tr>
      <w:tr>
        <w:trPr>
          <w:trHeight w:val="172"/>
        </w:trPr>
        <w:tc>
          <w:tcPr>
            <w:tcW w:w="7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Return on equity (ratio of net income to average equity)</w:t>
            </w: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10.43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3.88</w:t>
            </w:r>
          </w:p>
        </w:tc>
      </w:tr>
      <w:tr>
        <w:trPr>
          <w:trHeight w:val="16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Yield on earning assets</w:t>
            </w: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5.20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3.45</w:t>
            </w:r>
          </w:p>
        </w:tc>
      </w:tr>
      <w:tr>
        <w:trPr>
          <w:trHeight w:val="172"/>
        </w:trPr>
        <w:tc>
          <w:tcPr>
            <w:tcW w:w="7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Rate paid on interest-bearing liabilities</w:t>
            </w: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0.57</w:t>
            </w:r>
          </w:p>
        </w:tc>
      </w:tr>
      <w:tr>
        <w:trPr>
          <w:trHeight w:val="16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Average interest rate spread</w:t>
            </w: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2.88</w:t>
            </w:r>
          </w:p>
        </w:tc>
      </w:tr>
      <w:tr>
        <w:trPr>
          <w:trHeight w:val="172"/>
        </w:trPr>
        <w:tc>
          <w:tcPr>
            <w:tcW w:w="772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6"/>
                <w:szCs w:val="16"/>
                <w:color w:val="auto"/>
                <w:vertAlign w:val="superscript"/>
              </w:rPr>
              <w:t>(1)</w:t>
            </w: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3.00</w:t>
            </w:r>
          </w:p>
        </w:tc>
      </w:tr>
      <w:tr>
        <w:trPr>
          <w:trHeight w:val="16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Average interest-earning assets to average interest-bearing liabilities</w:t>
            </w:r>
          </w:p>
        </w:tc>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141.23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w w:val="90"/>
              </w:rPr>
              <w:t>138.30</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128.01</w:t>
            </w:r>
          </w:p>
        </w:tc>
      </w:tr>
      <w:tr>
        <w:trPr>
          <w:trHeight w:val="172"/>
        </w:trPr>
        <w:tc>
          <w:tcPr>
            <w:tcW w:w="7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Noninterest expense to average total assets</w:t>
            </w: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3.55</w:t>
            </w:r>
          </w:p>
        </w:tc>
      </w:tr>
      <w:tr>
        <w:trPr>
          <w:trHeight w:val="16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Efficiency ratio</w:t>
            </w: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61.50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70.12</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91.64</w:t>
            </w:r>
          </w:p>
        </w:tc>
      </w:tr>
      <w:tr>
        <w:trPr>
          <w:trHeight w:val="172"/>
        </w:trPr>
        <w:tc>
          <w:tcPr>
            <w:tcW w:w="772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3"/>
                <w:szCs w:val="13"/>
                <w:color w:val="auto"/>
              </w:rPr>
              <w:t>Efficiency ratio - adjusted</w:t>
            </w:r>
            <w:r>
              <w:rPr>
                <w:rFonts w:ascii="Arial" w:cs="Arial" w:eastAsia="Arial" w:hAnsi="Arial"/>
                <w:sz w:val="16"/>
                <w:szCs w:val="16"/>
                <w:color w:val="auto"/>
                <w:vertAlign w:val="superscript"/>
              </w:rPr>
              <w:t>(2)</w:t>
            </w: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59.12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69.19</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73.41</w:t>
            </w:r>
          </w:p>
        </w:tc>
      </w:tr>
    </w:tbl>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8"/>
        </w:trPr>
        <w:tc>
          <w:tcPr>
            <w:tcW w:w="68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72"/>
              <w:spacing w:after="0"/>
              <w:rPr>
                <w:sz w:val="20"/>
                <w:szCs w:val="20"/>
                <w:color w:val="auto"/>
              </w:rPr>
            </w:pPr>
            <w:r>
              <w:rPr>
                <w:rFonts w:ascii="Arial" w:cs="Arial" w:eastAsia="Arial" w:hAnsi="Arial"/>
                <w:sz w:val="13"/>
                <w:szCs w:val="13"/>
                <w:b w:val="1"/>
                <w:bCs w:val="1"/>
                <w:color w:val="auto"/>
              </w:rPr>
              <w:t>At or For the Year Ended June 30,</w:t>
            </w:r>
          </w:p>
        </w:tc>
        <w:tc>
          <w:tcPr>
            <w:tcW w:w="1040" w:type="dxa"/>
            <w:vAlign w:val="bottom"/>
            <w:tcBorders>
              <w:bottom w:val="single" w:sz="8" w:color="auto"/>
            </w:tcBorders>
          </w:tcPr>
          <w:p>
            <w:pPr>
              <w:spacing w:after="0"/>
              <w:rPr>
                <w:sz w:val="14"/>
                <w:szCs w:val="14"/>
                <w:color w:val="auto"/>
              </w:rPr>
            </w:pPr>
          </w:p>
        </w:tc>
      </w:tr>
      <w:tr>
        <w:trPr>
          <w:trHeight w:val="160"/>
        </w:trPr>
        <w:tc>
          <w:tcPr>
            <w:tcW w:w="68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r>
      <w:tr>
        <w:trPr>
          <w:trHeight w:val="152"/>
        </w:trPr>
        <w:tc>
          <w:tcPr>
            <w:tcW w:w="68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 quality ratios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0"/>
        </w:trPr>
        <w:tc>
          <w:tcPr>
            <w:tcW w:w="6860" w:type="dxa"/>
            <w:vAlign w:val="bottom"/>
          </w:tcPr>
          <w:p>
            <w:pPr>
              <w:ind w:left="100"/>
              <w:spacing w:after="0" w:line="170" w:lineRule="exact"/>
              <w:rPr>
                <w:sz w:val="20"/>
                <w:szCs w:val="20"/>
                <w:color w:val="auto"/>
              </w:rPr>
            </w:pPr>
            <w:r>
              <w:rPr>
                <w:rFonts w:ascii="Arial" w:cs="Arial" w:eastAsia="Arial" w:hAnsi="Arial"/>
                <w:sz w:val="13"/>
                <w:szCs w:val="13"/>
                <w:color w:val="auto"/>
              </w:rPr>
              <w:t>Nonperforming assets to total assets</w:t>
            </w:r>
            <w:r>
              <w:rPr>
                <w:rFonts w:ascii="Arial" w:cs="Arial" w:eastAsia="Arial" w:hAnsi="Arial"/>
                <w:sz w:val="16"/>
                <w:szCs w:val="16"/>
                <w:color w:val="auto"/>
                <w:vertAlign w:val="superscript"/>
              </w:rPr>
              <w:t>(3)</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0.18 %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0.18 %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0.36 %</w:t>
            </w:r>
          </w:p>
        </w:tc>
      </w:tr>
      <w:tr>
        <w:trPr>
          <w:trHeight w:val="170"/>
        </w:trPr>
        <w:tc>
          <w:tcPr>
            <w:tcW w:w="6860" w:type="dxa"/>
            <w:vAlign w:val="bottom"/>
            <w:shd w:val="clear" w:color="auto" w:fill="CCEEFF"/>
          </w:tcPr>
          <w:p>
            <w:pPr>
              <w:ind w:left="100"/>
              <w:spacing w:after="0" w:line="170" w:lineRule="exact"/>
              <w:rPr>
                <w:sz w:val="20"/>
                <w:szCs w:val="20"/>
                <w:color w:val="auto"/>
              </w:rPr>
            </w:pPr>
            <w:r>
              <w:rPr>
                <w:rFonts w:ascii="Arial" w:cs="Arial" w:eastAsia="Arial" w:hAnsi="Arial"/>
                <w:sz w:val="13"/>
                <w:szCs w:val="13"/>
                <w:color w:val="auto"/>
              </w:rPr>
              <w:t>Nonperforming loans to total loans</w:t>
            </w:r>
            <w:r>
              <w:rPr>
                <w:rFonts w:ascii="Arial" w:cs="Arial" w:eastAsia="Arial" w:hAnsi="Arial"/>
                <w:sz w:val="16"/>
                <w:szCs w:val="16"/>
                <w:color w:val="auto"/>
                <w:vertAlign w:val="superscript"/>
              </w:rPr>
              <w:t>(3)</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0.23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0.46</w:t>
            </w:r>
          </w:p>
        </w:tc>
      </w:tr>
      <w:tr>
        <w:trPr>
          <w:trHeight w:val="168"/>
        </w:trPr>
        <w:tc>
          <w:tcPr>
            <w:tcW w:w="6860" w:type="dxa"/>
            <w:vAlign w:val="bottom"/>
          </w:tcPr>
          <w:p>
            <w:pPr>
              <w:ind w:left="100"/>
              <w:spacing w:after="0"/>
              <w:rPr>
                <w:sz w:val="20"/>
                <w:szCs w:val="20"/>
                <w:color w:val="auto"/>
              </w:rPr>
            </w:pPr>
            <w:r>
              <w:rPr>
                <w:rFonts w:ascii="Arial" w:cs="Arial" w:eastAsia="Arial" w:hAnsi="Arial"/>
                <w:sz w:val="13"/>
                <w:szCs w:val="13"/>
                <w:color w:val="auto"/>
              </w:rPr>
              <w:t>Total classified assets to total assets</w:t>
            </w: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0.53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0.61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0.64</w:t>
            </w:r>
          </w:p>
        </w:tc>
      </w:tr>
      <w:tr>
        <w:trPr>
          <w:trHeight w:val="172"/>
        </w:trPr>
        <w:tc>
          <w:tcPr>
            <w:tcW w:w="6860" w:type="dxa"/>
            <w:vAlign w:val="bottom"/>
            <w:shd w:val="clear" w:color="auto" w:fill="CCEEFF"/>
          </w:tcPr>
          <w:p>
            <w:pPr>
              <w:ind w:left="100"/>
              <w:spacing w:after="0" w:line="172" w:lineRule="exact"/>
              <w:rPr>
                <w:sz w:val="20"/>
                <w:szCs w:val="20"/>
                <w:color w:val="auto"/>
              </w:rPr>
            </w:pPr>
            <w:r>
              <w:rPr>
                <w:rFonts w:ascii="Arial" w:cs="Arial" w:eastAsia="Arial" w:hAnsi="Arial"/>
                <w:sz w:val="13"/>
                <w:szCs w:val="13"/>
                <w:color w:val="auto"/>
              </w:rPr>
              <w:t>Allowance for credit losses to nonperforming loans</w:t>
            </w:r>
            <w:r>
              <w:rPr>
                <w:rFonts w:ascii="Arial" w:cs="Arial" w:eastAsia="Arial" w:hAnsi="Arial"/>
                <w:sz w:val="16"/>
                <w:szCs w:val="16"/>
                <w:color w:val="auto"/>
                <w:vertAlign w:val="superscript"/>
              </w:rPr>
              <w:t>(3)</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0"/>
              </w:rPr>
              <w:t>567.56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566.83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281.38</w:t>
            </w:r>
          </w:p>
        </w:tc>
      </w:tr>
      <w:tr>
        <w:trPr>
          <w:trHeight w:val="168"/>
        </w:trPr>
        <w:tc>
          <w:tcPr>
            <w:tcW w:w="6860" w:type="dxa"/>
            <w:vAlign w:val="bottom"/>
          </w:tcPr>
          <w:p>
            <w:pPr>
              <w:ind w:left="100"/>
              <w:spacing w:after="0"/>
              <w:rPr>
                <w:sz w:val="20"/>
                <w:szCs w:val="20"/>
                <w:color w:val="auto"/>
              </w:rPr>
            </w:pPr>
            <w:r>
              <w:rPr>
                <w:rFonts w:ascii="Arial" w:cs="Arial" w:eastAsia="Arial" w:hAnsi="Arial"/>
                <w:sz w:val="13"/>
                <w:szCs w:val="13"/>
                <w:color w:val="auto"/>
              </w:rPr>
              <w:t>Allowance for credit losses to total loans</w:t>
            </w: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1.30</w:t>
            </w:r>
          </w:p>
        </w:tc>
      </w:tr>
      <w:tr>
        <w:trPr>
          <w:trHeight w:val="172"/>
        </w:trPr>
        <w:tc>
          <w:tcPr>
            <w:tcW w:w="6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charge-offs to average loans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0.01</w:t>
            </w: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b w:val="1"/>
                <w:bCs w:val="1"/>
                <w:color w:val="auto"/>
              </w:rPr>
              <w:t>Capital ratios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to total assets at end of period</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11.25 %</w:t>
            </w:r>
          </w:p>
        </w:tc>
      </w:tr>
      <w:tr>
        <w:trPr>
          <w:trHeight w:val="170"/>
        </w:trPr>
        <w:tc>
          <w:tcPr>
            <w:tcW w:w="6860" w:type="dxa"/>
            <w:vAlign w:val="bottom"/>
          </w:tcPr>
          <w:p>
            <w:pPr>
              <w:ind w:left="100"/>
              <w:spacing w:after="0" w:line="170" w:lineRule="exact"/>
              <w:rPr>
                <w:sz w:val="20"/>
                <w:szCs w:val="20"/>
                <w:color w:val="auto"/>
              </w:rPr>
            </w:pPr>
            <w:r>
              <w:rPr>
                <w:rFonts w:ascii="Arial" w:cs="Arial" w:eastAsia="Arial" w:hAnsi="Arial"/>
                <w:sz w:val="13"/>
                <w:szCs w:val="13"/>
                <w:color w:val="auto"/>
              </w:rPr>
              <w:t>Tangible equity to total tangible assets</w:t>
            </w:r>
            <w:r>
              <w:rPr>
                <w:rFonts w:ascii="Arial" w:cs="Arial" w:eastAsia="Arial" w:hAnsi="Arial"/>
                <w:sz w:val="16"/>
                <w:szCs w:val="16"/>
                <w:color w:val="auto"/>
                <w:vertAlign w:val="superscript"/>
              </w:rPr>
              <w:t>(2)</w:t>
            </w: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9.39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10.31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10.59</w:t>
            </w:r>
          </w:p>
        </w:tc>
      </w:tr>
      <w:tr>
        <w:trPr>
          <w:trHeight w:val="170"/>
        </w:trPr>
        <w:tc>
          <w:tcPr>
            <w:tcW w:w="6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Average equity to average assets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11.11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10.91</w:t>
            </w:r>
          </w:p>
        </w:tc>
      </w:tr>
      <w:tr>
        <w:trPr>
          <w:trHeight w:val="168"/>
        </w:trPr>
        <w:tc>
          <w:tcPr>
            <w:tcW w:w="6860" w:type="dxa"/>
            <w:vAlign w:val="bottom"/>
          </w:tcPr>
          <w:p>
            <w:pPr>
              <w:ind w:left="100"/>
              <w:spacing w:after="0"/>
              <w:rPr>
                <w:sz w:val="20"/>
                <w:szCs w:val="20"/>
                <w:color w:val="auto"/>
              </w:rPr>
            </w:pPr>
            <w:r>
              <w:rPr>
                <w:rFonts w:ascii="Arial" w:cs="Arial" w:eastAsia="Arial" w:hAnsi="Arial"/>
                <w:sz w:val="13"/>
                <w:szCs w:val="13"/>
                <w:color w:val="auto"/>
              </w:rPr>
              <w:t>Dividend payout ratio</w:t>
            </w:r>
          </w:p>
        </w:tc>
        <w:tc>
          <w:tcPr>
            <w:tcW w:w="8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13.97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32.01</w:t>
            </w:r>
          </w:p>
        </w:tc>
      </w:tr>
      <w:tr>
        <w:trPr>
          <w:trHeight w:val="172"/>
        </w:trPr>
        <w:tc>
          <w:tcPr>
            <w:tcW w:w="6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Dividends declared per common share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0.39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0.35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0.31</w:t>
            </w:r>
          </w:p>
        </w:tc>
      </w:tr>
    </w:tbl>
    <w:p>
      <w:pPr>
        <w:spacing w:after="0" w:line="63" w:lineRule="exact"/>
        <w:rPr>
          <w:sz w:val="20"/>
          <w:szCs w:val="20"/>
          <w:color w:val="auto"/>
        </w:rPr>
      </w:pPr>
    </w:p>
    <w:p>
      <w:pPr>
        <w:ind w:left="260" w:hanging="255"/>
        <w:spacing w:after="0"/>
        <w:tabs>
          <w:tab w:leader="none" w:pos="2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Net interest income divided by average interest-earning assets.</w:t>
      </w:r>
    </w:p>
    <w:p>
      <w:pPr>
        <w:spacing w:after="0" w:line="9" w:lineRule="exact"/>
        <w:rPr>
          <w:rFonts w:ascii="Arial" w:cs="Arial" w:eastAsia="Arial" w:hAnsi="Arial"/>
          <w:sz w:val="10"/>
          <w:szCs w:val="10"/>
          <w:color w:val="auto"/>
        </w:rPr>
      </w:pPr>
    </w:p>
    <w:p>
      <w:pPr>
        <w:ind w:left="260" w:hanging="255"/>
        <w:spacing w:after="0"/>
        <w:tabs>
          <w:tab w:leader="none" w:pos="2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See "GAAP Reconciliation of Non-GAAP Financial Measures" section below for additional details.</w:t>
      </w:r>
    </w:p>
    <w:p>
      <w:pPr>
        <w:spacing w:after="0" w:line="1" w:lineRule="exact"/>
        <w:rPr>
          <w:rFonts w:ascii="Arial" w:cs="Arial" w:eastAsia="Arial" w:hAnsi="Arial"/>
          <w:sz w:val="10"/>
          <w:szCs w:val="10"/>
          <w:color w:val="auto"/>
        </w:rPr>
      </w:pPr>
    </w:p>
    <w:p>
      <w:pPr>
        <w:ind w:left="260" w:hanging="255"/>
        <w:spacing w:after="0" w:line="247" w:lineRule="auto"/>
        <w:tabs>
          <w:tab w:leader="none" w:pos="259" w:val="left"/>
        </w:tabs>
        <w:numPr>
          <w:ilvl w:val="0"/>
          <w:numId w:val="12"/>
        </w:numPr>
        <w:rPr>
          <w:rFonts w:ascii="Arial" w:cs="Arial" w:eastAsia="Arial" w:hAnsi="Arial"/>
          <w:sz w:val="10"/>
          <w:szCs w:val="10"/>
          <w:color w:val="auto"/>
        </w:rPr>
      </w:pPr>
      <w:r>
        <w:rPr>
          <w:rFonts w:ascii="Arial" w:cs="Arial" w:eastAsia="Arial" w:hAnsi="Arial"/>
          <w:sz w:val="10"/>
          <w:szCs w:val="10"/>
          <w:color w:val="auto"/>
        </w:rPr>
        <w:t>Nonperforming assets and loans include nonaccruing loans, consisting of certain restructured loans, and REO. There were no accruing loans more than 90 days past due at the dates indicated. At June 30, 2023, there were $1.9 million of restructured loans included in nonperforming loans and $3.3 million, or 40.0%, of nonperforming loans were current on their loan payments.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GAAP Reconciliation of Non-GAAP Financial Measures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believe the non-GAAP financial measures included above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Set forth below is a reconciliation to US GAAP of our efficiency ratio:</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8"/>
              </w:rPr>
              <w:t>Year Ended June 30,</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2"/>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Noninterest expense</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131,182</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Arial" w:cs="Arial" w:eastAsia="Arial" w:hAnsi="Arial"/>
                <w:sz w:val="13"/>
                <w:szCs w:val="13"/>
                <w:color w:val="auto"/>
              </w:rPr>
              <w:t>Less: branch closure and restructuring expenses</w:t>
            </w: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1,513</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officer transition agreement expense</w:t>
            </w: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Arial" w:cs="Arial" w:eastAsia="Arial" w:hAnsi="Arial"/>
                <w:sz w:val="13"/>
                <w:szCs w:val="13"/>
                <w:color w:val="auto"/>
              </w:rPr>
              <w:t>Less: merger-related expenses</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prepayment penalties on borrowings</w:t>
            </w: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22,690</w:t>
            </w:r>
          </w:p>
        </w:tc>
        <w:tc>
          <w:tcPr>
            <w:tcW w:w="0" w:type="dxa"/>
            <w:vAlign w:val="bottom"/>
          </w:tcPr>
          <w:p>
            <w:pPr>
              <w:spacing w:after="0"/>
              <w:rPr>
                <w:sz w:val="1"/>
                <w:szCs w:val="1"/>
                <w:color w:val="auto"/>
              </w:rPr>
            </w:pPr>
          </w:p>
        </w:tc>
      </w:tr>
      <w:tr>
        <w:trPr>
          <w:trHeight w:val="158"/>
        </w:trPr>
        <w:tc>
          <w:tcPr>
            <w:tcW w:w="7080" w:type="dxa"/>
            <w:vAlign w:val="bottom"/>
          </w:tcPr>
          <w:p>
            <w:pPr>
              <w:ind w:left="20"/>
              <w:spacing w:after="0" w:line="146" w:lineRule="exact"/>
              <w:rPr>
                <w:sz w:val="20"/>
                <w:szCs w:val="20"/>
                <w:color w:val="auto"/>
              </w:rPr>
            </w:pPr>
            <w:r>
              <w:rPr>
                <w:rFonts w:ascii="Arial" w:cs="Arial" w:eastAsia="Arial" w:hAnsi="Arial"/>
                <w:sz w:val="13"/>
                <w:szCs w:val="13"/>
                <w:color w:val="auto"/>
              </w:rPr>
              <w:t>Noninterest expense – adjusted</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110,444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103,302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106,979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interest income</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157,415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103,322</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Arial" w:cs="Arial" w:eastAsia="Arial" w:hAnsi="Arial"/>
                <w:sz w:val="13"/>
                <w:szCs w:val="13"/>
                <w:color w:val="auto"/>
              </w:rPr>
              <w:t>Plus: tax equivalent adjustment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1,267</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Plus: noninterest income</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39,821</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Arial" w:cs="Arial" w:eastAsia="Arial" w:hAnsi="Arial"/>
                <w:sz w:val="13"/>
                <w:szCs w:val="13"/>
                <w:color w:val="auto"/>
              </w:rPr>
              <w:t>Less: gain on sale of available for sale and equity securities</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gain (loss) on sale of premises and equipment</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58"/>
        </w:trPr>
        <w:tc>
          <w:tcPr>
            <w:tcW w:w="7080" w:type="dxa"/>
            <w:vAlign w:val="bottom"/>
          </w:tcPr>
          <w:p>
            <w:pPr>
              <w:ind w:left="20"/>
              <w:spacing w:after="0" w:line="146" w:lineRule="exact"/>
              <w:rPr>
                <w:sz w:val="20"/>
                <w:szCs w:val="20"/>
                <w:color w:val="auto"/>
              </w:rPr>
            </w:pPr>
            <w:r>
              <w:rPr>
                <w:rFonts w:ascii="Arial" w:cs="Arial" w:eastAsia="Arial" w:hAnsi="Arial"/>
                <w:sz w:val="13"/>
                <w:szCs w:val="13"/>
                <w:color w:val="auto"/>
              </w:rPr>
              <w:t>Net interest income plus noninterest income – adjusted</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186,810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149,306</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145,721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7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Efficiency ratio</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61.50 %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70.12 %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91.64 %</w:t>
            </w:r>
          </w:p>
        </w:tc>
        <w:tc>
          <w:tcPr>
            <w:tcW w:w="0" w:type="dxa"/>
            <w:vAlign w:val="bottom"/>
          </w:tcPr>
          <w:p>
            <w:pPr>
              <w:spacing w:after="0"/>
              <w:rPr>
                <w:sz w:val="1"/>
                <w:szCs w:val="1"/>
                <w:color w:val="auto"/>
              </w:rPr>
            </w:pPr>
          </w:p>
        </w:tc>
      </w:tr>
      <w:tr>
        <w:trPr>
          <w:trHeight w:val="165"/>
        </w:trPr>
        <w:tc>
          <w:tcPr>
            <w:tcW w:w="7080" w:type="dxa"/>
            <w:vAlign w:val="bottom"/>
          </w:tcPr>
          <w:p>
            <w:pPr>
              <w:ind w:left="20"/>
              <w:spacing w:after="0"/>
              <w:rPr>
                <w:sz w:val="20"/>
                <w:szCs w:val="20"/>
                <w:color w:val="auto"/>
              </w:rPr>
            </w:pPr>
            <w:r>
              <w:rPr>
                <w:rFonts w:ascii="Arial" w:cs="Arial" w:eastAsia="Arial" w:hAnsi="Arial"/>
                <w:sz w:val="13"/>
                <w:szCs w:val="13"/>
                <w:color w:val="auto"/>
              </w:rPr>
              <w:t>Efficiency ratio – adjusted</w:t>
            </w:r>
          </w:p>
        </w:tc>
        <w:tc>
          <w:tcPr>
            <w:tcW w:w="18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3"/>
                <w:szCs w:val="13"/>
                <w:color w:val="auto"/>
              </w:rPr>
              <w:t>59.12 %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69.19 %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73.41 %</w:t>
            </w:r>
          </w:p>
        </w:tc>
        <w:tc>
          <w:tcPr>
            <w:tcW w:w="0" w:type="dxa"/>
            <w:vAlign w:val="bottom"/>
          </w:tcPr>
          <w:p>
            <w:pPr>
              <w:spacing w:after="0"/>
              <w:rPr>
                <w:sz w:val="1"/>
                <w:szCs w:val="1"/>
                <w:color w:val="auto"/>
              </w:rPr>
            </w:pPr>
          </w:p>
        </w:tc>
      </w:tr>
      <w:tr>
        <w:trPr>
          <w:trHeight w:val="276"/>
        </w:trPr>
        <w:tc>
          <w:tcPr>
            <w:tcW w:w="7080" w:type="dxa"/>
            <w:vAlign w:val="bottom"/>
          </w:tcPr>
          <w:p>
            <w:pPr>
              <w:spacing w:after="0"/>
              <w:rPr>
                <w:sz w:val="20"/>
                <w:szCs w:val="20"/>
                <w:color w:val="auto"/>
              </w:rPr>
            </w:pPr>
            <w:r>
              <w:rPr>
                <w:rFonts w:ascii="Arial" w:cs="Arial" w:eastAsia="Arial" w:hAnsi="Arial"/>
                <w:sz w:val="13"/>
                <w:szCs w:val="13"/>
                <w:color w:val="auto"/>
              </w:rPr>
              <w:t>Set forth below is a reconciliation to US GAAP of tangible book value and tangible book value per share:</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7080" w:type="dxa"/>
            <w:vAlign w:val="bottom"/>
          </w:tcPr>
          <w:p>
            <w:pPr>
              <w:ind w:left="20"/>
              <w:spacing w:after="0"/>
              <w:rPr>
                <w:sz w:val="20"/>
                <w:szCs w:val="20"/>
                <w:color w:val="auto"/>
              </w:rPr>
            </w:pPr>
            <w:r>
              <w:rPr>
                <w:rFonts w:ascii="Arial" w:cs="Arial" w:eastAsia="Arial" w:hAnsi="Arial"/>
                <w:sz w:val="13"/>
                <w:szCs w:val="13"/>
                <w:color w:val="auto"/>
              </w:rPr>
              <w:t>(Dollars in thousands, except per share data)</w:t>
            </w:r>
          </w:p>
        </w:tc>
        <w:tc>
          <w:tcPr>
            <w:tcW w:w="18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2023</w:t>
            </w:r>
          </w:p>
        </w:tc>
        <w:tc>
          <w:tcPr>
            <w:tcW w:w="80" w:type="dxa"/>
            <w:vAlign w:val="bottom"/>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June 30, 2022</w:t>
            </w:r>
          </w:p>
        </w:tc>
        <w:tc>
          <w:tcPr>
            <w:tcW w:w="200" w:type="dxa"/>
            <w:vAlign w:val="bottom"/>
          </w:tcPr>
          <w:p>
            <w:pPr>
              <w:spacing w:after="0"/>
              <w:rPr>
                <w:sz w:val="15"/>
                <w:szCs w:val="15"/>
                <w:color w:val="auto"/>
              </w:rPr>
            </w:pPr>
          </w:p>
        </w:tc>
        <w:tc>
          <w:tcPr>
            <w:tcW w:w="1140" w:type="dxa"/>
            <w:vAlign w:val="bottom"/>
          </w:tcPr>
          <w:p>
            <w:pPr>
              <w:jc w:val="right"/>
              <w:ind w:right="236"/>
              <w:spacing w:after="0"/>
              <w:rPr>
                <w:sz w:val="20"/>
                <w:szCs w:val="20"/>
                <w:color w:val="auto"/>
              </w:rPr>
            </w:pPr>
            <w:r>
              <w:rPr>
                <w:rFonts w:ascii="Arial" w:cs="Arial" w:eastAsia="Arial" w:hAnsi="Arial"/>
                <w:sz w:val="13"/>
                <w:szCs w:val="13"/>
                <w:b w:val="1"/>
                <w:bCs w:val="1"/>
                <w:color w:val="auto"/>
                <w:w w:val="96"/>
              </w:rPr>
              <w:t>June 30, 2021</w:t>
            </w:r>
          </w:p>
        </w:tc>
        <w:tc>
          <w:tcPr>
            <w:tcW w:w="0" w:type="dxa"/>
            <w:vAlign w:val="bottom"/>
          </w:tcPr>
          <w:p>
            <w:pPr>
              <w:spacing w:after="0"/>
              <w:rPr>
                <w:sz w:val="1"/>
                <w:szCs w:val="1"/>
                <w:color w:val="auto"/>
              </w:rPr>
            </w:pPr>
          </w:p>
        </w:tc>
      </w:tr>
      <w:tr>
        <w:trPr>
          <w:trHeight w:val="163"/>
        </w:trPr>
        <w:tc>
          <w:tcPr>
            <w:tcW w:w="70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stockholders' equity</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471,186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388,845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396,519</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goodwill, core deposit intangibles, net of taxes</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42,410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25,710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25,902</w:t>
            </w:r>
          </w:p>
        </w:tc>
        <w:tc>
          <w:tcPr>
            <w:tcW w:w="0" w:type="dxa"/>
            <w:vAlign w:val="bottom"/>
          </w:tcPr>
          <w:p>
            <w:pPr>
              <w:spacing w:after="0"/>
              <w:rPr>
                <w:sz w:val="1"/>
                <w:szCs w:val="1"/>
                <w:color w:val="auto"/>
              </w:rPr>
            </w:pPr>
          </w:p>
        </w:tc>
      </w:tr>
      <w:tr>
        <w:trPr>
          <w:trHeight w:val="185"/>
        </w:trPr>
        <w:tc>
          <w:tcPr>
            <w:tcW w:w="708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Tangible book value</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428,776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363,135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370,617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Arial" w:cs="Arial" w:eastAsia="Arial" w:hAnsi="Arial"/>
                <w:sz w:val="13"/>
                <w:szCs w:val="13"/>
                <w:color w:val="auto"/>
              </w:rPr>
              <w:t>17,366,673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Arial" w:cs="Arial" w:eastAsia="Arial" w:hAnsi="Arial"/>
                <w:sz w:val="13"/>
                <w:szCs w:val="13"/>
                <w:color w:val="auto"/>
              </w:rPr>
              <w:t>15,591,466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3"/>
                <w:szCs w:val="13"/>
                <w:color w:val="auto"/>
              </w:rPr>
              <w:t>16,636,483</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Book value per share</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w:t>
            </w:r>
          </w:p>
        </w:tc>
        <w:tc>
          <w:tcPr>
            <w:tcW w:w="0" w:type="dxa"/>
            <w:vAlign w:val="bottom"/>
          </w:tcPr>
          <w:p>
            <w:pPr>
              <w:spacing w:after="0"/>
              <w:rPr>
                <w:sz w:val="1"/>
                <w:szCs w:val="1"/>
                <w:color w:val="auto"/>
              </w:rPr>
            </w:pPr>
          </w:p>
        </w:tc>
      </w:tr>
      <w:tr>
        <w:trPr>
          <w:trHeight w:val="165"/>
        </w:trPr>
        <w:tc>
          <w:tcPr>
            <w:tcW w:w="7080" w:type="dxa"/>
            <w:vAlign w:val="bottom"/>
          </w:tcPr>
          <w:p>
            <w:pPr>
              <w:ind w:left="20"/>
              <w:spacing w:after="0"/>
              <w:rPr>
                <w:sz w:val="20"/>
                <w:szCs w:val="20"/>
                <w:color w:val="auto"/>
              </w:rPr>
            </w:pPr>
            <w:r>
              <w:rPr>
                <w:rFonts w:ascii="Arial" w:cs="Arial" w:eastAsia="Arial" w:hAnsi="Arial"/>
                <w:sz w:val="13"/>
                <w:szCs w:val="13"/>
                <w:color w:val="auto"/>
              </w:rPr>
              <w:t>Tangible book value per share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24.69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23.29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20"/>
                <w:szCs w:val="20"/>
                <w:color w:val="auto"/>
              </w:rPr>
            </w:pPr>
            <w:r>
              <w:rPr>
                <w:rFonts w:ascii="Arial" w:cs="Arial" w:eastAsia="Arial" w:hAnsi="Arial"/>
                <w:sz w:val="13"/>
                <w:szCs w:val="13"/>
                <w:color w:val="auto"/>
              </w:rPr>
              <w:t>Set forth below is a reconciliation to US GAAP of tangible equity to tangible assets: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3"/>
        </w:trPr>
        <w:tc>
          <w:tcPr>
            <w:tcW w:w="708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2022</w:t>
            </w:r>
          </w:p>
        </w:tc>
        <w:tc>
          <w:tcPr>
            <w:tcW w:w="200" w:type="dxa"/>
            <w:vAlign w:val="bottom"/>
          </w:tcPr>
          <w:p>
            <w:pPr>
              <w:spacing w:after="0"/>
              <w:rPr>
                <w:sz w:val="15"/>
                <w:szCs w:val="15"/>
                <w:color w:val="auto"/>
              </w:rPr>
            </w:pPr>
          </w:p>
        </w:tc>
        <w:tc>
          <w:tcPr>
            <w:tcW w:w="1140" w:type="dxa"/>
            <w:vAlign w:val="bottom"/>
          </w:tcPr>
          <w:p>
            <w:pPr>
              <w:jc w:val="right"/>
              <w:ind w:right="236"/>
              <w:spacing w:after="0"/>
              <w:rPr>
                <w:sz w:val="20"/>
                <w:szCs w:val="20"/>
                <w:color w:val="auto"/>
              </w:rPr>
            </w:pPr>
            <w:r>
              <w:rPr>
                <w:rFonts w:ascii="Arial" w:cs="Arial" w:eastAsia="Arial" w:hAnsi="Arial"/>
                <w:sz w:val="13"/>
                <w:szCs w:val="13"/>
                <w:b w:val="1"/>
                <w:bCs w:val="1"/>
                <w:color w:val="auto"/>
                <w:w w:val="96"/>
              </w:rPr>
              <w:t>June 30, 2021</w:t>
            </w:r>
          </w:p>
        </w:tc>
      </w:tr>
      <w:tr>
        <w:trPr>
          <w:trHeight w:val="163"/>
        </w:trPr>
        <w:tc>
          <w:tcPr>
            <w:tcW w:w="708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3"/>
                <w:szCs w:val="13"/>
                <w:color w:val="auto"/>
              </w:rPr>
              <w:t>Tangible equity</w:t>
            </w:r>
            <w:r>
              <w:rPr>
                <w:rFonts w:ascii="Arial" w:cs="Arial" w:eastAsia="Arial" w:hAnsi="Arial"/>
                <w:sz w:val="16"/>
                <w:szCs w:val="16"/>
                <w:color w:val="auto"/>
                <w:vertAlign w:val="superscript"/>
              </w:rPr>
              <w:t>(1)</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428,776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363,135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370,617</w:t>
            </w:r>
          </w:p>
        </w:tc>
      </w:tr>
      <w:tr>
        <w:trPr>
          <w:trHeight w:val="158"/>
        </w:trPr>
        <w:tc>
          <w:tcPr>
            <w:tcW w:w="7080" w:type="dxa"/>
            <w:vAlign w:val="bottom"/>
          </w:tcPr>
          <w:p>
            <w:pPr>
              <w:ind w:left="20"/>
              <w:spacing w:after="0" w:line="146" w:lineRule="exact"/>
              <w:rPr>
                <w:sz w:val="20"/>
                <w:szCs w:val="20"/>
                <w:color w:val="auto"/>
              </w:rPr>
            </w:pPr>
            <w:r>
              <w:rPr>
                <w:rFonts w:ascii="Arial" w:cs="Arial" w:eastAsia="Arial" w:hAnsi="Arial"/>
                <w:sz w:val="13"/>
                <w:szCs w:val="13"/>
                <w:color w:val="auto"/>
              </w:rPr>
              <w:t>Total assets</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4,607,487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3,549,204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3,524,723</w:t>
            </w:r>
          </w:p>
        </w:tc>
      </w:tr>
      <w:tr>
        <w:trPr>
          <w:trHeight w:val="172"/>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goodwill, core deposit intangibles, net of taxes</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42,410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25,710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25,902</w:t>
            </w:r>
          </w:p>
        </w:tc>
      </w:tr>
      <w:tr>
        <w:trPr>
          <w:trHeight w:val="158"/>
        </w:trPr>
        <w:tc>
          <w:tcPr>
            <w:tcW w:w="7080" w:type="dxa"/>
            <w:vAlign w:val="bottom"/>
          </w:tcPr>
          <w:p>
            <w:pPr>
              <w:ind w:left="20"/>
              <w:spacing w:after="0" w:line="146" w:lineRule="exact"/>
              <w:rPr>
                <w:sz w:val="20"/>
                <w:szCs w:val="20"/>
                <w:color w:val="auto"/>
              </w:rPr>
            </w:pPr>
            <w:r>
              <w:rPr>
                <w:rFonts w:ascii="Arial" w:cs="Arial" w:eastAsia="Arial" w:hAnsi="Arial"/>
                <w:sz w:val="13"/>
                <w:szCs w:val="13"/>
                <w:color w:val="auto"/>
              </w:rPr>
              <w:t>Total tangible assets</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4,565,077</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3,523,494</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3,498,821</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
        </w:trPr>
        <w:tc>
          <w:tcPr>
            <w:tcW w:w="7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Tangible equity to tangible assets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9.39 %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10.31 %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10.59 %</w:t>
            </w:r>
          </w:p>
        </w:tc>
      </w:tr>
    </w:tbl>
    <w:p>
      <w:pPr>
        <w:spacing w:after="0" w:line="63" w:lineRule="exact"/>
        <w:rPr>
          <w:sz w:val="20"/>
          <w:szCs w:val="20"/>
          <w:color w:val="auto"/>
        </w:rPr>
      </w:pPr>
    </w:p>
    <w:p>
      <w:pPr>
        <w:ind w:left="220" w:hanging="215"/>
        <w:spacing w:after="0"/>
        <w:tabs>
          <w:tab w:leader="none" w:pos="2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Tangible equity (or tangible book value) is equal to total stockholders' equity less goodwill and core deposit intangibles, net of related deferred tax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following discussion and analysis presents the more significant factors that affected our financial condition as of June 30, 2023 and 2022 and results of operations for each of the years in the three-year period then ended. Refer to "Item 7. Management’s Discussion and Analysis of Financial Condition and Results of Operations" included in our Annual Report on Form 10-K filed with the SEC on September 12, 2022 (the “2022 Form 10-K”) for a discussion and analysis of the more significant factors that affected periods prior to fiscal year 2022.</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 A secondary source of income is noninterest income, which includes revenue we receive from providing products and services including service charges and fees on deposit accounts, loan income and fees, gains on sale of loans held for sale, BOLI income, and operating lease income.</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An offset to net interest income is the provision for credit losses to establish the ACL at a level that provides for ECLs inherent in our loan portfolio, off balance sheet commitments, and available for sale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See "Note 1 – Summary of Significant Accounting Policies” of the Notes to the Consolidated Financial Statements included in Item 8 of this Form 10-K for further discussion.</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noninterest expenses consist primarily of salaries and employee benefits, occupancy expenses,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 our critical accounting policies:</w:t>
      </w:r>
    </w:p>
    <w:p>
      <w:pPr>
        <w:spacing w:after="0" w:line="3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Allowance for Credit Losses, or ACL, on Loans. </w:t>
      </w:r>
      <w:r>
        <w:rPr>
          <w:rFonts w:ascii="Arial" w:cs="Arial" w:eastAsia="Arial" w:hAnsi="Arial"/>
          <w:sz w:val="13"/>
          <w:szCs w:val="13"/>
          <w:color w:val="auto"/>
        </w:rPr>
        <w:t>The ACL on loans held for investment reflects our estimate of credit losses that will result from the inability of our borrowers to make required loan payments. We charge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We consider the effects of past events, current conditions, and reasonable and supportable forecasts on the collectability of the loan portfolio. The estimate of our ACL on loans held for investment involves a high degree of judgment; therefore, our process for determining ECLs may result in a range of ECLs. Our ACL recorded in the balance sheet reflects our best estimate within the range of ECLs.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Business Combinations, Core Deposit Intangible and Acquired Loans. </w:t>
      </w:r>
      <w:r>
        <w:rPr>
          <w:rFonts w:ascii="Arial" w:cs="Arial" w:eastAsia="Arial" w:hAnsi="Arial"/>
          <w:sz w:val="13"/>
          <w:szCs w:val="13"/>
          <w:color w:val="auto"/>
        </w:rPr>
        <w:t>ASC 805 requires that we use the acquisition method of accounting for all business combinations. The acquisition method of accounting requires 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the acquirer to recognize the fair value of assets acquired and liabilities assumed at the acquisition date, as well as, recognize goodwill or a gain from a bargain purchase, if appropriate. Any acquisition-related costs and restructuring costs are recognized as period expenses as incurred.</w:t>
      </w:r>
    </w:p>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primary identifiable intangible asset we typically record in connection with a whole bank or branch acquisition is the value of the core deposit intangible which represents the estimated value of the long-term deposit relationships acquired in the transaction. Determining the amount of identifiable intangible assets and their average lives involves multiple assumptions and estimates and is typically determined by performing a DCF analysis, which involves a combination of any or all of the following assumptions: customer attrition/runoff, alternative funding costs, deposit servicing costs, and discount rates. The core deposit intangibles are amortized using an accelerated method over the estimated useful lives of the related deposits, typically between five and 10 years. We review identifiable intangible assets for impairment whenever events or changes in circumstances indicate that the carrying value may not be recoverable.</w:t>
      </w:r>
    </w:p>
    <w:p>
      <w:pPr>
        <w:spacing w:after="0" w:line="48"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The fair value for acquired loans at the time of acquisition is based on a variety of factors including discounted expected cash flows, adjusted for estimated prepayments and credit losses. In accordance with ASC 326, the fair value adjustment is recorded as premium or discount to the unpaid principal balance of each acquired loan. Loans that have been identified as having experienced a more-than-insignificant deterioration in credit quality since origination are PCD loans. An ACL on PCD loans is established at the time of acquisition as part of the purchase accounting adjustments, while the remaining net premium or discount is accreted or amortized into interest income over the remaining life of the loan using the level yield method. The net premium or discount on non-PCD loans, that includes credit quality and interest rate considerations, is accreted or amortized into interest income over the remaining life of the loan using the level yield method. The Company then records the necessary ACL on the non-PCD loans through provision for credit losses expense.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13"/>
          <w:szCs w:val="13"/>
          <w:b w:val="1"/>
          <w:bCs w:val="1"/>
          <w:i w:val="1"/>
          <w:iCs w:val="1"/>
          <w:color w:val="auto"/>
        </w:rPr>
        <w:t>Goodwill</w:t>
      </w:r>
      <w:r>
        <w:rPr>
          <w:rFonts w:ascii="Arial" w:cs="Arial" w:eastAsia="Arial" w:hAnsi="Arial"/>
          <w:sz w:val="13"/>
          <w:szCs w:val="13"/>
          <w:color w:val="auto"/>
        </w:rPr>
        <w:t>. We review goodwill for potential impairment on an annual basis during the fourth quarter, or more often if events or circumstances indicate there may be impairment. In testing goodwill for impairment, we have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option to assess either qualitative or quantitative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a quantitative impairment test, otherwise no further analysis is required. Under the quantitative impairment test, the evaluation involves comparing the current fair value of each reporting unit to its carrying value, including goodwill. If the estimated fair value of a reporting unit exceeds its carrying value, goodwill is considered not to be impaired. If the carrying value exceeds estimated fair value an impairment charge is recognized for the difference, but limited by the amount of goodwill allocated to that reporting unit.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For a discussion of recent accounting pronouncements, see “Note 1 – Summary of Significant Accounting Policies" of the Notes to the Consolidated Financial Statements in Item 8 of this report on Form 10-K for further discussion.</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2023 Items of Note</w:t>
      </w:r>
    </w:p>
    <w:p>
      <w:pPr>
        <w:spacing w:after="0" w:line="45"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On February 12, 2023, the Company merged with Quantum which operated two locations in the Atlanta metro area. The addition of Quantum contributed total assets of $656.7 million, including loans of $561.9 million, and $570.6 million of deposits, all reflecting the impact of purchase accounting adjustments. Merger-related expenses of $5.5 million were recognized during the year ended June 30, 2023, while a $5.3 million provision for credit losses was recognized during the fiscal year to establish ACLs on both Quantum's loan portfolio and off-balance-sheet credit exposure. The aggregate amount of consideration paid per the purchase agreement of approximately $70.8 million, inclusive of consideration of common stock, other cash consideration, and cash in lieu of fractional shares, included $15.9 million of cash consideration already paid by Quantum to its stockholders in advance of the closing date as is further described in "Note 3 – Merger with Quantum" of the Notes to the Consolidated Financial Statements in Item 8 of this report on Form 10-K. These distributions reduced Quantum's stockholders' equity by an equal amount prior to the transaction closing 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2022 Items of Note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Beginning July 1, 2021, the Bank brought its back-office SBA loan servicing process in-house to provide additional servicing fee and gain on sale income. In aggregate, our approach is designed to lead to increased profitability and franchise value over time.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Results of Operations for the Years Ended June 30, 2023 and June 30, 2022</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Net Income. </w:t>
      </w:r>
      <w:r>
        <w:rPr>
          <w:rFonts w:ascii="Arial" w:cs="Arial" w:eastAsia="Arial" w:hAnsi="Arial"/>
          <w:sz w:val="13"/>
          <w:szCs w:val="13"/>
          <w:color w:val="auto"/>
        </w:rPr>
        <w:t>Net income totaled $44.6 million, or $2.80 per diluted share, for the year ended June 30, 2023 compared to $35.7 million, or $2.23 per diluted share, for the year ended June 30, 2022, an increase of $8.9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or 25.1%. The results for the year ended June 30, 2023 compared to the year ended June 30, 2022 were positively impacted by a $46.6 million, or 42.1%, increase in net interest income partially offset by a $16.0 million increase in the provision for credit losses, a combined $9.2 million, or 62.0%, decrease in gain on sale of loans held for sale and debt securities available for sale and a $5.5 million, or 100.0%, increase in merger-related expenses. Details of the changes in the various components of net income are further discussed below.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3"/>
          <w:szCs w:val="13"/>
          <w:b w:val="1"/>
          <w:bCs w:val="1"/>
          <w:i w:val="1"/>
          <w:iCs w:val="1"/>
          <w:color w:val="auto"/>
        </w:rPr>
        <w:t xml:space="preserve">Net Interest Income. </w:t>
      </w:r>
      <w:r>
        <w:rPr>
          <w:rFonts w:ascii="Arial" w:cs="Arial" w:eastAsia="Arial" w:hAnsi="Arial"/>
          <w:sz w:val="13"/>
          <w:szCs w:val="13"/>
          <w:color w:val="auto"/>
        </w:rPr>
        <w:t>The following table presents the Company's distribution of average assets, liabilities and equity, as well as interest income on average interest-earning assets and interest expense paid on average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interest-bearing liabilities. All average balances are daily average balances. Nonaccruing loans have been included in the table as loans carrying a zero yield.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w w:val="92"/>
              </w:rPr>
              <w:t>Year Ended June 30,</w:t>
            </w: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89"/>
              </w:rPr>
              <w:t>2023</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60"/>
              <w:spacing w:after="0" w:line="103" w:lineRule="exact"/>
              <w:rPr>
                <w:sz w:val="20"/>
                <w:szCs w:val="20"/>
                <w:color w:val="auto"/>
              </w:rPr>
            </w:pPr>
            <w:r>
              <w:rPr>
                <w:rFonts w:ascii="Arial" w:cs="Arial" w:eastAsia="Arial" w:hAnsi="Arial"/>
                <w:sz w:val="11"/>
                <w:szCs w:val="11"/>
                <w:b w:val="1"/>
                <w:bCs w:val="1"/>
                <w:color w:val="auto"/>
                <w:w w:val="92"/>
              </w:rPr>
              <w:t>Average</w:t>
            </w:r>
          </w:p>
        </w:tc>
        <w:tc>
          <w:tcPr>
            <w:tcW w:w="160" w:type="dxa"/>
            <w:vAlign w:val="bottom"/>
          </w:tcPr>
          <w:p>
            <w:pPr>
              <w:spacing w:after="0"/>
              <w:rPr>
                <w:sz w:val="8"/>
                <w:szCs w:val="8"/>
                <w:color w:val="auto"/>
              </w:rPr>
            </w:pPr>
          </w:p>
        </w:tc>
        <w:tc>
          <w:tcPr>
            <w:tcW w:w="680" w:type="dxa"/>
            <w:vAlign w:val="bottom"/>
          </w:tcPr>
          <w:p>
            <w:pPr>
              <w:jc w:val="center"/>
              <w:ind w:right="83"/>
              <w:spacing w:after="0" w:line="103" w:lineRule="exact"/>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8"/>
                <w:szCs w:val="8"/>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Yield/</w:t>
            </w:r>
          </w:p>
        </w:tc>
        <w:tc>
          <w:tcPr>
            <w:tcW w:w="120" w:type="dxa"/>
            <w:vAlign w:val="bottom"/>
          </w:tcPr>
          <w:p>
            <w:pPr>
              <w:spacing w:after="0"/>
              <w:rPr>
                <w:sz w:val="8"/>
                <w:szCs w:val="8"/>
                <w:color w:val="auto"/>
              </w:rPr>
            </w:pPr>
          </w:p>
        </w:tc>
        <w:tc>
          <w:tcPr>
            <w:tcW w:w="7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92"/>
              </w:rPr>
              <w:t>Average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w w:val="95"/>
              </w:rPr>
              <w:t>Interest</w:t>
            </w: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Yield/</w:t>
            </w:r>
          </w:p>
        </w:tc>
        <w:tc>
          <w:tcPr>
            <w:tcW w:w="120" w:type="dxa"/>
            <w:vAlign w:val="bottom"/>
          </w:tcPr>
          <w:p>
            <w:pPr>
              <w:spacing w:after="0"/>
              <w:rPr>
                <w:sz w:val="8"/>
                <w:szCs w:val="8"/>
                <w:color w:val="auto"/>
              </w:rPr>
            </w:pPr>
          </w:p>
        </w:tc>
        <w:tc>
          <w:tcPr>
            <w:tcW w:w="88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w w:val="87"/>
              </w:rPr>
              <w:t>Average</w:t>
            </w:r>
          </w:p>
        </w:tc>
        <w:tc>
          <w:tcPr>
            <w:tcW w:w="140" w:type="dxa"/>
            <w:vAlign w:val="bottom"/>
          </w:tcPr>
          <w:p>
            <w:pPr>
              <w:spacing w:after="0"/>
              <w:rPr>
                <w:sz w:val="8"/>
                <w:szCs w:val="8"/>
                <w:color w:val="auto"/>
              </w:rPr>
            </w:pPr>
          </w:p>
        </w:tc>
        <w:tc>
          <w:tcPr>
            <w:tcW w:w="680" w:type="dxa"/>
            <w:vAlign w:val="bottom"/>
          </w:tcPr>
          <w:p>
            <w:pPr>
              <w:jc w:val="center"/>
              <w:ind w:right="83"/>
              <w:spacing w:after="0" w:line="103" w:lineRule="exact"/>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8"/>
                <w:szCs w:val="8"/>
                <w:color w:val="auto"/>
              </w:rPr>
            </w:pPr>
          </w:p>
        </w:tc>
        <w:tc>
          <w:tcPr>
            <w:tcW w:w="900" w:type="dxa"/>
            <w:vAlign w:val="bottom"/>
            <w:vMerge w:val="restart"/>
          </w:tcPr>
          <w:p>
            <w:pPr>
              <w:jc w:val="right"/>
              <w:ind w:right="263"/>
              <w:spacing w:after="0"/>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17"/>
        </w:trPr>
        <w:tc>
          <w:tcPr>
            <w:tcW w:w="2740" w:type="dxa"/>
            <w:vAlign w:val="bottom"/>
            <w:vMerge w:val="restart"/>
          </w:tcPr>
          <w:p>
            <w:pPr>
              <w:ind w:left="20"/>
              <w:spacing w:after="0"/>
              <w:rPr>
                <w:sz w:val="20"/>
                <w:szCs w:val="20"/>
                <w:color w:val="auto"/>
              </w:rPr>
            </w:pPr>
            <w:r>
              <w:rPr>
                <w:rFonts w:ascii="Arial" w:cs="Arial" w:eastAsia="Arial" w:hAnsi="Arial"/>
                <w:sz w:val="11"/>
                <w:szCs w:val="11"/>
                <w:color w:val="auto"/>
              </w:rPr>
              <w:t>(Dollars in thousands)</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9"/>
              </w:rPr>
              <w:t>Balance</w:t>
            </w:r>
          </w:p>
        </w:tc>
        <w:tc>
          <w:tcPr>
            <w:tcW w:w="160" w:type="dxa"/>
            <w:vAlign w:val="bottom"/>
          </w:tcPr>
          <w:p>
            <w:pPr>
              <w:spacing w:after="0"/>
              <w:rPr>
                <w:sz w:val="10"/>
                <w:szCs w:val="10"/>
                <w:color w:val="auto"/>
              </w:rPr>
            </w:pPr>
          </w:p>
        </w:tc>
        <w:tc>
          <w:tcPr>
            <w:tcW w:w="680" w:type="dxa"/>
            <w:vAlign w:val="bottom"/>
          </w:tcPr>
          <w:p>
            <w:pPr>
              <w:jc w:val="center"/>
              <w:ind w:right="103"/>
              <w:spacing w:after="0" w:line="117" w:lineRule="exact"/>
              <w:rPr>
                <w:sz w:val="20"/>
                <w:szCs w:val="20"/>
                <w:color w:val="auto"/>
              </w:rPr>
            </w:pPr>
            <w:r>
              <w:rPr>
                <w:rFonts w:ascii="Arial" w:cs="Arial" w:eastAsia="Arial" w:hAnsi="Arial"/>
                <w:sz w:val="11"/>
                <w:szCs w:val="11"/>
                <w:b w:val="1"/>
                <w:bCs w:val="1"/>
                <w:color w:val="auto"/>
                <w:w w:val="99"/>
              </w:rPr>
              <w:t>Earned/</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9"/>
              </w:rPr>
              <w:t>Balance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4"/>
              </w:rPr>
              <w:t>Earned/</w:t>
            </w: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9"/>
              </w:rPr>
              <w:t>Balance</w:t>
            </w:r>
          </w:p>
        </w:tc>
        <w:tc>
          <w:tcPr>
            <w:tcW w:w="140" w:type="dxa"/>
            <w:vAlign w:val="bottom"/>
          </w:tcPr>
          <w:p>
            <w:pPr>
              <w:spacing w:after="0"/>
              <w:rPr>
                <w:sz w:val="10"/>
                <w:szCs w:val="10"/>
                <w:color w:val="auto"/>
              </w:rPr>
            </w:pPr>
          </w:p>
        </w:tc>
        <w:tc>
          <w:tcPr>
            <w:tcW w:w="680" w:type="dxa"/>
            <w:vAlign w:val="bottom"/>
          </w:tcPr>
          <w:p>
            <w:pPr>
              <w:jc w:val="center"/>
              <w:ind w:right="83"/>
              <w:spacing w:after="0" w:line="117" w:lineRule="exact"/>
              <w:rPr>
                <w:sz w:val="20"/>
                <w:szCs w:val="20"/>
                <w:color w:val="auto"/>
              </w:rPr>
            </w:pPr>
            <w:r>
              <w:rPr>
                <w:rFonts w:ascii="Arial" w:cs="Arial" w:eastAsia="Arial" w:hAnsi="Arial"/>
                <w:sz w:val="11"/>
                <w:szCs w:val="11"/>
                <w:b w:val="1"/>
                <w:bCs w:val="1"/>
                <w:color w:val="auto"/>
                <w:w w:val="94"/>
              </w:rPr>
              <w:t>Earned/</w:t>
            </w:r>
          </w:p>
        </w:tc>
        <w:tc>
          <w:tcPr>
            <w:tcW w:w="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Outstanding</w:t>
            </w:r>
          </w:p>
        </w:tc>
        <w:tc>
          <w:tcPr>
            <w:tcW w:w="160" w:type="dxa"/>
            <w:vAlign w:val="bottom"/>
          </w:tcPr>
          <w:p>
            <w:pPr>
              <w:spacing w:after="0"/>
              <w:rPr>
                <w:sz w:val="13"/>
                <w:szCs w:val="13"/>
                <w:color w:val="auto"/>
              </w:rPr>
            </w:pPr>
          </w:p>
        </w:tc>
        <w:tc>
          <w:tcPr>
            <w:tcW w:w="680" w:type="dxa"/>
            <w:vAlign w:val="bottom"/>
          </w:tcPr>
          <w:p>
            <w:pPr>
              <w:jc w:val="center"/>
              <w:ind w:right="83"/>
              <w:spacing w:after="0"/>
              <w:rPr>
                <w:sz w:val="20"/>
                <w:szCs w:val="20"/>
                <w:color w:val="auto"/>
              </w:rPr>
            </w:pPr>
            <w:r>
              <w:rPr>
                <w:rFonts w:ascii="Arial" w:cs="Arial" w:eastAsia="Arial" w:hAnsi="Arial"/>
                <w:sz w:val="11"/>
                <w:szCs w:val="11"/>
                <w:b w:val="1"/>
                <w:bCs w:val="1"/>
                <w:color w:val="auto"/>
                <w:w w:val="94"/>
              </w:rPr>
              <w:t>Paid</w:t>
            </w:r>
          </w:p>
        </w:tc>
        <w:tc>
          <w:tcPr>
            <w:tcW w:w="8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2"/>
              </w:rPr>
              <w:t>Outstanding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Paid</w:t>
            </w: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Rate</w:t>
            </w:r>
          </w:p>
        </w:tc>
        <w:tc>
          <w:tcPr>
            <w:tcW w:w="12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Outstanding</w:t>
            </w:r>
          </w:p>
        </w:tc>
        <w:tc>
          <w:tcPr>
            <w:tcW w:w="140" w:type="dxa"/>
            <w:vAlign w:val="bottom"/>
          </w:tcPr>
          <w:p>
            <w:pPr>
              <w:spacing w:after="0"/>
              <w:rPr>
                <w:sz w:val="13"/>
                <w:szCs w:val="13"/>
                <w:color w:val="auto"/>
              </w:rPr>
            </w:pPr>
          </w:p>
        </w:tc>
        <w:tc>
          <w:tcPr>
            <w:tcW w:w="680" w:type="dxa"/>
            <w:vAlign w:val="bottom"/>
          </w:tcPr>
          <w:p>
            <w:pPr>
              <w:jc w:val="center"/>
              <w:ind w:right="83"/>
              <w:spacing w:after="0"/>
              <w:rPr>
                <w:sz w:val="20"/>
                <w:szCs w:val="20"/>
                <w:color w:val="auto"/>
              </w:rPr>
            </w:pPr>
            <w:r>
              <w:rPr>
                <w:rFonts w:ascii="Arial" w:cs="Arial" w:eastAsia="Arial" w:hAnsi="Arial"/>
                <w:sz w:val="11"/>
                <w:szCs w:val="11"/>
                <w:b w:val="1"/>
                <w:bCs w:val="1"/>
                <w:color w:val="auto"/>
                <w:w w:val="94"/>
              </w:rPr>
              <w:t>Paid</w:t>
            </w:r>
          </w:p>
        </w:tc>
        <w:tc>
          <w:tcPr>
            <w:tcW w:w="80" w:type="dxa"/>
            <w:vAlign w:val="bottom"/>
          </w:tcPr>
          <w:p>
            <w:pPr>
              <w:spacing w:after="0"/>
              <w:rPr>
                <w:sz w:val="13"/>
                <w:szCs w:val="13"/>
                <w:color w:val="auto"/>
              </w:rPr>
            </w:pPr>
          </w:p>
        </w:tc>
        <w:tc>
          <w:tcPr>
            <w:tcW w:w="900" w:type="dxa"/>
            <w:vAlign w:val="bottom"/>
          </w:tcPr>
          <w:p>
            <w:pPr>
              <w:jc w:val="right"/>
              <w:ind w:right="283"/>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45"/>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Interest-earning assets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80"/>
              <w:spacing w:after="0"/>
              <w:rPr>
                <w:sz w:val="20"/>
                <w:szCs w:val="20"/>
                <w:color w:val="auto"/>
              </w:rPr>
            </w:pPr>
            <w:r>
              <w:rPr>
                <w:rFonts w:ascii="Arial" w:cs="Arial" w:eastAsia="Arial" w:hAnsi="Arial"/>
                <w:sz w:val="11"/>
                <w:szCs w:val="11"/>
                <w:color w:val="auto"/>
              </w:rPr>
              <w:t xml:space="preserve">Loans receivable </w:t>
            </w:r>
            <w:r>
              <w:rPr>
                <w:rFonts w:ascii="Arial" w:cs="Arial" w:eastAsia="Arial" w:hAnsi="Arial"/>
                <w:sz w:val="14"/>
                <w:szCs w:val="1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3,263,420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176,270</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w w:val="99"/>
              </w:rPr>
              <w:t>5.40 %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2,809,673</w:t>
            </w: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109,603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2,819,180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111,798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3.97 %</w:t>
            </w:r>
          </w:p>
        </w:tc>
        <w:tc>
          <w:tcPr>
            <w:tcW w:w="0" w:type="dxa"/>
            <w:vAlign w:val="bottom"/>
          </w:tcPr>
          <w:p>
            <w:pPr>
              <w:spacing w:after="0"/>
              <w:rPr>
                <w:sz w:val="1"/>
                <w:szCs w:val="1"/>
                <w:color w:val="auto"/>
              </w:rPr>
            </w:pPr>
          </w:p>
        </w:tc>
      </w:tr>
      <w:tr>
        <w:trPr>
          <w:trHeight w:val="152"/>
        </w:trPr>
        <w:tc>
          <w:tcPr>
            <w:tcW w:w="2740" w:type="dxa"/>
            <w:vAlign w:val="bottom"/>
          </w:tcPr>
          <w:p>
            <w:pPr>
              <w:ind w:left="80"/>
              <w:spacing w:after="0"/>
              <w:rPr>
                <w:sz w:val="20"/>
                <w:szCs w:val="20"/>
                <w:color w:val="auto"/>
              </w:rPr>
            </w:pPr>
            <w:r>
              <w:rPr>
                <w:rFonts w:ascii="Arial" w:cs="Arial" w:eastAsia="Arial" w:hAnsi="Arial"/>
                <w:sz w:val="11"/>
                <w:szCs w:val="11"/>
                <w:color w:val="auto"/>
              </w:rPr>
              <w:t>Commercial paper</w:t>
            </w: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62,686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1,300</w:t>
            </w:r>
          </w:p>
        </w:tc>
        <w:tc>
          <w:tcPr>
            <w:tcW w:w="980" w:type="dxa"/>
            <w:vAlign w:val="bottom"/>
            <w:gridSpan w:val="2"/>
          </w:tcPr>
          <w:p>
            <w:pPr>
              <w:ind w:left="620"/>
              <w:spacing w:after="0"/>
              <w:rPr>
                <w:sz w:val="20"/>
                <w:szCs w:val="20"/>
                <w:color w:val="auto"/>
              </w:rPr>
            </w:pPr>
            <w:r>
              <w:rPr>
                <w:rFonts w:ascii="Arial" w:cs="Arial" w:eastAsia="Arial" w:hAnsi="Arial"/>
                <w:sz w:val="11"/>
                <w:szCs w:val="11"/>
                <w:color w:val="auto"/>
              </w:rPr>
              <w:t>2.07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232,676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1,721</w:t>
            </w:r>
          </w:p>
        </w:tc>
        <w:tc>
          <w:tcPr>
            <w:tcW w:w="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0.74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217,457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1,206</w:t>
            </w:r>
          </w:p>
        </w:tc>
        <w:tc>
          <w:tcPr>
            <w:tcW w:w="980" w:type="dxa"/>
            <w:vAlign w:val="bottom"/>
            <w:gridSpan w:val="2"/>
          </w:tcPr>
          <w:p>
            <w:pPr>
              <w:jc w:val="right"/>
              <w:ind w:right="83"/>
              <w:spacing w:after="0"/>
              <w:rPr>
                <w:sz w:val="20"/>
                <w:szCs w:val="20"/>
                <w:color w:val="auto"/>
              </w:rPr>
            </w:pPr>
            <w:r>
              <w:rPr>
                <w:rFonts w:ascii="Arial" w:cs="Arial" w:eastAsia="Arial" w:hAnsi="Arial"/>
                <w:sz w:val="11"/>
                <w:szCs w:val="11"/>
                <w:color w:val="auto"/>
              </w:rPr>
              <w:t>0.55</w:t>
            </w: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80"/>
              <w:spacing w:after="0"/>
              <w:rPr>
                <w:sz w:val="20"/>
                <w:szCs w:val="20"/>
                <w:color w:val="auto"/>
              </w:rPr>
            </w:pPr>
            <w:r>
              <w:rPr>
                <w:rFonts w:ascii="Arial" w:cs="Arial" w:eastAsia="Arial" w:hAnsi="Arial"/>
                <w:sz w:val="11"/>
                <w:szCs w:val="11"/>
                <w:color w:val="auto"/>
              </w:rPr>
              <w:t>Debt securities available for sale</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155,902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4,350</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2.79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122,558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1,802</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137,863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2,024</w:t>
            </w: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1.47</w:t>
            </w:r>
          </w:p>
        </w:tc>
        <w:tc>
          <w:tcPr>
            <w:tcW w:w="0" w:type="dxa"/>
            <w:vAlign w:val="bottom"/>
          </w:tcPr>
          <w:p>
            <w:pPr>
              <w:spacing w:after="0"/>
              <w:rPr>
                <w:sz w:val="1"/>
                <w:szCs w:val="1"/>
                <w:color w:val="auto"/>
              </w:rPr>
            </w:pPr>
          </w:p>
        </w:tc>
      </w:tr>
      <w:tr>
        <w:trPr>
          <w:trHeight w:val="159"/>
        </w:trPr>
        <w:tc>
          <w:tcPr>
            <w:tcW w:w="2740" w:type="dxa"/>
            <w:vAlign w:val="bottom"/>
          </w:tcPr>
          <w:p>
            <w:pPr>
              <w:ind w:left="80"/>
              <w:spacing w:after="0" w:line="159" w:lineRule="exact"/>
              <w:rPr>
                <w:sz w:val="20"/>
                <w:szCs w:val="20"/>
                <w:color w:val="auto"/>
              </w:rPr>
            </w:pPr>
            <w:r>
              <w:rPr>
                <w:rFonts w:ascii="Arial" w:cs="Arial" w:eastAsia="Arial" w:hAnsi="Arial"/>
                <w:sz w:val="11"/>
                <w:szCs w:val="11"/>
                <w:color w:val="auto"/>
              </w:rPr>
              <w:t>Other interest-earning assets</w:t>
            </w:r>
            <w:r>
              <w:rPr>
                <w:rFonts w:ascii="Arial" w:cs="Arial" w:eastAsia="Arial" w:hAnsi="Arial"/>
                <w:sz w:val="14"/>
                <w:szCs w:val="14"/>
                <w:color w:val="auto"/>
                <w:vertAlign w:val="superscript"/>
              </w:rPr>
              <w:t>(2)</w:t>
            </w: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115,589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5,206</w:t>
            </w:r>
          </w:p>
        </w:tc>
        <w:tc>
          <w:tcPr>
            <w:tcW w:w="980" w:type="dxa"/>
            <w:vAlign w:val="bottom"/>
            <w:gridSpan w:val="2"/>
          </w:tcPr>
          <w:p>
            <w:pPr>
              <w:ind w:left="620"/>
              <w:spacing w:after="0"/>
              <w:rPr>
                <w:sz w:val="20"/>
                <w:szCs w:val="20"/>
                <w:color w:val="auto"/>
              </w:rPr>
            </w:pPr>
            <w:r>
              <w:rPr>
                <w:rFonts w:ascii="Arial" w:cs="Arial" w:eastAsia="Arial" w:hAnsi="Arial"/>
                <w:sz w:val="11"/>
                <w:szCs w:val="11"/>
                <w:color w:val="auto"/>
              </w:rPr>
              <w:t>4.50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114,458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2,988</w:t>
            </w:r>
          </w:p>
        </w:tc>
        <w:tc>
          <w:tcPr>
            <w:tcW w:w="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2.61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266,783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3,705</w:t>
            </w:r>
          </w:p>
        </w:tc>
        <w:tc>
          <w:tcPr>
            <w:tcW w:w="980" w:type="dxa"/>
            <w:vAlign w:val="bottom"/>
            <w:gridSpan w:val="2"/>
          </w:tcPr>
          <w:p>
            <w:pPr>
              <w:jc w:val="right"/>
              <w:ind w:right="83"/>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50"/>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interest-earning assets</w:t>
            </w: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3,597,597</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187,126</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5.20</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3,279,365</w:t>
            </w: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116,114</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3.54</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3,441,283</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118,733</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132"/>
        </w:trPr>
        <w:tc>
          <w:tcPr>
            <w:tcW w:w="27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Other assets</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03"/>
              <w:spacing w:after="0" w:line="125" w:lineRule="exact"/>
              <w:rPr>
                <w:sz w:val="20"/>
                <w:szCs w:val="20"/>
                <w:color w:val="auto"/>
              </w:rPr>
            </w:pPr>
            <w:r>
              <w:rPr>
                <w:rFonts w:ascii="Arial" w:cs="Arial" w:eastAsia="Arial" w:hAnsi="Arial"/>
                <w:sz w:val="11"/>
                <w:szCs w:val="11"/>
                <w:color w:val="auto"/>
              </w:rPr>
              <w:t>250,788</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
              <w:spacing w:after="0" w:line="125" w:lineRule="exact"/>
              <w:rPr>
                <w:sz w:val="20"/>
                <w:szCs w:val="20"/>
                <w:color w:val="auto"/>
              </w:rPr>
            </w:pPr>
            <w:r>
              <w:rPr>
                <w:rFonts w:ascii="Arial" w:cs="Arial" w:eastAsia="Arial" w:hAnsi="Arial"/>
                <w:sz w:val="11"/>
                <w:szCs w:val="11"/>
                <w:color w:val="auto"/>
              </w:rPr>
              <w:t>258,550</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83"/>
              <w:spacing w:after="0" w:line="125" w:lineRule="exact"/>
              <w:rPr>
                <w:sz w:val="20"/>
                <w:szCs w:val="20"/>
                <w:color w:val="auto"/>
              </w:rPr>
            </w:pPr>
            <w:r>
              <w:rPr>
                <w:rFonts w:ascii="Arial" w:cs="Arial" w:eastAsia="Arial" w:hAnsi="Arial"/>
                <w:sz w:val="11"/>
                <w:szCs w:val="11"/>
                <w:color w:val="auto"/>
              </w:rPr>
              <w:t>257,111</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3,848,385</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3,537,915</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3,698,394</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liabilities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80"/>
              <w:spacing w:after="0"/>
              <w:rPr>
                <w:sz w:val="20"/>
                <w:szCs w:val="20"/>
                <w:color w:val="auto"/>
              </w:rPr>
            </w:pPr>
            <w:r>
              <w:rPr>
                <w:rFonts w:ascii="Arial" w:cs="Arial" w:eastAsia="Arial" w:hAnsi="Arial"/>
                <w:sz w:val="11"/>
                <w:szCs w:val="11"/>
                <w:color w:val="auto"/>
              </w:rPr>
              <w:t>Interest-bearing checking accounts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641,477</w:t>
            </w:r>
          </w:p>
        </w:tc>
        <w:tc>
          <w:tcPr>
            <w:tcW w:w="6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2,962</w:t>
            </w:r>
          </w:p>
        </w:tc>
        <w:tc>
          <w:tcPr>
            <w:tcW w:w="980" w:type="dxa"/>
            <w:vAlign w:val="bottom"/>
            <w:gridSpan w:val="2"/>
          </w:tcPr>
          <w:p>
            <w:pPr>
              <w:ind w:left="620"/>
              <w:spacing w:after="0"/>
              <w:rPr>
                <w:sz w:val="20"/>
                <w:szCs w:val="20"/>
                <w:color w:val="auto"/>
              </w:rPr>
            </w:pPr>
            <w:r>
              <w:rPr>
                <w:rFonts w:ascii="Arial" w:cs="Arial" w:eastAsia="Arial" w:hAnsi="Arial"/>
                <w:sz w:val="11"/>
                <w:szCs w:val="11"/>
                <w:color w:val="auto"/>
                <w:w w:val="99"/>
              </w:rPr>
              <w:t>0.46 %</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646,370</w:t>
            </w:r>
          </w:p>
        </w:tc>
        <w:tc>
          <w:tcPr>
            <w:tcW w:w="300" w:type="dxa"/>
            <w:vAlign w:val="bottom"/>
            <w:gridSpan w:val="3"/>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1,378</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0.21 %</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609,754</w:t>
            </w:r>
          </w:p>
        </w:tc>
        <w:tc>
          <w:tcPr>
            <w:tcW w:w="6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1,552</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0.25 %</w:t>
            </w: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80"/>
              <w:spacing w:after="0"/>
              <w:rPr>
                <w:sz w:val="20"/>
                <w:szCs w:val="20"/>
                <w:color w:val="auto"/>
              </w:rPr>
            </w:pPr>
            <w:r>
              <w:rPr>
                <w:rFonts w:ascii="Arial" w:cs="Arial" w:eastAsia="Arial" w:hAnsi="Arial"/>
                <w:sz w:val="11"/>
                <w:szCs w:val="11"/>
                <w:color w:val="auto"/>
              </w:rPr>
              <w:t>Money market accounts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1,078,478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13,333</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1.24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996,876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0.14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882,252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1,699</w:t>
            </w: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0.19</w:t>
            </w:r>
          </w:p>
        </w:tc>
        <w:tc>
          <w:tcPr>
            <w:tcW w:w="0" w:type="dxa"/>
            <w:vAlign w:val="bottom"/>
          </w:tcPr>
          <w:p>
            <w:pPr>
              <w:spacing w:after="0"/>
              <w:rPr>
                <w:sz w:val="1"/>
                <w:szCs w:val="1"/>
                <w:color w:val="auto"/>
              </w:rPr>
            </w:pPr>
          </w:p>
        </w:tc>
      </w:tr>
      <w:tr>
        <w:trPr>
          <w:trHeight w:val="152"/>
        </w:trPr>
        <w:tc>
          <w:tcPr>
            <w:tcW w:w="2740" w:type="dxa"/>
            <w:vAlign w:val="bottom"/>
          </w:tcPr>
          <w:p>
            <w:pPr>
              <w:ind w:left="80"/>
              <w:spacing w:after="0"/>
              <w:rPr>
                <w:sz w:val="20"/>
                <w:szCs w:val="20"/>
                <w:color w:val="auto"/>
              </w:rPr>
            </w:pPr>
            <w:r>
              <w:rPr>
                <w:rFonts w:ascii="Arial" w:cs="Arial" w:eastAsia="Arial" w:hAnsi="Arial"/>
                <w:sz w:val="11"/>
                <w:szCs w:val="11"/>
                <w:color w:val="auto"/>
              </w:rPr>
              <w:t>Savings accounts</w:t>
            </w: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230,995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186</w:t>
            </w:r>
          </w:p>
        </w:tc>
        <w:tc>
          <w:tcPr>
            <w:tcW w:w="980" w:type="dxa"/>
            <w:vAlign w:val="bottom"/>
            <w:gridSpan w:val="2"/>
          </w:tcPr>
          <w:p>
            <w:pPr>
              <w:ind w:left="620"/>
              <w:spacing w:after="0"/>
              <w:rPr>
                <w:sz w:val="20"/>
                <w:szCs w:val="20"/>
                <w:color w:val="auto"/>
              </w:rPr>
            </w:pPr>
            <w:r>
              <w:rPr>
                <w:rFonts w:ascii="Arial" w:cs="Arial" w:eastAsia="Arial" w:hAnsi="Arial"/>
                <w:sz w:val="11"/>
                <w:szCs w:val="11"/>
                <w:color w:val="auto"/>
              </w:rPr>
              <w:t>0.08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227,452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163</w:t>
            </w:r>
          </w:p>
        </w:tc>
        <w:tc>
          <w:tcPr>
            <w:tcW w:w="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0.07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211,192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155</w:t>
            </w:r>
          </w:p>
        </w:tc>
        <w:tc>
          <w:tcPr>
            <w:tcW w:w="980" w:type="dxa"/>
            <w:vAlign w:val="bottom"/>
            <w:gridSpan w:val="2"/>
          </w:tcPr>
          <w:p>
            <w:pPr>
              <w:jc w:val="right"/>
              <w:ind w:right="83"/>
              <w:spacing w:after="0"/>
              <w:rPr>
                <w:sz w:val="20"/>
                <w:szCs w:val="20"/>
                <w:color w:val="auto"/>
              </w:rPr>
            </w:pPr>
            <w:r>
              <w:rPr>
                <w:rFonts w:ascii="Arial" w:cs="Arial" w:eastAsia="Arial" w:hAnsi="Arial"/>
                <w:sz w:val="11"/>
                <w:szCs w:val="11"/>
                <w:color w:val="auto"/>
              </w:rPr>
              <w:t>0.07</w:t>
            </w: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80"/>
              <w:spacing w:after="0"/>
              <w:rPr>
                <w:sz w:val="20"/>
                <w:szCs w:val="20"/>
                <w:color w:val="auto"/>
              </w:rPr>
            </w:pPr>
            <w:r>
              <w:rPr>
                <w:rFonts w:ascii="Arial" w:cs="Arial" w:eastAsia="Arial" w:hAnsi="Arial"/>
                <w:sz w:val="11"/>
                <w:szCs w:val="11"/>
                <w:color w:val="auto"/>
              </w:rPr>
              <w:t>Certificate accounts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519,237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9,043</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1.74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457,186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568,284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5,964</w:t>
            </w: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43"/>
        </w:trPr>
        <w:tc>
          <w:tcPr>
            <w:tcW w:w="2740" w:type="dxa"/>
            <w:vAlign w:val="bottom"/>
          </w:tcPr>
          <w:p>
            <w:pPr>
              <w:ind w:left="140"/>
              <w:spacing w:after="0"/>
              <w:rPr>
                <w:sz w:val="20"/>
                <w:szCs w:val="20"/>
                <w:color w:val="auto"/>
              </w:rPr>
            </w:pPr>
            <w:r>
              <w:rPr>
                <w:rFonts w:ascii="Arial" w:cs="Arial" w:eastAsia="Arial" w:hAnsi="Arial"/>
                <w:sz w:val="11"/>
                <w:szCs w:val="11"/>
                <w:color w:val="auto"/>
              </w:rPr>
              <w:t>Total interest-bearing deposits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color w:val="auto"/>
              </w:rPr>
              <w:t>2,470,187</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25,524</w:t>
            </w:r>
          </w:p>
        </w:tc>
        <w:tc>
          <w:tcPr>
            <w:tcW w:w="80" w:type="dxa"/>
            <w:vAlign w:val="bottom"/>
          </w:tcPr>
          <w:p>
            <w:pPr>
              <w:spacing w:after="0"/>
              <w:rPr>
                <w:sz w:val="12"/>
                <w:szCs w:val="12"/>
                <w:color w:val="auto"/>
              </w:rPr>
            </w:pPr>
          </w:p>
        </w:tc>
        <w:tc>
          <w:tcPr>
            <w:tcW w:w="900" w:type="dxa"/>
            <w:vAlign w:val="bottom"/>
            <w:tcBorders>
              <w:top w:val="single" w:sz="8" w:color="auto"/>
            </w:tcBorders>
          </w:tcPr>
          <w:p>
            <w:pPr>
              <w:ind w:left="540"/>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2,327,884</w:t>
            </w: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5,260</w:t>
            </w: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0.23</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2,271,482</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9,370</w:t>
            </w: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0.41</w:t>
            </w: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80"/>
              <w:spacing w:after="0"/>
              <w:rPr>
                <w:sz w:val="20"/>
                <w:szCs w:val="20"/>
                <w:color w:val="auto"/>
              </w:rPr>
            </w:pPr>
            <w:r>
              <w:rPr>
                <w:rFonts w:ascii="Arial" w:cs="Arial" w:eastAsia="Arial" w:hAnsi="Arial"/>
                <w:sz w:val="11"/>
                <w:szCs w:val="11"/>
                <w:color w:val="auto"/>
              </w:rPr>
              <w:t>Junior subordinated debt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3,788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327</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8.63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740" w:type="dxa"/>
            <w:vAlign w:val="bottom"/>
          </w:tcPr>
          <w:p>
            <w:pPr>
              <w:ind w:left="80"/>
              <w:spacing w:after="0"/>
              <w:rPr>
                <w:sz w:val="20"/>
                <w:szCs w:val="20"/>
                <w:color w:val="auto"/>
              </w:rPr>
            </w:pPr>
            <w:r>
              <w:rPr>
                <w:rFonts w:ascii="Arial" w:cs="Arial" w:eastAsia="Arial" w:hAnsi="Arial"/>
                <w:sz w:val="11"/>
                <w:szCs w:val="11"/>
                <w:color w:val="auto"/>
              </w:rPr>
              <w:t>Borrowings</w:t>
            </w: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73,385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3,860</w:t>
            </w:r>
          </w:p>
        </w:tc>
        <w:tc>
          <w:tcPr>
            <w:tcW w:w="980" w:type="dxa"/>
            <w:vAlign w:val="bottom"/>
            <w:gridSpan w:val="2"/>
          </w:tcPr>
          <w:p>
            <w:pPr>
              <w:ind w:left="620"/>
              <w:spacing w:after="0"/>
              <w:rPr>
                <w:sz w:val="20"/>
                <w:szCs w:val="20"/>
                <w:color w:val="auto"/>
              </w:rPr>
            </w:pPr>
            <w:r>
              <w:rPr>
                <w:rFonts w:ascii="Arial" w:cs="Arial" w:eastAsia="Arial" w:hAnsi="Arial"/>
                <w:sz w:val="11"/>
                <w:szCs w:val="11"/>
                <w:color w:val="auto"/>
              </w:rPr>
              <w:t>5.26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43,376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0.18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416,822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6,041</w:t>
            </w:r>
          </w:p>
        </w:tc>
        <w:tc>
          <w:tcPr>
            <w:tcW w:w="980" w:type="dxa"/>
            <w:vAlign w:val="bottom"/>
            <w:gridSpan w:val="2"/>
          </w:tcPr>
          <w:p>
            <w:pPr>
              <w:jc w:val="right"/>
              <w:ind w:right="83"/>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57"/>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interest-bearing liabilities</w:t>
            </w: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2,547,360</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29,711</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1.17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2,371,260</w:t>
            </w: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5,340</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0.23</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2,688,304</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15,411</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0.57</w:t>
            </w:r>
          </w:p>
        </w:tc>
        <w:tc>
          <w:tcPr>
            <w:tcW w:w="0" w:type="dxa"/>
            <w:vAlign w:val="bottom"/>
          </w:tcPr>
          <w:p>
            <w:pPr>
              <w:spacing w:after="0"/>
              <w:rPr>
                <w:sz w:val="1"/>
                <w:szCs w:val="1"/>
                <w:color w:val="auto"/>
              </w:rPr>
            </w:pPr>
          </w:p>
        </w:tc>
      </w:tr>
      <w:tr>
        <w:trPr>
          <w:trHeight w:val="132"/>
        </w:trPr>
        <w:tc>
          <w:tcPr>
            <w:tcW w:w="2740" w:type="dxa"/>
            <w:vAlign w:val="bottom"/>
          </w:tcPr>
          <w:p>
            <w:pPr>
              <w:ind w:left="20"/>
              <w:spacing w:after="0" w:line="125" w:lineRule="exact"/>
              <w:rPr>
                <w:sz w:val="20"/>
                <w:szCs w:val="20"/>
                <w:color w:val="auto"/>
              </w:rPr>
            </w:pPr>
            <w:r>
              <w:rPr>
                <w:rFonts w:ascii="Arial" w:cs="Arial" w:eastAsia="Arial" w:hAnsi="Arial"/>
                <w:sz w:val="11"/>
                <w:szCs w:val="11"/>
                <w:color w:val="auto"/>
              </w:rPr>
              <w:t>Noninterest-bearing deposits</w:t>
            </w:r>
          </w:p>
        </w:tc>
        <w:tc>
          <w:tcPr>
            <w:tcW w:w="100" w:type="dxa"/>
            <w:vAlign w:val="bottom"/>
          </w:tcPr>
          <w:p>
            <w:pPr>
              <w:spacing w:after="0"/>
              <w:rPr>
                <w:sz w:val="11"/>
                <w:szCs w:val="11"/>
                <w:color w:val="auto"/>
              </w:rPr>
            </w:pPr>
          </w:p>
        </w:tc>
        <w:tc>
          <w:tcPr>
            <w:tcW w:w="820" w:type="dxa"/>
            <w:vAlign w:val="bottom"/>
          </w:tcPr>
          <w:p>
            <w:pPr>
              <w:jc w:val="right"/>
              <w:ind w:right="103"/>
              <w:spacing w:after="0" w:line="125" w:lineRule="exact"/>
              <w:rPr>
                <w:sz w:val="20"/>
                <w:szCs w:val="20"/>
                <w:color w:val="auto"/>
              </w:rPr>
            </w:pPr>
            <w:r>
              <w:rPr>
                <w:rFonts w:ascii="Arial" w:cs="Arial" w:eastAsia="Arial" w:hAnsi="Arial"/>
                <w:sz w:val="11"/>
                <w:szCs w:val="11"/>
                <w:color w:val="auto"/>
              </w:rPr>
              <w:t>823,942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
              <w:spacing w:after="0" w:line="125" w:lineRule="exact"/>
              <w:rPr>
                <w:sz w:val="20"/>
                <w:szCs w:val="20"/>
                <w:color w:val="auto"/>
              </w:rPr>
            </w:pPr>
            <w:r>
              <w:rPr>
                <w:rFonts w:ascii="Arial" w:cs="Arial" w:eastAsia="Arial" w:hAnsi="Arial"/>
                <w:sz w:val="11"/>
                <w:szCs w:val="11"/>
                <w:color w:val="auto"/>
              </w:rPr>
              <w:t>724,588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83"/>
              <w:spacing w:after="0" w:line="125" w:lineRule="exact"/>
              <w:rPr>
                <w:sz w:val="20"/>
                <w:szCs w:val="20"/>
                <w:color w:val="auto"/>
              </w:rPr>
            </w:pPr>
            <w:r>
              <w:rPr>
                <w:rFonts w:ascii="Arial" w:cs="Arial" w:eastAsia="Arial" w:hAnsi="Arial"/>
                <w:sz w:val="11"/>
                <w:szCs w:val="11"/>
                <w:color w:val="auto"/>
              </w:rPr>
              <w:t>550,265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w:t>
            </w: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49,469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45,834</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56,315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40" w:type="dxa"/>
            <w:vAlign w:val="bottom"/>
          </w:tcPr>
          <w:p>
            <w:pPr>
              <w:ind w:left="120"/>
              <w:spacing w:after="0"/>
              <w:rPr>
                <w:sz w:val="20"/>
                <w:szCs w:val="20"/>
                <w:color w:val="auto"/>
              </w:rPr>
            </w:pPr>
            <w:r>
              <w:rPr>
                <w:rFonts w:ascii="Arial" w:cs="Arial" w:eastAsia="Arial" w:hAnsi="Arial"/>
                <w:sz w:val="11"/>
                <w:szCs w:val="11"/>
                <w:b w:val="1"/>
                <w:bCs w:val="1"/>
                <w:color w:val="auto"/>
              </w:rPr>
              <w:t>Total liabilities</w:t>
            </w:r>
          </w:p>
        </w:tc>
        <w:tc>
          <w:tcPr>
            <w:tcW w:w="100" w:type="dxa"/>
            <w:vAlign w:val="bottom"/>
          </w:tcPr>
          <w:p>
            <w:pPr>
              <w:spacing w:after="0"/>
              <w:rPr>
                <w:sz w:val="12"/>
                <w:szCs w:val="12"/>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3,420,771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3,141,682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3,294,884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427,614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396,233</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403,510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ind w:left="120"/>
              <w:spacing w:after="0"/>
              <w:rPr>
                <w:sz w:val="20"/>
                <w:szCs w:val="20"/>
                <w:color w:val="auto"/>
              </w:rPr>
            </w:pPr>
            <w:r>
              <w:rPr>
                <w:rFonts w:ascii="Arial" w:cs="Arial" w:eastAsia="Arial" w:hAnsi="Arial"/>
                <w:sz w:val="11"/>
                <w:szCs w:val="11"/>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3,848,385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3,537,915</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3,698,394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earning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1,050,237</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908,105</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752,979</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80"/>
              <w:spacing w:after="0" w:line="88" w:lineRule="exact"/>
              <w:rPr>
                <w:sz w:val="20"/>
                <w:szCs w:val="20"/>
                <w:color w:val="auto"/>
              </w:rPr>
            </w:pPr>
            <w:r>
              <w:rPr>
                <w:rFonts w:ascii="Arial" w:cs="Arial" w:eastAsia="Arial" w:hAnsi="Arial"/>
                <w:sz w:val="10"/>
                <w:szCs w:val="10"/>
                <w:color w:val="auto"/>
              </w:rPr>
              <w:t>Average interest-earning assets to average interest-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141.23 %</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1"/>
                <w:szCs w:val="11"/>
                <w:color w:val="auto"/>
              </w:rPr>
              <w:t>138.30 %</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128.01 %</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140"/>
              <w:spacing w:after="0"/>
              <w:rPr>
                <w:sz w:val="20"/>
                <w:szCs w:val="20"/>
                <w:color w:val="auto"/>
              </w:rPr>
            </w:pPr>
            <w:r>
              <w:rPr>
                <w:rFonts w:ascii="Arial" w:cs="Arial" w:eastAsia="Arial" w:hAnsi="Arial"/>
                <w:sz w:val="11"/>
                <w:szCs w:val="11"/>
                <w:color w:val="auto"/>
              </w:rPr>
              <w:t>bearing liabilities</w:t>
            </w: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Non-tax-equivalent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40" w:type="dxa"/>
            <w:vAlign w:val="bottom"/>
          </w:tcPr>
          <w:p>
            <w:pPr>
              <w:ind w:left="80"/>
              <w:spacing w:after="0"/>
              <w:rPr>
                <w:sz w:val="20"/>
                <w:szCs w:val="20"/>
                <w:color w:val="auto"/>
              </w:rPr>
            </w:pPr>
            <w:r>
              <w:rPr>
                <w:rFonts w:ascii="Arial" w:cs="Arial" w:eastAsia="Arial" w:hAnsi="Arial"/>
                <w:sz w:val="11"/>
                <w:szCs w:val="11"/>
                <w:color w:val="auto"/>
              </w:rPr>
              <w:t>Net interest income</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157,415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110,774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103,322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4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Interest rate spread</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620"/>
              <w:spacing w:after="0" w:line="121" w:lineRule="exact"/>
              <w:rPr>
                <w:sz w:val="20"/>
                <w:szCs w:val="20"/>
                <w:color w:val="auto"/>
              </w:rPr>
            </w:pPr>
            <w:r>
              <w:rPr>
                <w:rFonts w:ascii="Arial" w:cs="Arial" w:eastAsia="Arial" w:hAnsi="Arial"/>
                <w:sz w:val="11"/>
                <w:szCs w:val="11"/>
                <w:color w:val="auto"/>
                <w:w w:val="99"/>
              </w:rPr>
              <w:t>4.03 %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3.31 %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2.88 %</w:t>
            </w:r>
          </w:p>
        </w:tc>
        <w:tc>
          <w:tcPr>
            <w:tcW w:w="0" w:type="dxa"/>
            <w:vAlign w:val="bottom"/>
          </w:tcPr>
          <w:p>
            <w:pPr>
              <w:spacing w:after="0"/>
              <w:rPr>
                <w:sz w:val="1"/>
                <w:szCs w:val="1"/>
                <w:color w:val="auto"/>
              </w:rPr>
            </w:pPr>
          </w:p>
        </w:tc>
      </w:tr>
      <w:tr>
        <w:trPr>
          <w:trHeight w:val="159"/>
        </w:trPr>
        <w:tc>
          <w:tcPr>
            <w:tcW w:w="2740" w:type="dxa"/>
            <w:vAlign w:val="bottom"/>
          </w:tcPr>
          <w:p>
            <w:pPr>
              <w:ind w:left="80"/>
              <w:spacing w:after="0" w:line="159" w:lineRule="exact"/>
              <w:rPr>
                <w:sz w:val="20"/>
                <w:szCs w:val="20"/>
                <w:color w:val="auto"/>
              </w:rPr>
            </w:pPr>
            <w:r>
              <w:rPr>
                <w:rFonts w:ascii="Arial" w:cs="Arial" w:eastAsia="Arial" w:hAnsi="Arial"/>
                <w:sz w:val="11"/>
                <w:szCs w:val="11"/>
                <w:color w:val="auto"/>
              </w:rPr>
              <w:t>Net interest margin</w:t>
            </w:r>
            <w:r>
              <w:rPr>
                <w:rFonts w:ascii="Arial" w:cs="Arial" w:eastAsia="Arial" w:hAnsi="Arial"/>
                <w:sz w:val="14"/>
                <w:szCs w:val="14"/>
                <w:color w:val="auto"/>
                <w:vertAlign w:val="superscript"/>
              </w:rPr>
              <w:t>(3)</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2"/>
          </w:tcPr>
          <w:p>
            <w:pPr>
              <w:ind w:left="620"/>
              <w:spacing w:after="0"/>
              <w:rPr>
                <w:sz w:val="20"/>
                <w:szCs w:val="20"/>
                <w:color w:val="auto"/>
              </w:rPr>
            </w:pPr>
            <w:r>
              <w:rPr>
                <w:rFonts w:ascii="Arial" w:cs="Arial" w:eastAsia="Arial" w:hAnsi="Arial"/>
                <w:sz w:val="11"/>
                <w:szCs w:val="11"/>
                <w:color w:val="auto"/>
                <w:w w:val="99"/>
              </w:rPr>
              <w:t>4.38 %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3.38 %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3.00 %</w:t>
            </w: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Tax-equivalent</w:t>
            </w:r>
            <w:r>
              <w:rPr>
                <w:rFonts w:ascii="Arial" w:cs="Arial" w:eastAsia="Arial" w:hAnsi="Arial"/>
                <w:sz w:val="14"/>
                <w:szCs w:val="14"/>
                <w:color w:val="auto"/>
                <w:vertAlign w:val="superscript"/>
              </w:rPr>
              <w:t>(4)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40" w:type="dxa"/>
            <w:vAlign w:val="bottom"/>
          </w:tcPr>
          <w:p>
            <w:pPr>
              <w:ind w:left="80"/>
              <w:spacing w:after="0"/>
              <w:rPr>
                <w:sz w:val="20"/>
                <w:szCs w:val="20"/>
                <w:color w:val="auto"/>
              </w:rPr>
            </w:pPr>
            <w:r>
              <w:rPr>
                <w:rFonts w:ascii="Arial" w:cs="Arial" w:eastAsia="Arial" w:hAnsi="Arial"/>
                <w:sz w:val="11"/>
                <w:szCs w:val="11"/>
                <w:color w:val="auto"/>
              </w:rPr>
              <w:t>Net interest income</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158,578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112,005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104,589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4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Interest rate spread</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620"/>
              <w:spacing w:after="0" w:line="121" w:lineRule="exact"/>
              <w:rPr>
                <w:sz w:val="20"/>
                <w:szCs w:val="20"/>
                <w:color w:val="auto"/>
              </w:rPr>
            </w:pPr>
            <w:r>
              <w:rPr>
                <w:rFonts w:ascii="Arial" w:cs="Arial" w:eastAsia="Arial" w:hAnsi="Arial"/>
                <w:sz w:val="11"/>
                <w:szCs w:val="11"/>
                <w:color w:val="auto"/>
                <w:w w:val="99"/>
              </w:rPr>
              <w:t>4.06 %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3.35 %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2.92 %</w:t>
            </w:r>
          </w:p>
        </w:tc>
        <w:tc>
          <w:tcPr>
            <w:tcW w:w="0" w:type="dxa"/>
            <w:vAlign w:val="bottom"/>
          </w:tcPr>
          <w:p>
            <w:pPr>
              <w:spacing w:after="0"/>
              <w:rPr>
                <w:sz w:val="1"/>
                <w:szCs w:val="1"/>
                <w:color w:val="auto"/>
              </w:rPr>
            </w:pPr>
          </w:p>
        </w:tc>
      </w:tr>
      <w:tr>
        <w:trPr>
          <w:trHeight w:val="192"/>
        </w:trPr>
        <w:tc>
          <w:tcPr>
            <w:tcW w:w="2740" w:type="dxa"/>
            <w:vAlign w:val="bottom"/>
          </w:tcPr>
          <w:p>
            <w:pPr>
              <w:ind w:left="80"/>
              <w:spacing w:after="0"/>
              <w:rPr>
                <w:sz w:val="20"/>
                <w:szCs w:val="20"/>
                <w:color w:val="auto"/>
              </w:rPr>
            </w:pPr>
            <w:r>
              <w:rPr>
                <w:rFonts w:ascii="Arial" w:cs="Arial" w:eastAsia="Arial" w:hAnsi="Arial"/>
                <w:sz w:val="11"/>
                <w:szCs w:val="11"/>
                <w:color w:val="auto"/>
              </w:rPr>
              <w:t>Net interest margin</w:t>
            </w:r>
            <w:r>
              <w:rPr>
                <w:rFonts w:ascii="Arial" w:cs="Arial" w:eastAsia="Arial" w:hAnsi="Arial"/>
                <w:sz w:val="14"/>
                <w:szCs w:val="14"/>
                <w:color w:val="auto"/>
                <w:vertAlign w:val="superscript"/>
              </w:rPr>
              <w:t>(3)</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gridSpan w:val="2"/>
          </w:tcPr>
          <w:p>
            <w:pPr>
              <w:ind w:left="620"/>
              <w:spacing w:after="0"/>
              <w:rPr>
                <w:sz w:val="20"/>
                <w:szCs w:val="20"/>
                <w:color w:val="auto"/>
              </w:rPr>
            </w:pPr>
            <w:r>
              <w:rPr>
                <w:rFonts w:ascii="Arial" w:cs="Arial" w:eastAsia="Arial" w:hAnsi="Arial"/>
                <w:sz w:val="11"/>
                <w:szCs w:val="11"/>
                <w:color w:val="auto"/>
                <w:w w:val="99"/>
              </w:rPr>
              <w:t>4.41 %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3.42 %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3.04 %</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20" w:hanging="215"/>
        <w:spacing w:after="0"/>
        <w:tabs>
          <w:tab w:leader="none" w:pos="2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Average loans receivable balances include loans held for sale and nonaccruing loans.</w:t>
      </w:r>
    </w:p>
    <w:p>
      <w:pPr>
        <w:spacing w:after="0" w:line="12" w:lineRule="exact"/>
        <w:rPr>
          <w:rFonts w:ascii="Arial" w:cs="Arial" w:eastAsia="Arial" w:hAnsi="Arial"/>
          <w:sz w:val="10"/>
          <w:szCs w:val="10"/>
          <w:color w:val="auto"/>
        </w:rPr>
      </w:pPr>
    </w:p>
    <w:p>
      <w:pPr>
        <w:ind w:left="220" w:hanging="215"/>
        <w:spacing w:after="0"/>
        <w:tabs>
          <w:tab w:leader="none" w:pos="2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Average other interest-earning assets consist of FRB stock, FHLB stock, SBIC investments, and deposits in other banks.</w:t>
      </w:r>
    </w:p>
    <w:p>
      <w:pPr>
        <w:spacing w:after="0" w:line="9" w:lineRule="exact"/>
        <w:rPr>
          <w:rFonts w:ascii="Arial" w:cs="Arial" w:eastAsia="Arial" w:hAnsi="Arial"/>
          <w:sz w:val="10"/>
          <w:szCs w:val="10"/>
          <w:color w:val="auto"/>
        </w:rPr>
      </w:pPr>
    </w:p>
    <w:p>
      <w:pPr>
        <w:ind w:left="220" w:hanging="215"/>
        <w:spacing w:after="0"/>
        <w:tabs>
          <w:tab w:leader="none" w:pos="2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Net interest income divided by average interest-earning assets.</w:t>
      </w:r>
    </w:p>
    <w:p>
      <w:pPr>
        <w:spacing w:after="0" w:line="1" w:lineRule="exact"/>
        <w:rPr>
          <w:rFonts w:ascii="Arial" w:cs="Arial" w:eastAsia="Arial" w:hAnsi="Arial"/>
          <w:sz w:val="10"/>
          <w:szCs w:val="10"/>
          <w:color w:val="auto"/>
        </w:rPr>
      </w:pPr>
    </w:p>
    <w:p>
      <w:pPr>
        <w:ind w:left="220" w:hanging="215"/>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9"/>
          <w:szCs w:val="9"/>
          <w:color w:val="auto"/>
        </w:rPr>
        <w:t>Tax-equivalent results include adjustments to interest income of $1.2 million, $1.2 million, and $1.3 million for fiscal years ended June 30, 2023, 2022, and 2021, respectively, calculated based on a combined federal and state tax rate of 24% for all three years.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9" w:name="page30"/>
    <w:bookmarkEnd w:id="29"/>
    <w:p>
      <w:pPr>
        <w:jc w:val="both"/>
        <w:spacing w:after="0" w:line="250" w:lineRule="auto"/>
        <w:rPr>
          <w:sz w:val="20"/>
          <w:szCs w:val="20"/>
          <w:color w:val="auto"/>
        </w:rPr>
      </w:pPr>
      <w:r>
        <w:rPr>
          <w:rFonts w:ascii="Arial" w:cs="Arial" w:eastAsia="Arial" w:hAnsi="Arial"/>
          <w:sz w:val="13"/>
          <w:szCs w:val="13"/>
          <w:color w:val="auto"/>
        </w:rPr>
        <w:t>Total interest and dividend income for the year ended June 30, 2023 increased $71.0 million, or 61.2%, compared to the year ended June 30, 2022, which was driven by a $66.7 million, or 60.8%, increase in interest income on loans, a $2.5 million, or 141.4%, increase in interest income on debt securities available for sale, and a $2.2 million, or 74.2%, increase in interest income on other interest-earning assets. The overall increase in average yield and balances was the result of a continual rise in interest rates and inclusion of Quantum's loan portfolio for the current year. Accretion income on acquired loans of $1.7 million and $1.6 million was recognized during the same periods, respectively, and was included in interest income on loans.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Total interest expense for the year ended June 30, 2023 increased $24.4 million, or 456.4%, compared to the year ended June 30, 2022. The increase was primarily the result of increases in the average cost of funds across all funding sources driven by higher market interest rates.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following table shows, for the year ended June 30, 2023 as compared to the year ended June 30, 2022,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Years Ended June 30,</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3"/>
                <w:szCs w:val="13"/>
                <w:b w:val="1"/>
                <w:bCs w:val="1"/>
                <w:color w:val="auto"/>
              </w:rPr>
              <w:t>2023 Compared to 2022</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3"/>
                <w:szCs w:val="13"/>
                <w:b w:val="1"/>
                <w:bCs w:val="1"/>
                <w:color w:val="auto"/>
              </w:rPr>
              <w:t>2022 Compared to 2021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5"/>
          </w:tcPr>
          <w:p>
            <w:pPr>
              <w:jc w:val="center"/>
              <w:ind w:right="260"/>
              <w:spacing w:after="0" w:line="120" w:lineRule="exact"/>
              <w:rPr>
                <w:sz w:val="20"/>
                <w:szCs w:val="20"/>
                <w:color w:val="auto"/>
              </w:rPr>
            </w:pPr>
            <w:r>
              <w:rPr>
                <w:rFonts w:ascii="Arial" w:cs="Arial" w:eastAsia="Arial" w:hAnsi="Arial"/>
                <w:sz w:val="13"/>
                <w:szCs w:val="13"/>
                <w:b w:val="1"/>
                <w:bCs w:val="1"/>
                <w:color w:val="auto"/>
                <w:w w:val="86"/>
              </w:rPr>
              <w:t>Increase / (Decrease)</w:t>
            </w:r>
          </w:p>
        </w:tc>
        <w:tc>
          <w:tcPr>
            <w:tcW w:w="160" w:type="dxa"/>
            <w:vAlign w:val="bottom"/>
          </w:tcPr>
          <w:p>
            <w:pPr>
              <w:spacing w:after="0"/>
              <w:rPr>
                <w:sz w:val="10"/>
                <w:szCs w:val="10"/>
                <w:color w:val="auto"/>
              </w:rPr>
            </w:pPr>
          </w:p>
        </w:tc>
        <w:tc>
          <w:tcPr>
            <w:tcW w:w="8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5"/>
          </w:tcPr>
          <w:p>
            <w:pPr>
              <w:jc w:val="center"/>
              <w:ind w:right="260"/>
              <w:spacing w:after="0" w:line="120" w:lineRule="exact"/>
              <w:rPr>
                <w:sz w:val="20"/>
                <w:szCs w:val="20"/>
                <w:color w:val="auto"/>
              </w:rPr>
            </w:pPr>
            <w:r>
              <w:rPr>
                <w:rFonts w:ascii="Arial" w:cs="Arial" w:eastAsia="Arial" w:hAnsi="Arial"/>
                <w:sz w:val="13"/>
                <w:szCs w:val="13"/>
                <w:b w:val="1"/>
                <w:bCs w:val="1"/>
                <w:color w:val="auto"/>
                <w:w w:val="86"/>
              </w:rPr>
              <w:t>Increase / (Decrease)</w:t>
            </w:r>
          </w:p>
        </w:tc>
        <w:tc>
          <w:tcPr>
            <w:tcW w:w="160" w:type="dxa"/>
            <w:vAlign w:val="bottom"/>
          </w:tcPr>
          <w:p>
            <w:pPr>
              <w:spacing w:after="0"/>
              <w:rPr>
                <w:sz w:val="10"/>
                <w:szCs w:val="10"/>
                <w:color w:val="auto"/>
              </w:rPr>
            </w:pPr>
          </w:p>
        </w:tc>
        <w:tc>
          <w:tcPr>
            <w:tcW w:w="8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3"/>
        </w:trPr>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3"/>
            <w:vMerge w:val="restart"/>
          </w:tcPr>
          <w:p>
            <w:pPr>
              <w:jc w:val="center"/>
              <w:ind w:left="496"/>
              <w:spacing w:after="0"/>
              <w:rPr>
                <w:sz w:val="20"/>
                <w:szCs w:val="20"/>
                <w:color w:val="auto"/>
              </w:rPr>
            </w:pPr>
            <w:r>
              <w:rPr>
                <w:rFonts w:ascii="Arial" w:cs="Arial" w:eastAsia="Arial" w:hAnsi="Arial"/>
                <w:sz w:val="13"/>
                <w:szCs w:val="13"/>
                <w:b w:val="1"/>
                <w:bCs w:val="1"/>
                <w:color w:val="auto"/>
                <w:w w:val="88"/>
              </w:rPr>
              <w:t>Due to</w:t>
            </w: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3"/>
            <w:vMerge w:val="restart"/>
          </w:tcPr>
          <w:p>
            <w:pPr>
              <w:jc w:val="center"/>
              <w:ind w:left="516"/>
              <w:spacing w:after="0"/>
              <w:rPr>
                <w:sz w:val="20"/>
                <w:szCs w:val="20"/>
                <w:color w:val="auto"/>
              </w:rPr>
            </w:pPr>
            <w:r>
              <w:rPr>
                <w:rFonts w:ascii="Arial" w:cs="Arial" w:eastAsia="Arial" w:hAnsi="Arial"/>
                <w:sz w:val="13"/>
                <w:szCs w:val="13"/>
                <w:b w:val="1"/>
                <w:bCs w:val="1"/>
                <w:color w:val="auto"/>
                <w:w w:val="88"/>
              </w:rPr>
              <w:t>Due to</w:t>
            </w: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77"/>
              <w:spacing w:after="0" w:line="107" w:lineRule="exact"/>
              <w:rPr>
                <w:sz w:val="20"/>
                <w:szCs w:val="20"/>
                <w:color w:val="auto"/>
              </w:rPr>
            </w:pPr>
            <w:r>
              <w:rPr>
                <w:rFonts w:ascii="Arial" w:cs="Arial" w:eastAsia="Arial" w:hAnsi="Arial"/>
                <w:sz w:val="12"/>
                <w:szCs w:val="12"/>
                <w:b w:val="1"/>
                <w:bCs w:val="1"/>
                <w:color w:val="auto"/>
                <w:w w:val="95"/>
              </w:rPr>
              <w:t>Increase/</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97"/>
              <w:spacing w:after="0" w:line="107" w:lineRule="exact"/>
              <w:rPr>
                <w:sz w:val="20"/>
                <w:szCs w:val="20"/>
                <w:color w:val="auto"/>
              </w:rPr>
            </w:pPr>
            <w:r>
              <w:rPr>
                <w:rFonts w:ascii="Arial" w:cs="Arial" w:eastAsia="Arial" w:hAnsi="Arial"/>
                <w:sz w:val="12"/>
                <w:szCs w:val="12"/>
                <w:b w:val="1"/>
                <w:bCs w:val="1"/>
                <w:color w:val="auto"/>
                <w:w w:val="92"/>
              </w:rPr>
              <w:t>Increase/</w:t>
            </w:r>
          </w:p>
        </w:tc>
        <w:tc>
          <w:tcPr>
            <w:tcW w:w="0" w:type="dxa"/>
            <w:vAlign w:val="bottom"/>
          </w:tcPr>
          <w:p>
            <w:pPr>
              <w:spacing w:after="0"/>
              <w:rPr>
                <w:sz w:val="1"/>
                <w:szCs w:val="1"/>
                <w:color w:val="auto"/>
              </w:rPr>
            </w:pPr>
          </w:p>
        </w:tc>
      </w:tr>
      <w:tr>
        <w:trPr>
          <w:trHeight w:val="158"/>
        </w:trPr>
        <w:tc>
          <w:tcPr>
            <w:tcW w:w="478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Volume</w:t>
            </w:r>
          </w:p>
        </w:tc>
        <w:tc>
          <w:tcPr>
            <w:tcW w:w="26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3"/>
                <w:szCs w:val="13"/>
                <w:color w:val="auto"/>
              </w:rPr>
            </w:pPr>
          </w:p>
        </w:tc>
        <w:tc>
          <w:tcPr>
            <w:tcW w:w="88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(Decrease)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Volume</w:t>
            </w:r>
          </w:p>
        </w:tc>
        <w:tc>
          <w:tcPr>
            <w:tcW w:w="24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3"/>
                <w:szCs w:val="13"/>
                <w:color w:val="auto"/>
              </w:rPr>
            </w:pPr>
          </w:p>
        </w:tc>
        <w:tc>
          <w:tcPr>
            <w:tcW w:w="88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152"/>
        </w:trPr>
        <w:tc>
          <w:tcPr>
            <w:tcW w:w="47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Interest-earning assets</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Arial" w:cs="Arial" w:eastAsia="Arial" w:hAnsi="Arial"/>
                <w:sz w:val="13"/>
                <w:szCs w:val="13"/>
                <w:color w:val="auto"/>
              </w:rPr>
              <w:t>Loans receivable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17,700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48,967</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66,667</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(1,818)</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paper</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Arial" w:cs="Arial" w:eastAsia="Arial" w:hAnsi="Arial"/>
                <w:sz w:val="13"/>
                <w:szCs w:val="13"/>
                <w:color w:val="auto"/>
              </w:rPr>
              <w:t>Debt securities available for sale</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interest-earning assets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158"/>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Total interest-earning assets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16,963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54,049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71,012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w:t>
            </w:r>
          </w:p>
        </w:tc>
        <w:tc>
          <w:tcPr>
            <w:tcW w:w="0" w:type="dxa"/>
            <w:vAlign w:val="bottom"/>
          </w:tcPr>
          <w:p>
            <w:pPr>
              <w:spacing w:after="0"/>
              <w:rPr>
                <w:sz w:val="1"/>
                <w:szCs w:val="1"/>
                <w:color w:val="auto"/>
              </w:rPr>
            </w:pPr>
          </w:p>
        </w:tc>
      </w:tr>
      <w:tr>
        <w:trPr>
          <w:trHeight w:val="152"/>
        </w:trPr>
        <w:tc>
          <w:tcPr>
            <w:tcW w:w="4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Interest-bearing liabilities</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Arial" w:cs="Arial" w:eastAsia="Arial" w:hAnsi="Arial"/>
                <w:sz w:val="13"/>
                <w:szCs w:val="13"/>
                <w:color w:val="auto"/>
              </w:rPr>
              <w:t>Savings accounts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Certificate accounts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(3,651)</w:t>
            </w: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Arial" w:cs="Arial" w:eastAsia="Arial" w:hAnsi="Arial"/>
                <w:sz w:val="13"/>
                <w:szCs w:val="13"/>
                <w:color w:val="auto"/>
              </w:rPr>
              <w:t>Junior subordinated debt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(5,961)</w:t>
            </w:r>
          </w:p>
        </w:tc>
        <w:tc>
          <w:tcPr>
            <w:tcW w:w="0" w:type="dxa"/>
            <w:vAlign w:val="bottom"/>
          </w:tcPr>
          <w:p>
            <w:pPr>
              <w:spacing w:after="0"/>
              <w:rPr>
                <w:sz w:val="1"/>
                <w:szCs w:val="1"/>
                <w:color w:val="auto"/>
              </w:rPr>
            </w:pPr>
          </w:p>
        </w:tc>
      </w:tr>
      <w:tr>
        <w:trPr>
          <w:trHeight w:val="158"/>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Total interest-bearing liabilities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23,567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24,371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(10,071)</w:t>
            </w:r>
          </w:p>
        </w:tc>
        <w:tc>
          <w:tcPr>
            <w:tcW w:w="0" w:type="dxa"/>
            <w:vAlign w:val="bottom"/>
          </w:tcPr>
          <w:p>
            <w:pPr>
              <w:spacing w:after="0"/>
              <w:rPr>
                <w:sz w:val="1"/>
                <w:szCs w:val="1"/>
                <w:color w:val="auto"/>
              </w:rPr>
            </w:pPr>
          </w:p>
        </w:tc>
      </w:tr>
      <w:tr>
        <w:trPr>
          <w:trHeight w:val="1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in tax equivalent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46,641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Provision (Benefit) for Credit Losses. </w:t>
      </w:r>
      <w:r>
        <w:rPr>
          <w:rFonts w:ascii="Arial" w:cs="Arial" w:eastAsia="Arial" w:hAnsi="Arial"/>
          <w:sz w:val="13"/>
          <w:szCs w:val="13"/>
          <w:color w:val="auto"/>
        </w:rPr>
        <w:t>The provision (benefit) for credit losses is the amount of expense that, based on our judgment, is required to maintain the ACL at an appropriate level under the CECL model.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determination of the ACL is complex and involves a high degree of judgment and subjectivity. Refer to "Note 1 – Summary of Significant Accounting Policies” of the Notes to the Consolidated Financial Statements included in Item 8 of this Form 10-K for detailed discussion regarding ACL methodologies for available for sale debt securities, loans held for investment and unfunded commitments. The following table presents a breakdown of the components of the provision (benefit) for credit losses: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8"/>
              </w:rPr>
              <w:t>Year Ended June 30,</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3"/>
              </w:rPr>
              <w:t>2023 vs 2022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3"/>
              </w:rPr>
              <w:t>2022 vs 2021</w:t>
            </w:r>
          </w:p>
        </w:tc>
        <w:tc>
          <w:tcPr>
            <w:tcW w:w="660" w:type="dxa"/>
            <w:vAlign w:val="bottom"/>
            <w:tcBorders>
              <w:bottom w:val="single" w:sz="8" w:color="auto"/>
            </w:tcBorders>
          </w:tcPr>
          <w:p>
            <w:pPr>
              <w:spacing w:after="0"/>
              <w:rPr>
                <w:sz w:val="14"/>
                <w:szCs w:val="14"/>
                <w:color w:val="auto"/>
              </w:rPr>
            </w:pPr>
          </w:p>
        </w:tc>
      </w:tr>
      <w:tr>
        <w:trPr>
          <w:trHeight w:val="16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r>
      <w:tr>
        <w:trPr>
          <w:trHeight w:val="163"/>
        </w:trPr>
        <w:tc>
          <w:tcPr>
            <w:tcW w:w="37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Loans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16,862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r>
      <w:tr>
        <w:trPr>
          <w:trHeight w:val="168"/>
        </w:trPr>
        <w:tc>
          <w:tcPr>
            <w:tcW w:w="3720" w:type="dxa"/>
            <w:vAlign w:val="bottom"/>
          </w:tcPr>
          <w:p>
            <w:pPr>
              <w:ind w:left="80"/>
              <w:spacing w:after="0"/>
              <w:rPr>
                <w:sz w:val="20"/>
                <w:szCs w:val="20"/>
                <w:color w:val="auto"/>
              </w:rPr>
            </w:pPr>
            <w:r>
              <w:rPr>
                <w:rFonts w:ascii="Arial" w:cs="Arial" w:eastAsia="Arial" w:hAnsi="Arial"/>
                <w:sz w:val="13"/>
                <w:szCs w:val="13"/>
                <w:color w:val="auto"/>
              </w:rPr>
              <w:t>Off-balance-sheet credit exposure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2,703</w:t>
            </w:r>
          </w:p>
        </w:tc>
      </w:tr>
      <w:tr>
        <w:trPr>
          <w:trHeight w:val="172"/>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paper</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(200)</w:t>
            </w:r>
          </w:p>
        </w:tc>
      </w:tr>
      <w:tr>
        <w:trPr>
          <w:trHeight w:val="158"/>
        </w:trPr>
        <w:tc>
          <w:tcPr>
            <w:tcW w:w="3720" w:type="dxa"/>
            <w:vAlign w:val="bottom"/>
          </w:tcPr>
          <w:p>
            <w:pPr>
              <w:ind w:left="140"/>
              <w:spacing w:after="0" w:line="146" w:lineRule="exact"/>
              <w:rPr>
                <w:sz w:val="20"/>
                <w:szCs w:val="20"/>
                <w:color w:val="auto"/>
              </w:rPr>
            </w:pPr>
            <w:r>
              <w:rPr>
                <w:rFonts w:ascii="Arial" w:cs="Arial" w:eastAsia="Arial" w:hAnsi="Arial"/>
                <w:sz w:val="13"/>
                <w:szCs w:val="13"/>
                <w:b w:val="1"/>
                <w:bCs w:val="1"/>
                <w:color w:val="auto"/>
              </w:rPr>
              <w:t>Total provision (benefit) for credit losses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15,392</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(7,135)</w:t>
            </w:r>
          </w:p>
        </w:tc>
        <w:tc>
          <w:tcPr>
            <w:tcW w:w="10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15,984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2,700 %</w:t>
            </w:r>
          </w:p>
        </w:tc>
        <w:tc>
          <w:tcPr>
            <w:tcW w:w="10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6,543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92 %</w:t>
            </w:r>
          </w:p>
        </w:tc>
      </w:tr>
      <w:tr>
        <w:trPr>
          <w:trHeight w:val="20"/>
        </w:trPr>
        <w:tc>
          <w:tcPr>
            <w:tcW w:w="3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For the year ended June 30, 2023, the "loans" portion of the provision (benefit) for credit losses was the result of the following, offset by net charge-offs of $3.2 million during the period:</w:t>
      </w:r>
    </w:p>
    <w:p>
      <w:pPr>
        <w:spacing w:after="0" w:line="8"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$4.9 million provision to establish an allowance on Quantum's loan portfolio.</w:t>
      </w:r>
    </w:p>
    <w:p>
      <w:pPr>
        <w:ind w:left="260" w:hanging="255"/>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$1.3 million provision specific to fintech portfolios which have a riskier credit profile than loans originated in-house. The elevated credit risk is offset by the higher yields earned on the portfolios.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$4.9 million provision driven by loan growth and changes in the loan mix.</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$2.6 million provision due to changes in the projected economic forecast, specifically the national unemployment rate, and changes in qualitative adjustments.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$1.5 million reduction of specific reserves on individually evaluated credits, which was tied to two relationships which were fully charged-off during the period.</w:t>
      </w:r>
    </w:p>
    <w:p>
      <w:pPr>
        <w:spacing w:after="0" w:line="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For the year ended June 30, 2022, the "loans" portion of the benefit for credit losses was driven by an improvement in the economic forecast, as more clarity was gained regarding the impact of COVID-19 upon the loan portfolio.</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For the year ended June 30, 2023, a provision of $0.4 million was also recorded to establish an allowance on Quantum's off-balance-sheet credit exposure. The remainder of the change in the provision for off-balance-sheet credit exposure was the result of changes in the balance and mix of loan commitments as well as changes in the projected economic forecast outlined above, which is the same reasoning for the provision for the year ended June 30, 2022.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 xml:space="preserve">See further discussion in the “Comparison of Financial Condition at June 30, 2023 and June 30, 2022 </w:t>
      </w:r>
      <w:r>
        <w:rPr>
          <w:rFonts w:ascii="Arial" w:cs="Arial" w:eastAsia="Arial" w:hAnsi="Arial"/>
          <w:sz w:val="13"/>
          <w:szCs w:val="13"/>
          <w:i w:val="1"/>
          <w:iCs w:val="1"/>
          <w:color w:val="auto"/>
        </w:rPr>
        <w:t>–</w:t>
      </w:r>
      <w:r>
        <w:rPr>
          <w:rFonts w:ascii="Arial" w:cs="Arial" w:eastAsia="Arial" w:hAnsi="Arial"/>
          <w:sz w:val="13"/>
          <w:szCs w:val="13"/>
          <w:color w:val="auto"/>
        </w:rPr>
        <w:t xml:space="preserve"> Allowance for Credit Losses on Loans” section below.</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Noninterest Income. </w:t>
      </w:r>
      <w:r>
        <w:rPr>
          <w:rFonts w:ascii="Arial" w:cs="Arial" w:eastAsia="Arial" w:hAnsi="Arial"/>
          <w:sz w:val="12"/>
          <w:szCs w:val="12"/>
          <w:color w:val="auto"/>
        </w:rPr>
        <w:t>Noninterest income for the year ended June 30, 2023 decreased $8.1 million, or 20.6%, year-over-year. Changes in selected components of noninterest income are discussed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6"/>
              </w:rPr>
              <w:t>Year Ended June 30,</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90"/>
              </w:rPr>
              <w:t>2023 vs 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90"/>
              </w:rPr>
              <w:t>2022 vs 2021</w:t>
            </w:r>
          </w:p>
        </w:tc>
        <w:tc>
          <w:tcPr>
            <w:tcW w:w="620" w:type="dxa"/>
            <w:vAlign w:val="bottom"/>
            <w:tcBorders>
              <w:bottom w:val="single" w:sz="8" w:color="auto"/>
            </w:tcBorders>
          </w:tcPr>
          <w:p>
            <w:pPr>
              <w:spacing w:after="0"/>
              <w:rPr>
                <w:sz w:val="14"/>
                <w:szCs w:val="14"/>
                <w:color w:val="auto"/>
              </w:rPr>
            </w:pPr>
          </w:p>
        </w:tc>
      </w:tr>
      <w:tr>
        <w:trPr>
          <w:trHeight w:val="16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w:t>
            </w:r>
          </w:p>
        </w:tc>
      </w:tr>
      <w:tr>
        <w:trPr>
          <w:trHeight w:val="163"/>
        </w:trPr>
        <w:tc>
          <w:tcPr>
            <w:tcW w:w="3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Service charges and fees on deposit accounts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r>
      <w:tr>
        <w:trPr>
          <w:trHeight w:val="168"/>
        </w:trPr>
        <w:tc>
          <w:tcPr>
            <w:tcW w:w="3960" w:type="dxa"/>
            <w:vAlign w:val="bottom"/>
          </w:tcPr>
          <w:p>
            <w:pPr>
              <w:ind w:left="80"/>
              <w:spacing w:after="0"/>
              <w:rPr>
                <w:sz w:val="20"/>
                <w:szCs w:val="20"/>
                <w:color w:val="auto"/>
              </w:rPr>
            </w:pPr>
            <w:r>
              <w:rPr>
                <w:rFonts w:ascii="Arial" w:cs="Arial" w:eastAsia="Arial" w:hAnsi="Arial"/>
                <w:sz w:val="13"/>
                <w:szCs w:val="13"/>
                <w:color w:val="auto"/>
              </w:rPr>
              <w:t>Loan income and fees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44</w:t>
            </w:r>
          </w:p>
        </w:tc>
      </w:tr>
      <w:tr>
        <w:trPr>
          <w:trHeight w:val="172"/>
        </w:trPr>
        <w:tc>
          <w:tcPr>
            <w:tcW w:w="3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Gain on sale of loans held for sale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w:t>
            </w:r>
          </w:p>
        </w:tc>
      </w:tr>
      <w:tr>
        <w:trPr>
          <w:trHeight w:val="168"/>
        </w:trPr>
        <w:tc>
          <w:tcPr>
            <w:tcW w:w="3960" w:type="dxa"/>
            <w:vAlign w:val="bottom"/>
          </w:tcPr>
          <w:p>
            <w:pPr>
              <w:ind w:left="80"/>
              <w:spacing w:after="0"/>
              <w:rPr>
                <w:sz w:val="20"/>
                <w:szCs w:val="20"/>
                <w:color w:val="auto"/>
              </w:rPr>
            </w:pPr>
            <w:r>
              <w:rPr>
                <w:rFonts w:ascii="Arial" w:cs="Arial" w:eastAsia="Arial" w:hAnsi="Arial"/>
                <w:sz w:val="13"/>
                <w:szCs w:val="13"/>
                <w:color w:val="auto"/>
              </w:rPr>
              <w:t>BOLI income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(7)</w:t>
            </w:r>
          </w:p>
        </w:tc>
      </w:tr>
      <w:tr>
        <w:trPr>
          <w:trHeight w:val="172"/>
        </w:trPr>
        <w:tc>
          <w:tcPr>
            <w:tcW w:w="3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Operating lease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r>
      <w:tr>
        <w:trPr>
          <w:trHeight w:val="168"/>
        </w:trPr>
        <w:tc>
          <w:tcPr>
            <w:tcW w:w="3960" w:type="dxa"/>
            <w:vAlign w:val="bottom"/>
          </w:tcPr>
          <w:p>
            <w:pPr>
              <w:ind w:left="80"/>
              <w:spacing w:after="0"/>
              <w:rPr>
                <w:sz w:val="20"/>
                <w:szCs w:val="20"/>
                <w:color w:val="auto"/>
              </w:rPr>
            </w:pPr>
            <w:r>
              <w:rPr>
                <w:rFonts w:ascii="Arial" w:cs="Arial" w:eastAsia="Arial" w:hAnsi="Arial"/>
                <w:sz w:val="13"/>
                <w:szCs w:val="13"/>
                <w:color w:val="auto"/>
              </w:rPr>
              <w:t>Gain on sale of debt securities available for sale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(1,895)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1,895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100</w:t>
            </w:r>
          </w:p>
        </w:tc>
      </w:tr>
      <w:tr>
        <w:trPr>
          <w:trHeight w:val="172"/>
        </w:trPr>
        <w:tc>
          <w:tcPr>
            <w:tcW w:w="3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Gain (loss) on sale of premises and equipment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93</w:t>
            </w:r>
          </w:p>
        </w:tc>
      </w:tr>
      <w:tr>
        <w:trPr>
          <w:trHeight w:val="168"/>
        </w:trPr>
        <w:tc>
          <w:tcPr>
            <w:tcW w:w="39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(28)</w:t>
            </w:r>
          </w:p>
        </w:tc>
      </w:tr>
      <w:tr>
        <w:trPr>
          <w:trHeight w:val="183"/>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noninterest income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31,050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60" w:hanging="255"/>
        <w:spacing w:after="0" w:line="248" w:lineRule="auto"/>
        <w:tabs>
          <w:tab w:leader="none" w:pos="251"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Loan income and fees: </w:t>
      </w:r>
      <w:r>
        <w:rPr>
          <w:rFonts w:ascii="Arial" w:cs="Arial" w:eastAsia="Arial" w:hAnsi="Arial"/>
          <w:sz w:val="13"/>
          <w:szCs w:val="13"/>
          <w:color w:val="auto"/>
        </w:rPr>
        <w:t>The decrease was driven by lower underwriting fees, interest rate swap fees and prepayment penalties in the current year compared to last year, all of which were impacted by rising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rates.</w:t>
      </w:r>
    </w:p>
    <w:p>
      <w:pPr>
        <w:spacing w:after="0" w:line="1" w:lineRule="exact"/>
        <w:rPr>
          <w:rFonts w:ascii="Arial" w:cs="Arial" w:eastAsia="Arial" w:hAnsi="Arial"/>
          <w:sz w:val="13"/>
          <w:szCs w:val="13"/>
          <w:i w:val="1"/>
          <w:iCs w:val="1"/>
          <w:color w:val="auto"/>
        </w:rPr>
      </w:pPr>
    </w:p>
    <w:p>
      <w:pPr>
        <w:jc w:val="both"/>
        <w:ind w:left="260" w:hanging="255"/>
        <w:spacing w:after="0" w:line="244" w:lineRule="auto"/>
        <w:tabs>
          <w:tab w:leader="none" w:pos="251"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Gain on sale of loans held for sale: </w:t>
      </w:r>
      <w:r>
        <w:rPr>
          <w:rFonts w:ascii="Arial" w:cs="Arial" w:eastAsia="Arial" w:hAnsi="Arial"/>
          <w:sz w:val="13"/>
          <w:szCs w:val="13"/>
          <w:color w:val="auto"/>
        </w:rPr>
        <w:t>The decrease was primarily driven by a decrease in the volume of SBA loans and residential mortgages sold during the period as a result of rising interest rates. During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June 30, 2023, there were $56.6 million of residential mortgages originated for sale sold with gains of $1.1 million compared to $263.0 million sold with gains of $6.4 million in the prior year, although the implementation of a hedging program on mandatory commitments in the year ended June 30, 2023 contributed an additional $278,000 in income. There were $49.0 million of sales of the guaranteed portion of SBA commercial loans with gains of $3.4 million in the current year compared to $54.7 million sold with gains of $5.4 million in the prior year. There were $99.4 million of HELOCs sold during the current year with gains of $897,000 compared to $120.0 million sold with gains of $791,000 in the prior year. Lastly, $11.5 million of indirect auto finance loans were sold out of the held for investment portfolio during the prior year for a gain of $205,000. No such sales occurred in the current year.</w:t>
      </w:r>
    </w:p>
    <w:p>
      <w:pPr>
        <w:ind w:left="260" w:hanging="255"/>
        <w:spacing w:after="0" w:line="246" w:lineRule="auto"/>
        <w:tabs>
          <w:tab w:leader="none" w:pos="251"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Operating lease income: </w:t>
      </w:r>
      <w:r>
        <w:rPr>
          <w:rFonts w:ascii="Arial" w:cs="Arial" w:eastAsia="Arial" w:hAnsi="Arial"/>
          <w:sz w:val="13"/>
          <w:szCs w:val="13"/>
          <w:color w:val="auto"/>
        </w:rPr>
        <w:t>The decrease was the result of lower contractual earnings due to a decline in the average balance of assets being leased as well as gains or losses incurred upon disposal of previously leased</w:t>
      </w:r>
      <w:r>
        <w:rPr>
          <w:rFonts w:ascii="Arial" w:cs="Arial" w:eastAsia="Arial" w:hAnsi="Arial"/>
          <w:sz w:val="13"/>
          <w:szCs w:val="13"/>
          <w:i w:val="1"/>
          <w:iCs w:val="1"/>
          <w:color w:val="auto"/>
        </w:rPr>
        <w:t xml:space="preserve"> </w:t>
      </w:r>
      <w:r>
        <w:rPr>
          <w:rFonts w:ascii="Arial" w:cs="Arial" w:eastAsia="Arial" w:hAnsi="Arial"/>
          <w:sz w:val="13"/>
          <w:szCs w:val="13"/>
          <w:color w:val="auto"/>
        </w:rPr>
        <w:t>equipment, where we recognized a net loss of $451,000 for the current year versus a net loss of $12,000 in the prior year.</w:t>
      </w:r>
    </w:p>
    <w:p>
      <w:pPr>
        <w:spacing w:after="0" w:line="1" w:lineRule="exact"/>
        <w:rPr>
          <w:rFonts w:ascii="Arial" w:cs="Arial" w:eastAsia="Arial" w:hAnsi="Arial"/>
          <w:sz w:val="13"/>
          <w:szCs w:val="13"/>
          <w:i w:val="1"/>
          <w:iCs w:val="1"/>
          <w:color w:val="auto"/>
        </w:rPr>
      </w:pPr>
    </w:p>
    <w:p>
      <w:pPr>
        <w:ind w:left="260" w:hanging="255"/>
        <w:spacing w:after="0" w:line="244" w:lineRule="auto"/>
        <w:tabs>
          <w:tab w:leader="none" w:pos="251"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Gain on sale of debt securities available for sale: </w:t>
      </w:r>
      <w:r>
        <w:rPr>
          <w:rFonts w:ascii="Arial" w:cs="Arial" w:eastAsia="Arial" w:hAnsi="Arial"/>
          <w:sz w:val="13"/>
          <w:szCs w:val="13"/>
          <w:color w:val="auto"/>
        </w:rPr>
        <w:t>The decrease was driven by the sale of seven trust preferred securities during the prior year which had previously been written down to zero through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adjustments from a merger in a prior period. No securities were sold during the current year.</w:t>
      </w:r>
    </w:p>
    <w:p>
      <w:pPr>
        <w:ind w:left="260" w:hanging="255"/>
        <w:spacing w:after="0" w:line="258" w:lineRule="auto"/>
        <w:tabs>
          <w:tab w:leader="none" w:pos="251"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Gain (loss) on sale of premises and equipment: </w:t>
      </w:r>
      <w:r>
        <w:rPr>
          <w:rFonts w:ascii="Arial" w:cs="Arial" w:eastAsia="Arial" w:hAnsi="Arial"/>
          <w:sz w:val="13"/>
          <w:szCs w:val="13"/>
          <w:color w:val="auto"/>
        </w:rPr>
        <w:t>During the current year, four properties were sold for a combined gain of $2.6 million, partially offset by additional impairment of $420,000 on premises associated</w:t>
      </w:r>
      <w:r>
        <w:rPr>
          <w:rFonts w:ascii="Arial" w:cs="Arial" w:eastAsia="Arial" w:hAnsi="Arial"/>
          <w:sz w:val="13"/>
          <w:szCs w:val="13"/>
          <w:i w:val="1"/>
          <w:iCs w:val="1"/>
          <w:color w:val="auto"/>
        </w:rPr>
        <w:t xml:space="preserve"> </w:t>
      </w:r>
      <w:r>
        <w:rPr>
          <w:rFonts w:ascii="Arial" w:cs="Arial" w:eastAsia="Arial" w:hAnsi="Arial"/>
          <w:sz w:val="13"/>
          <w:szCs w:val="13"/>
          <w:color w:val="auto"/>
        </w:rPr>
        <w:t>with prior branch closures. During the prior year, no sales occurred but $87,000 of additional impairment was recorded on premises held for sale.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Noninterest Expense. </w:t>
      </w:r>
      <w:r>
        <w:rPr>
          <w:rFonts w:ascii="Arial" w:cs="Arial" w:eastAsia="Arial" w:hAnsi="Arial"/>
          <w:sz w:val="12"/>
          <w:szCs w:val="12"/>
          <w:color w:val="auto"/>
        </w:rPr>
        <w:t>Noninterest expense for the year ended June 30, 2023 increased $10.8 million, or 10.3%, year-over-year. Changes in selected components of noninterest expense are discussed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88"/>
              </w:rPr>
              <w:t>Year Ended June 30,</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3"/>
              </w:rPr>
              <w:t>2023 vs 2022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3"/>
              </w:rPr>
              <w:t>2022 vs 2021</w:t>
            </w:r>
          </w:p>
        </w:tc>
        <w:tc>
          <w:tcPr>
            <w:tcW w:w="660" w:type="dxa"/>
            <w:vAlign w:val="bottom"/>
            <w:tcBorders>
              <w:bottom w:val="single" w:sz="8" w:color="auto"/>
            </w:tcBorders>
          </w:tcPr>
          <w:p>
            <w:pPr>
              <w:spacing w:after="0"/>
              <w:rPr>
                <w:sz w:val="14"/>
                <w:szCs w:val="14"/>
                <w:color w:val="auto"/>
              </w:rPr>
            </w:pPr>
          </w:p>
        </w:tc>
      </w:tr>
      <w:tr>
        <w:trPr>
          <w:trHeight w:val="16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r>
      <w:tr>
        <w:trPr>
          <w:trHeight w:val="163"/>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Salaries and employee benefits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3720" w:type="dxa"/>
            <w:vAlign w:val="bottom"/>
          </w:tcPr>
          <w:p>
            <w:pPr>
              <w:ind w:left="80"/>
              <w:spacing w:after="0"/>
              <w:rPr>
                <w:sz w:val="20"/>
                <w:szCs w:val="20"/>
                <w:color w:val="auto"/>
              </w:rPr>
            </w:pPr>
            <w:r>
              <w:rPr>
                <w:rFonts w:ascii="Arial" w:cs="Arial" w:eastAsia="Arial" w:hAnsi="Arial"/>
                <w:sz w:val="13"/>
                <w:szCs w:val="13"/>
                <w:color w:val="auto"/>
              </w:rPr>
              <w:t>Occupancy expense, net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2</w:t>
            </w:r>
          </w:p>
        </w:tc>
      </w:tr>
      <w:tr>
        <w:trPr>
          <w:trHeight w:val="172"/>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Computer services</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w:t>
            </w:r>
          </w:p>
        </w:tc>
      </w:tr>
      <w:tr>
        <w:trPr>
          <w:trHeight w:val="168"/>
        </w:trPr>
        <w:tc>
          <w:tcPr>
            <w:tcW w:w="3720" w:type="dxa"/>
            <w:vAlign w:val="bottom"/>
          </w:tcPr>
          <w:p>
            <w:pPr>
              <w:ind w:left="80"/>
              <w:spacing w:after="0"/>
              <w:rPr>
                <w:sz w:val="20"/>
                <w:szCs w:val="20"/>
                <w:color w:val="auto"/>
              </w:rPr>
            </w:pPr>
            <w:r>
              <w:rPr>
                <w:rFonts w:ascii="Arial" w:cs="Arial" w:eastAsia="Arial" w:hAnsi="Arial"/>
                <w:sz w:val="13"/>
                <w:szCs w:val="13"/>
                <w:color w:val="auto"/>
              </w:rPr>
              <w:t>Telephone, postage and supplies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(18)</w:t>
            </w:r>
          </w:p>
        </w:tc>
      </w:tr>
      <w:tr>
        <w:trPr>
          <w:trHeight w:val="172"/>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Marketing and advertising</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59</w:t>
            </w:r>
          </w:p>
        </w:tc>
      </w:tr>
      <w:tr>
        <w:trPr>
          <w:trHeight w:val="168"/>
        </w:trPr>
        <w:tc>
          <w:tcPr>
            <w:tcW w:w="3720" w:type="dxa"/>
            <w:vAlign w:val="bottom"/>
          </w:tcPr>
          <w:p>
            <w:pPr>
              <w:ind w:left="80"/>
              <w:spacing w:after="0"/>
              <w:rPr>
                <w:sz w:val="20"/>
                <w:szCs w:val="20"/>
                <w:color w:val="auto"/>
              </w:rPr>
            </w:pPr>
            <w:r>
              <w:rPr>
                <w:rFonts w:ascii="Arial" w:cs="Arial" w:eastAsia="Arial" w:hAnsi="Arial"/>
                <w:sz w:val="13"/>
                <w:szCs w:val="13"/>
                <w:color w:val="auto"/>
              </w:rPr>
              <w:t>Deposit insurance premiums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(5)</w:t>
            </w:r>
          </w:p>
        </w:tc>
      </w:tr>
      <w:tr>
        <w:trPr>
          <w:trHeight w:val="172"/>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Core deposit intangible amortization</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(66)</w:t>
            </w:r>
          </w:p>
        </w:tc>
      </w:tr>
      <w:tr>
        <w:trPr>
          <w:trHeight w:val="168"/>
        </w:trPr>
        <w:tc>
          <w:tcPr>
            <w:tcW w:w="3720" w:type="dxa"/>
            <w:vAlign w:val="bottom"/>
          </w:tcPr>
          <w:p>
            <w:pPr>
              <w:ind w:left="80"/>
              <w:spacing w:after="0"/>
              <w:rPr>
                <w:sz w:val="20"/>
                <w:szCs w:val="20"/>
                <w:color w:val="auto"/>
              </w:rPr>
            </w:pPr>
            <w:r>
              <w:rPr>
                <w:rFonts w:ascii="Arial" w:cs="Arial" w:eastAsia="Arial" w:hAnsi="Arial"/>
                <w:sz w:val="13"/>
                <w:szCs w:val="13"/>
                <w:color w:val="auto"/>
              </w:rPr>
              <w:t>Branch closure and restructuring expenses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(100)</w:t>
            </w:r>
          </w:p>
        </w:tc>
      </w:tr>
      <w:tr>
        <w:trPr>
          <w:trHeight w:val="172"/>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Officer transition agreement expense</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ind w:left="80"/>
              <w:spacing w:after="0"/>
              <w:rPr>
                <w:sz w:val="20"/>
                <w:szCs w:val="20"/>
                <w:color w:val="auto"/>
              </w:rPr>
            </w:pPr>
            <w:r>
              <w:rPr>
                <w:rFonts w:ascii="Arial" w:cs="Arial" w:eastAsia="Arial" w:hAnsi="Arial"/>
                <w:sz w:val="13"/>
                <w:szCs w:val="13"/>
                <w:color w:val="auto"/>
              </w:rPr>
              <w:t>Merger-related expense</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5,465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Prepayment penalties on borrowings</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w:t>
            </w:r>
          </w:p>
        </w:tc>
      </w:tr>
      <w:tr>
        <w:trPr>
          <w:trHeight w:val="168"/>
        </w:trPr>
        <w:tc>
          <w:tcPr>
            <w:tcW w:w="37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18,179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16,300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17,613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w:t>
            </w:r>
          </w:p>
        </w:tc>
      </w:tr>
      <w:tr>
        <w:trPr>
          <w:trHeight w:val="183"/>
        </w:trPr>
        <w:tc>
          <w:tcPr>
            <w:tcW w:w="37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noninterest expense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131,182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60" w:hanging="255"/>
        <w:spacing w:after="0" w:line="246" w:lineRule="auto"/>
        <w:tabs>
          <w:tab w:leader="none" w:pos="251" w:val="left"/>
        </w:tabs>
        <w:numPr>
          <w:ilvl w:val="0"/>
          <w:numId w:val="17"/>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Computer services: </w:t>
      </w:r>
      <w:r>
        <w:rPr>
          <w:rFonts w:ascii="Arial" w:cs="Arial" w:eastAsia="Arial" w:hAnsi="Arial"/>
          <w:sz w:val="13"/>
          <w:szCs w:val="13"/>
          <w:color w:val="auto"/>
        </w:rPr>
        <w:t>The increase can be traced to additional recurring expenses associated with incorporating Quantum's operations, continued investments in technology and the cost of services provided by third</w:t>
      </w:r>
      <w:r>
        <w:rPr>
          <w:rFonts w:ascii="Arial" w:cs="Arial" w:eastAsia="Arial" w:hAnsi="Arial"/>
          <w:sz w:val="13"/>
          <w:szCs w:val="13"/>
          <w:i w:val="1"/>
          <w:iCs w:val="1"/>
          <w:color w:val="auto"/>
        </w:rPr>
        <w:t xml:space="preserve"> </w:t>
      </w:r>
      <w:r>
        <w:rPr>
          <w:rFonts w:ascii="Arial" w:cs="Arial" w:eastAsia="Arial" w:hAnsi="Arial"/>
          <w:sz w:val="13"/>
          <w:szCs w:val="13"/>
          <w:color w:val="auto"/>
        </w:rPr>
        <w:t>parties.</w:t>
      </w:r>
    </w:p>
    <w:p>
      <w:pPr>
        <w:ind w:left="260" w:hanging="255"/>
        <w:spacing w:after="0"/>
        <w:tabs>
          <w:tab w:leader="none" w:pos="260" w:val="left"/>
        </w:tabs>
        <w:numPr>
          <w:ilvl w:val="0"/>
          <w:numId w:val="17"/>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Marketing and advertising: </w:t>
      </w:r>
      <w:r>
        <w:rPr>
          <w:rFonts w:ascii="Arial" w:cs="Arial" w:eastAsia="Arial" w:hAnsi="Arial"/>
          <w:sz w:val="13"/>
          <w:szCs w:val="13"/>
          <w:color w:val="auto"/>
        </w:rPr>
        <w:t>The decrease was due to a reduction in traditional media advertising (print, billboards, etc.) in favor of digital platforms at lower costs.</w:t>
      </w:r>
    </w:p>
    <w:p>
      <w:pPr>
        <w:spacing w:after="0" w:line="9" w:lineRule="exact"/>
        <w:rPr>
          <w:rFonts w:ascii="Arial" w:cs="Arial" w:eastAsia="Arial" w:hAnsi="Arial"/>
          <w:sz w:val="13"/>
          <w:szCs w:val="13"/>
          <w:b w:val="1"/>
          <w:bCs w:val="1"/>
          <w:i w:val="1"/>
          <w:iCs w:val="1"/>
          <w:color w:val="auto"/>
        </w:rPr>
      </w:pPr>
    </w:p>
    <w:p>
      <w:pPr>
        <w:ind w:left="260" w:hanging="255"/>
        <w:spacing w:after="0"/>
        <w:tabs>
          <w:tab w:leader="none" w:pos="260" w:val="left"/>
        </w:tabs>
        <w:numPr>
          <w:ilvl w:val="0"/>
          <w:numId w:val="17"/>
        </w:numPr>
        <w:rPr>
          <w:rFonts w:ascii="Arial" w:cs="Arial" w:eastAsia="Arial" w:hAnsi="Arial"/>
          <w:sz w:val="12"/>
          <w:szCs w:val="12"/>
          <w:b w:val="1"/>
          <w:bCs w:val="1"/>
          <w:i w:val="1"/>
          <w:iCs w:val="1"/>
          <w:color w:val="auto"/>
        </w:rPr>
      </w:pPr>
      <w:r>
        <w:rPr>
          <w:rFonts w:ascii="Arial" w:cs="Arial" w:eastAsia="Arial" w:hAnsi="Arial"/>
          <w:sz w:val="12"/>
          <w:szCs w:val="12"/>
          <w:i w:val="1"/>
          <w:iCs w:val="1"/>
          <w:color w:val="auto"/>
        </w:rPr>
        <w:t xml:space="preserve">Deposit insurance premium: </w:t>
      </w:r>
      <w:r>
        <w:rPr>
          <w:rFonts w:ascii="Arial" w:cs="Arial" w:eastAsia="Arial" w:hAnsi="Arial"/>
          <w:sz w:val="12"/>
          <w:szCs w:val="12"/>
          <w:color w:val="auto"/>
        </w:rPr>
        <w:t>The increase in expense was due to increases in the rates the Company is charged for deposit insurance as well as growth in the assessment base due to the Quantum merger.</w:t>
      </w:r>
    </w:p>
    <w:p>
      <w:pPr>
        <w:spacing w:after="0" w:line="10" w:lineRule="exact"/>
        <w:rPr>
          <w:rFonts w:ascii="Arial" w:cs="Arial" w:eastAsia="Arial" w:hAnsi="Arial"/>
          <w:sz w:val="12"/>
          <w:szCs w:val="12"/>
          <w:b w:val="1"/>
          <w:bCs w:val="1"/>
          <w:i w:val="1"/>
          <w:iCs w:val="1"/>
          <w:color w:val="auto"/>
        </w:rPr>
      </w:pPr>
    </w:p>
    <w:p>
      <w:pPr>
        <w:ind w:left="260" w:hanging="255"/>
        <w:spacing w:after="0"/>
        <w:tabs>
          <w:tab w:leader="none" w:pos="260" w:val="left"/>
        </w:tabs>
        <w:numPr>
          <w:ilvl w:val="0"/>
          <w:numId w:val="17"/>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Core deposit intangible amortization: </w:t>
      </w:r>
      <w:r>
        <w:rPr>
          <w:rFonts w:ascii="Arial" w:cs="Arial" w:eastAsia="Arial" w:hAnsi="Arial"/>
          <w:sz w:val="13"/>
          <w:szCs w:val="13"/>
          <w:color w:val="auto"/>
        </w:rPr>
        <w:t>The increase was the result of the Quantum merger core deposit intangible amortization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1" w:name="page32"/>
    <w:bookmarkEnd w:id="31"/>
    <w:p>
      <w:pPr>
        <w:ind w:left="260"/>
        <w:spacing w:after="0"/>
        <w:rPr>
          <w:sz w:val="20"/>
          <w:szCs w:val="20"/>
          <w:color w:val="auto"/>
        </w:rPr>
      </w:pPr>
      <w:r>
        <w:rPr>
          <w:rFonts w:ascii="Arial" w:cs="Arial" w:eastAsia="Arial" w:hAnsi="Arial"/>
          <w:sz w:val="13"/>
          <w:szCs w:val="13"/>
          <w:color w:val="auto"/>
        </w:rPr>
        <w:t>recognized during the last two quarters of the current year.</w:t>
      </w:r>
    </w:p>
    <w:p>
      <w:pPr>
        <w:spacing w:after="0" w:line="7" w:lineRule="exact"/>
        <w:rPr>
          <w:sz w:val="20"/>
          <w:szCs w:val="20"/>
          <w:color w:val="auto"/>
        </w:rPr>
      </w:pPr>
    </w:p>
    <w:p>
      <w:pPr>
        <w:ind w:left="260" w:hanging="255"/>
        <w:spacing w:after="0" w:line="248" w:lineRule="auto"/>
        <w:tabs>
          <w:tab w:leader="none" w:pos="251" w:val="left"/>
        </w:tabs>
        <w:numPr>
          <w:ilvl w:val="0"/>
          <w:numId w:val="18"/>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Officer transition agreement expense</w:t>
      </w:r>
      <w:r>
        <w:rPr>
          <w:rFonts w:ascii="Arial" w:cs="Arial" w:eastAsia="Arial" w:hAnsi="Arial"/>
          <w:sz w:val="13"/>
          <w:szCs w:val="13"/>
          <w:color w:val="auto"/>
        </w:rPr>
        <w:t>: In May 2022, the Company entered into an amended and restated employment and transition agreement with the Company's then Chairman and CEO, Dana Stonestreet. As part</w:t>
      </w:r>
      <w:r>
        <w:rPr>
          <w:rFonts w:ascii="Arial" w:cs="Arial" w:eastAsia="Arial" w:hAnsi="Arial"/>
          <w:sz w:val="13"/>
          <w:szCs w:val="13"/>
          <w:i w:val="1"/>
          <w:iCs w:val="1"/>
          <w:color w:val="auto"/>
        </w:rPr>
        <w:t xml:space="preserve"> </w:t>
      </w:r>
      <w:r>
        <w:rPr>
          <w:rFonts w:ascii="Arial" w:cs="Arial" w:eastAsia="Arial" w:hAnsi="Arial"/>
          <w:sz w:val="13"/>
          <w:szCs w:val="13"/>
          <w:color w:val="auto"/>
        </w:rPr>
        <w:t>of this agreement, the full amount of the estimated separation payment was accrued in the prior year. No such expenses were incurred in the current year.</w:t>
      </w:r>
    </w:p>
    <w:p>
      <w:pPr>
        <w:ind w:left="260" w:hanging="255"/>
        <w:spacing w:after="0" w:line="258" w:lineRule="auto"/>
        <w:tabs>
          <w:tab w:leader="none" w:pos="251" w:val="left"/>
        </w:tabs>
        <w:numPr>
          <w:ilvl w:val="0"/>
          <w:numId w:val="18"/>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Merger-related expense: </w:t>
      </w:r>
      <w:r>
        <w:rPr>
          <w:rFonts w:ascii="Arial" w:cs="Arial" w:eastAsia="Arial" w:hAnsi="Arial"/>
          <w:sz w:val="13"/>
          <w:szCs w:val="13"/>
          <w:color w:val="auto"/>
        </w:rPr>
        <w:t>Significant expenses were incurred associated with the Company's merger with Quantum, including the payout of severance and employment contracts, professional fees, termination of prior</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contracts, and conversion of IT systems.</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The amount of income tax expense is influenced by the amount of pre-tax income, tax-exempt income, changes in the statutory rate and the effect of changes in valuation allowances maintained against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deferred tax benefits. The effective tax rate for 2023 and 2022 was 22.0% and 21.4%, respectively. Income tax expense for the current year increased $2.8 million as a result of higher taxable income and changes in the effective state tax rate due to the addition of Quantum. For more information on income taxes and deferred taxes, see "Note 12 – Income Taxes" of the Notes to the Consolidated Financial Statements included in Item 8 of this Form 10-K.</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Financial Condition at June 30, 2023 and June 30, 2022</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Assets. </w:t>
      </w:r>
      <w:r>
        <w:rPr>
          <w:rFonts w:ascii="Arial" w:cs="Arial" w:eastAsia="Arial" w:hAnsi="Arial"/>
          <w:sz w:val="13"/>
          <w:szCs w:val="13"/>
          <w:color w:val="auto"/>
        </w:rPr>
        <w:t>Total assets were $4.6 billion and $3.5 billion at June 30, 2023 and 2022, an increase of $1.1 billion, or 29.8%, year-over-year, the components of which are discussed below.</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Debt Securities Available for Sale. </w:t>
      </w:r>
      <w:r>
        <w:rPr>
          <w:rFonts w:ascii="Arial" w:cs="Arial" w:eastAsia="Arial" w:hAnsi="Arial"/>
          <w:sz w:val="11"/>
          <w:szCs w:val="11"/>
          <w:color w:val="auto"/>
        </w:rPr>
        <w:t>Debt securities available for sale increased $24.9 million, or 19.6%, to $151.9 million at June 30, 2023. The following table illustrates the changes in the fair value of the portfolio.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3"/>
                <w:szCs w:val="13"/>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rPr>
              <w:t>Change</w:t>
            </w:r>
          </w:p>
        </w:tc>
        <w:tc>
          <w:tcPr>
            <w:tcW w:w="980" w:type="dxa"/>
            <w:vAlign w:val="bottom"/>
            <w:tcBorders>
              <w:bottom w:val="single" w:sz="8" w:color="auto"/>
            </w:tcBorders>
          </w:tcPr>
          <w:p>
            <w:pPr>
              <w:spacing w:after="0"/>
              <w:rPr>
                <w:sz w:val="14"/>
                <w:szCs w:val="14"/>
                <w:color w:val="auto"/>
              </w:rPr>
            </w:pPr>
          </w:p>
        </w:tc>
      </w:tr>
      <w:tr>
        <w:trPr>
          <w:trHeight w:val="16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w:t>
            </w:r>
          </w:p>
        </w:tc>
      </w:tr>
      <w:tr>
        <w:trPr>
          <w:trHeight w:val="163"/>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8"/>
        </w:trPr>
        <w:tc>
          <w:tcPr>
            <w:tcW w:w="568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107,414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47,233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60,181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127</w:t>
            </w:r>
          </w:p>
        </w:tc>
      </w:tr>
      <w:tr>
        <w:trPr>
          <w:trHeight w:val="172"/>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w:t>
            </w:r>
          </w:p>
        </w:tc>
      </w:tr>
      <w:tr>
        <w:trPr>
          <w:trHeight w:val="168"/>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26,410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55,728</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(29,318)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w:t>
            </w:r>
          </w:p>
        </w:tc>
      </w:tr>
      <w:tr>
        <w:trPr>
          <w:trHeight w:val="188"/>
        </w:trPr>
        <w:tc>
          <w:tcPr>
            <w:tcW w:w="5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overall year-over-year increase in the portfolio was mainly the result of $10.6 million of securities acquired from Quantum.</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composition and contractual maturities of our debt securities portfolio as of June 30, 2023 is indicated in the following table. Maturities are based on the final contractual payment dates, and do not reflect the impact of prepayments or early redemptions that may occur. Weighted average yields were calculated using amortized cost on a fully-taxable equivalent basis. The Company did not hold any tax-exempt debt securities as of June 30,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6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3"/>
                <w:szCs w:val="13"/>
                <w:b w:val="1"/>
                <w:bCs w:val="1"/>
                <w:color w:val="auto"/>
              </w:rPr>
              <w:t>1 year or less</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w w:val="94"/>
              </w:rPr>
              <w:t>Over 1 year to 5 years</w:t>
            </w:r>
          </w:p>
        </w:tc>
        <w:tc>
          <w:tcPr>
            <w:tcW w:w="10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rPr>
              <w:t>Over 5 to 10 years</w:t>
            </w:r>
          </w:p>
        </w:tc>
        <w:tc>
          <w:tcPr>
            <w:tcW w:w="1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b w:val="1"/>
                <w:bCs w:val="1"/>
                <w:color w:val="auto"/>
              </w:rPr>
              <w:t>Over 10 years</w:t>
            </w:r>
          </w:p>
        </w:tc>
        <w:tc>
          <w:tcPr>
            <w:tcW w:w="300" w:type="dxa"/>
            <w:vAlign w:val="bottom"/>
          </w:tcPr>
          <w:p>
            <w:pPr>
              <w:spacing w:after="0"/>
              <w:rPr>
                <w:sz w:val="14"/>
                <w:szCs w:val="14"/>
                <w:color w:val="auto"/>
              </w:rPr>
            </w:pPr>
          </w:p>
        </w:tc>
        <w:tc>
          <w:tcPr>
            <w:tcW w:w="960" w:type="dxa"/>
            <w:vAlign w:val="bottom"/>
          </w:tcPr>
          <w:p>
            <w:pPr>
              <w:jc w:val="right"/>
              <w:ind w:right="416"/>
              <w:spacing w:after="0"/>
              <w:rPr>
                <w:sz w:val="20"/>
                <w:szCs w:val="20"/>
                <w:color w:val="auto"/>
              </w:rPr>
            </w:pPr>
            <w:r>
              <w:rPr>
                <w:rFonts w:ascii="Arial" w:cs="Arial" w:eastAsia="Arial" w:hAnsi="Arial"/>
                <w:sz w:val="13"/>
                <w:szCs w:val="13"/>
                <w:b w:val="1"/>
                <w:bCs w:val="1"/>
                <w:color w:val="auto"/>
              </w:rPr>
              <w:t>Total</w:t>
            </w:r>
          </w:p>
        </w:tc>
      </w:tr>
      <w:tr>
        <w:trPr>
          <w:trHeight w:val="152"/>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U.S. government agencies</w:t>
            </w: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Book value</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15,000</w:t>
            </w: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Fair value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14,714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14,714</w:t>
            </w: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Weighted average yield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0.28 %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1240" w:type="dxa"/>
            <w:vAlign w:val="bottom"/>
            <w:gridSpan w:val="2"/>
          </w:tcPr>
          <w:p>
            <w:pPr>
              <w:ind w:left="86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1180" w:type="dxa"/>
            <w:vAlign w:val="bottom"/>
            <w:gridSpan w:val="2"/>
          </w:tcPr>
          <w:p>
            <w:pPr>
              <w:ind w:left="800"/>
              <w:spacing w:after="0"/>
              <w:rPr>
                <w:sz w:val="20"/>
                <w:szCs w:val="20"/>
                <w:color w:val="auto"/>
              </w:rPr>
            </w:pPr>
            <w:r>
              <w:rPr>
                <w:rFonts w:ascii="Arial" w:cs="Arial" w:eastAsia="Arial" w:hAnsi="Arial"/>
                <w:sz w:val="13"/>
                <w:szCs w:val="13"/>
                <w:color w:val="auto"/>
              </w:rPr>
              <w:t>— %</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0.28 %</w:t>
            </w:r>
          </w:p>
        </w:tc>
      </w:tr>
      <w:tr>
        <w:trPr>
          <w:trHeight w:val="17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MBS, residential</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Book value</w:t>
            </w:r>
          </w:p>
        </w:tc>
        <w:tc>
          <w:tcPr>
            <w:tcW w:w="16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18,954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38,774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32,214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color w:val="auto"/>
              </w:rPr>
              <w:t>20,923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110,865</w:t>
            </w: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Fair value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18,852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37,696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30,730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20,136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107,414</w:t>
            </w: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Weighted average yield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3.71 %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4.15 %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4.29 %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4.12 %</w:t>
            </w:r>
          </w:p>
        </w:tc>
      </w:tr>
      <w:tr>
        <w:trPr>
          <w:trHeight w:val="17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Municipal bonds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Book value</w:t>
            </w:r>
          </w:p>
        </w:tc>
        <w:tc>
          <w:tcPr>
            <w:tcW w:w="16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2,994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3,505</w:t>
            </w: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Fair value</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3,388</w:t>
            </w: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Weighted average yield</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3"/>
                <w:szCs w:val="13"/>
                <w:color w:val="auto"/>
              </w:rPr>
              <w:t>— %</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3.82 %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0"/>
              <w:spacing w:after="0"/>
              <w:rPr>
                <w:sz w:val="20"/>
                <w:szCs w:val="20"/>
                <w:color w:val="auto"/>
              </w:rPr>
            </w:pPr>
            <w:r>
              <w:rPr>
                <w:rFonts w:ascii="Arial" w:cs="Arial" w:eastAsia="Arial" w:hAnsi="Arial"/>
                <w:sz w:val="13"/>
                <w:szCs w:val="13"/>
                <w:color w:val="auto"/>
              </w:rPr>
              <w:t>— %</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3.82 %</w:t>
            </w:r>
          </w:p>
        </w:tc>
      </w:tr>
      <w:tr>
        <w:trPr>
          <w:trHeight w:val="17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Corporate bonds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Book value</w:t>
            </w:r>
          </w:p>
        </w:tc>
        <w:tc>
          <w:tcPr>
            <w:tcW w:w="16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22,881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27,881</w:t>
            </w: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Fair value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22,346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26,410</w:t>
            </w: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Weighted average yield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1.27 %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0"/>
              <w:spacing w:after="0"/>
              <w:rPr>
                <w:sz w:val="20"/>
                <w:szCs w:val="20"/>
                <w:color w:val="auto"/>
              </w:rPr>
            </w:pPr>
            <w:r>
              <w:rPr>
                <w:rFonts w:ascii="Arial" w:cs="Arial" w:eastAsia="Arial" w:hAnsi="Arial"/>
                <w:sz w:val="13"/>
                <w:szCs w:val="13"/>
                <w:color w:val="auto"/>
              </w:rPr>
              <w:t>— %</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1.65 %</w:t>
            </w:r>
          </w:p>
        </w:tc>
      </w:tr>
      <w:tr>
        <w:trPr>
          <w:trHeight w:val="152"/>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Total</w:t>
            </w: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70"/>
        </w:trPr>
        <w:tc>
          <w:tcPr>
            <w:tcW w:w="4660" w:type="dxa"/>
            <w:vAlign w:val="bottom"/>
          </w:tcPr>
          <w:p>
            <w:pPr>
              <w:ind w:left="80"/>
              <w:spacing w:after="0"/>
              <w:rPr>
                <w:sz w:val="20"/>
                <w:szCs w:val="20"/>
                <w:color w:val="auto"/>
              </w:rPr>
            </w:pPr>
            <w:r>
              <w:rPr>
                <w:rFonts w:ascii="Arial" w:cs="Arial" w:eastAsia="Arial" w:hAnsi="Arial"/>
                <w:sz w:val="13"/>
                <w:szCs w:val="13"/>
                <w:color w:val="auto"/>
              </w:rPr>
              <w:t>Book value</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56,835</w:t>
            </w:r>
          </w:p>
        </w:tc>
        <w:tc>
          <w:tcPr>
            <w:tcW w:w="8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41,768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37,725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20,923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157,251</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Fair value</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55,912</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40,600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35,278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20,136</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151,926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660" w:type="dxa"/>
            <w:vAlign w:val="bottom"/>
          </w:tcPr>
          <w:p>
            <w:pPr>
              <w:ind w:left="80"/>
              <w:spacing w:after="0" w:line="133" w:lineRule="exact"/>
              <w:rPr>
                <w:sz w:val="20"/>
                <w:szCs w:val="20"/>
                <w:color w:val="auto"/>
              </w:rPr>
            </w:pPr>
            <w:r>
              <w:rPr>
                <w:rFonts w:ascii="Arial" w:cs="Arial" w:eastAsia="Arial" w:hAnsi="Arial"/>
                <w:sz w:val="13"/>
                <w:szCs w:val="13"/>
                <w:color w:val="auto"/>
              </w:rPr>
              <w:t>Weighted average yield</w:t>
            </w: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1.82 %</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4.13 %</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4.11 %</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4.29 %</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3.31 %</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3"/>
          <w:szCs w:val="13"/>
          <w:b w:val="1"/>
          <w:bCs w:val="1"/>
          <w:i w:val="1"/>
          <w:iCs w:val="1"/>
          <w:color w:val="auto"/>
        </w:rPr>
        <w:t xml:space="preserve">Total Loans, Net of Deferred Loan Fees and Costs. </w:t>
      </w:r>
      <w:r>
        <w:rPr>
          <w:rFonts w:ascii="Arial" w:cs="Arial" w:eastAsia="Arial" w:hAnsi="Arial"/>
          <w:sz w:val="13"/>
          <w:szCs w:val="13"/>
          <w:color w:val="auto"/>
        </w:rPr>
        <w:t>Loans held for investment totaled $3.7 billion at June 30, 2023 compared to $2.8 billion at June 30, 2022, an increase of $889,528 or 32.1%. The increase was mainly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result of $561.9 million of loans acquired through the Company's merger with Quantum. The following table illustrates the changes within the portfolio.</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3"/>
                <w:szCs w:val="13"/>
                <w:b w:val="1"/>
                <w:bCs w:val="1"/>
                <w:color w:val="auto"/>
              </w:rPr>
              <w:t>% of Total at June 30,</w:t>
            </w:r>
          </w:p>
        </w:tc>
      </w:tr>
      <w:tr>
        <w:trPr>
          <w:trHeight w:val="16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2022</w:t>
            </w:r>
          </w:p>
        </w:tc>
      </w:tr>
      <w:tr>
        <w:trPr>
          <w:trHeight w:val="152"/>
        </w:trPr>
        <w:tc>
          <w:tcPr>
            <w:tcW w:w="4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 loans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8"/>
        </w:trPr>
        <w:tc>
          <w:tcPr>
            <w:tcW w:w="420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356,674</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291,202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65,472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72"/>
        </w:trPr>
        <w:tc>
          <w:tcPr>
            <w:tcW w:w="4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w:t>
            </w:r>
          </w:p>
        </w:tc>
      </w:tr>
      <w:tr>
        <w:trPr>
          <w:trHeight w:val="168"/>
        </w:trPr>
        <w:tc>
          <w:tcPr>
            <w:tcW w:w="420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901,685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662,159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239,526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24</w:t>
            </w:r>
          </w:p>
        </w:tc>
      </w:tr>
      <w:tr>
        <w:trPr>
          <w:trHeight w:val="172"/>
        </w:trPr>
        <w:tc>
          <w:tcPr>
            <w:tcW w:w="4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r>
      <w:tr>
        <w:trPr>
          <w:trHeight w:val="158"/>
        </w:trPr>
        <w:tc>
          <w:tcPr>
            <w:tcW w:w="4200" w:type="dxa"/>
            <w:vAlign w:val="bottom"/>
          </w:tcPr>
          <w:p>
            <w:pPr>
              <w:ind w:left="140"/>
              <w:spacing w:after="0"/>
              <w:rPr>
                <w:sz w:val="20"/>
                <w:szCs w:val="20"/>
                <w:color w:val="auto"/>
              </w:rPr>
            </w:pPr>
            <w:r>
              <w:rPr>
                <w:rFonts w:ascii="Arial" w:cs="Arial" w:eastAsia="Arial" w:hAnsi="Arial"/>
                <w:sz w:val="13"/>
                <w:szCs w:val="13"/>
                <w:color w:val="auto"/>
              </w:rPr>
              <w:t>Total commercial real estate loans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1,869,907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1,370,105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499,802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w:t>
            </w: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420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245,428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193,313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52,115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7</w:t>
            </w:r>
          </w:p>
        </w:tc>
      </w:tr>
      <w:tr>
        <w:trPr>
          <w:trHeight w:val="172"/>
        </w:trPr>
        <w:tc>
          <w:tcPr>
            <w:tcW w:w="4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67,670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r>
      <w:tr>
        <w:trPr>
          <w:trHeight w:val="168"/>
        </w:trPr>
        <w:tc>
          <w:tcPr>
            <w:tcW w:w="42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129,766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12,446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w:t>
            </w:r>
          </w:p>
        </w:tc>
      </w:tr>
      <w:tr>
        <w:trPr>
          <w:trHeight w:val="163"/>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 loans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717,620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132,231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w:t>
            </w: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28,227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r>
      <w:tr>
        <w:trPr>
          <w:trHeight w:val="168"/>
        </w:trPr>
        <w:tc>
          <w:tcPr>
            <w:tcW w:w="420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529,703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354,203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13</w:t>
            </w:r>
          </w:p>
        </w:tc>
      </w:tr>
      <w:tr>
        <w:trPr>
          <w:trHeight w:val="172"/>
        </w:trPr>
        <w:tc>
          <w:tcPr>
            <w:tcW w:w="4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160,137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27,056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w:t>
            </w:r>
          </w:p>
        </w:tc>
      </w:tr>
      <w:tr>
        <w:trPr>
          <w:trHeight w:val="158"/>
        </w:trPr>
        <w:tc>
          <w:tcPr>
            <w:tcW w:w="4200" w:type="dxa"/>
            <w:vAlign w:val="bottom"/>
          </w:tcPr>
          <w:p>
            <w:pPr>
              <w:ind w:left="140"/>
              <w:spacing w:after="0"/>
              <w:rPr>
                <w:sz w:val="20"/>
                <w:szCs w:val="20"/>
                <w:color w:val="auto"/>
              </w:rPr>
            </w:pPr>
            <w:r>
              <w:rPr>
                <w:rFonts w:ascii="Arial" w:cs="Arial" w:eastAsia="Arial" w:hAnsi="Arial"/>
                <w:sz w:val="13"/>
                <w:szCs w:val="13"/>
                <w:color w:val="auto"/>
              </w:rPr>
              <w:t>Total residential real estate loans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826,970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596,187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230,783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21</w:t>
            </w: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 loans</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26,712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r>
      <w:tr>
        <w:trPr>
          <w:trHeight w:val="163"/>
        </w:trPr>
        <w:tc>
          <w:tcPr>
            <w:tcW w:w="4200" w:type="dxa"/>
            <w:vAlign w:val="bottom"/>
          </w:tcPr>
          <w:p>
            <w:pPr>
              <w:ind w:left="140"/>
              <w:spacing w:after="0"/>
              <w:rPr>
                <w:sz w:val="20"/>
                <w:szCs w:val="20"/>
                <w:color w:val="auto"/>
              </w:rPr>
            </w:pPr>
            <w:r>
              <w:rPr>
                <w:rFonts w:ascii="Arial" w:cs="Arial" w:eastAsia="Arial" w:hAnsi="Arial"/>
                <w:sz w:val="13"/>
                <w:szCs w:val="13"/>
                <w:b w:val="1"/>
                <w:bCs w:val="1"/>
                <w:color w:val="auto"/>
              </w:rPr>
              <w:t>Loans, net of deferred loan fees and costs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3,658,823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2,769,295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889,528</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The principal categories of our loan portfolio are discussed below.</w:t>
      </w:r>
    </w:p>
    <w:p>
      <w:pPr>
        <w:spacing w:after="0" w:line="31" w:lineRule="exact"/>
        <w:rPr>
          <w:sz w:val="20"/>
          <w:szCs w:val="20"/>
          <w:color w:val="auto"/>
        </w:rPr>
      </w:pPr>
    </w:p>
    <w:p>
      <w:pPr>
        <w:jc w:val="both"/>
        <w:ind w:left="140"/>
        <w:spacing w:after="0" w:line="250" w:lineRule="auto"/>
        <w:rPr>
          <w:sz w:val="20"/>
          <w:szCs w:val="20"/>
          <w:color w:val="auto"/>
        </w:rPr>
      </w:pPr>
      <w:r>
        <w:rPr>
          <w:rFonts w:ascii="Arial" w:cs="Arial" w:eastAsia="Arial" w:hAnsi="Arial"/>
          <w:sz w:val="13"/>
          <w:szCs w:val="13"/>
          <w:i w:val="1"/>
          <w:iCs w:val="1"/>
          <w:u w:val="single" w:color="auto"/>
          <w:color w:val="auto"/>
        </w:rPr>
        <w:t>Commercial Real Estate – Construction and Land Development</w:t>
      </w:r>
      <w:r>
        <w:rPr>
          <w:rFonts w:ascii="Arial" w:cs="Arial" w:eastAsia="Arial" w:hAnsi="Arial"/>
          <w:sz w:val="13"/>
          <w:szCs w:val="13"/>
          <w:i w:val="1"/>
          <w:iCs w:val="1"/>
          <w:color w:val="auto"/>
        </w:rPr>
        <w:t xml:space="preserve">. </w:t>
      </w:r>
      <w:r>
        <w:rPr>
          <w:rFonts w:ascii="Arial" w:cs="Arial" w:eastAsia="Arial" w:hAnsi="Arial"/>
          <w:sz w:val="13"/>
          <w:szCs w:val="13"/>
          <w:color w:val="auto"/>
        </w:rPr>
        <w:t>We originate residential construction and development loans for the construction of single-family residences, condominiums, townhouses, and residential</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developments. Our commercial construction development loans are for the development of business properties, including multi-family, retail, office/warehouse, and office buildings. Our land, lots, and development loans are predominately for the purchase or refinance of unimproved land held for future residential development, improved residential lots held for speculative investment purposes and for the future construction of one-to-four family (speculative and pre-sold) or commercial real estate.</w:t>
      </w:r>
    </w:p>
    <w:p>
      <w:pPr>
        <w:spacing w:after="0" w:line="46" w:lineRule="exact"/>
        <w:rPr>
          <w:sz w:val="20"/>
          <w:szCs w:val="20"/>
          <w:color w:val="auto"/>
        </w:rPr>
      </w:pPr>
    </w:p>
    <w:p>
      <w:pPr>
        <w:jc w:val="both"/>
        <w:ind w:left="140"/>
        <w:spacing w:after="0" w:line="257" w:lineRule="auto"/>
        <w:rPr>
          <w:sz w:val="20"/>
          <w:szCs w:val="20"/>
          <w:color w:val="auto"/>
        </w:rPr>
      </w:pPr>
      <w:r>
        <w:rPr>
          <w:rFonts w:ascii="Arial" w:cs="Arial" w:eastAsia="Arial" w:hAnsi="Arial"/>
          <w:sz w:val="13"/>
          <w:szCs w:val="13"/>
          <w:color w:val="auto"/>
        </w:rPr>
        <w:t>Our expansion into larger metro markets combined with experienced commercial real estate relationship managers, credit officers, and a construction risk management group to better manage construction risk, has resulted in the purposeful growth of this portfolio. Unfunded commitments at June 30, 2023 totaled $59.8 million compared to $143.4 million at June 30, 2022.</w:t>
      </w:r>
    </w:p>
    <w:p>
      <w:pPr>
        <w:spacing w:after="0" w:line="41" w:lineRule="exact"/>
        <w:rPr>
          <w:sz w:val="20"/>
          <w:szCs w:val="20"/>
          <w:color w:val="auto"/>
        </w:rPr>
      </w:pPr>
    </w:p>
    <w:p>
      <w:pPr>
        <w:jc w:val="both"/>
        <w:ind w:left="140"/>
        <w:spacing w:after="0" w:line="303" w:lineRule="auto"/>
        <w:rPr>
          <w:sz w:val="20"/>
          <w:szCs w:val="20"/>
          <w:color w:val="auto"/>
        </w:rPr>
      </w:pPr>
      <w:r>
        <w:rPr>
          <w:rFonts w:ascii="Arial" w:cs="Arial" w:eastAsia="Arial" w:hAnsi="Arial"/>
          <w:sz w:val="11"/>
          <w:szCs w:val="11"/>
          <w:color w:val="auto"/>
        </w:rPr>
        <w:t>Land acquisition and development loans are included in the construction and land development loan portfolio and include completed residential lots where the borrower was not the developer, commercial improved and raw land for future development, and residential development loans. Residential development loans are made to developers for the purpose of acquiring raw land for the subsequent development and sale of residential lots. Such loans typically finance land purchase and infrastructure development of properties (i.e., roads, utilities, etc.) into residential lots for sale. The end buyer for the majority of these lots are local, regional, and national builders for the ultimate construction of residential units. The primary source of repayment is the sale of the lots or improved parcels of land, while personal guarantees may serve as secondary sources. These loans are generally secured by property in our primary market areas. In addition, these loans are secured by a first lien on the property, are generally limited to 65% of the lower of the acquisition price or the appraised value of the unimproved land and 75% of the improved land. Residential acquisition and development loans are generally paid out within three years unless there are multiple phases to the development.</w:t>
      </w:r>
    </w:p>
    <w:p>
      <w:pPr>
        <w:spacing w:after="0" w:line="18" w:lineRule="exact"/>
        <w:rPr>
          <w:sz w:val="20"/>
          <w:szCs w:val="20"/>
          <w:color w:val="auto"/>
        </w:rPr>
      </w:pPr>
    </w:p>
    <w:p>
      <w:pPr>
        <w:jc w:val="both"/>
        <w:ind w:left="140"/>
        <w:spacing w:after="0" w:line="250" w:lineRule="auto"/>
        <w:rPr>
          <w:sz w:val="20"/>
          <w:szCs w:val="20"/>
          <w:color w:val="auto"/>
        </w:rPr>
      </w:pPr>
      <w:r>
        <w:rPr>
          <w:rFonts w:ascii="Arial" w:cs="Arial" w:eastAsia="Arial" w:hAnsi="Arial"/>
          <w:sz w:val="13"/>
          <w:szCs w:val="13"/>
          <w:color w:val="auto"/>
        </w:rPr>
        <w:t>The Bank provides funding to a number of builders for the construction of both speculative and pre-sold 1-4 family homes. Speculative construction loans are made to home builders and are termed “speculative” because the home builder does not have, at the time of loan origination, a signed contract with a home buyer who has a commitment for permanent financing with either us or another lender for the finished home. Loans to finance the construction of speculative single-family homes are generally offered to experienced builders with a proven track record of performance. These loans require payment of interest-only during the construction phase. Unfunded commitments were $68.1 million at June 30, 2023 and $74.6 million at June 30, 2022.</w:t>
      </w:r>
    </w:p>
    <w:p>
      <w:pPr>
        <w:spacing w:after="0" w:line="46" w:lineRule="exact"/>
        <w:rPr>
          <w:sz w:val="20"/>
          <w:szCs w:val="20"/>
          <w:color w:val="auto"/>
        </w:rPr>
      </w:pPr>
    </w:p>
    <w:p>
      <w:pPr>
        <w:jc w:val="both"/>
        <w:ind w:left="140"/>
        <w:spacing w:after="0" w:line="303" w:lineRule="auto"/>
        <w:rPr>
          <w:sz w:val="20"/>
          <w:szCs w:val="20"/>
          <w:color w:val="auto"/>
        </w:rPr>
      </w:pPr>
      <w:r>
        <w:rPr>
          <w:rFonts w:ascii="Arial" w:cs="Arial" w:eastAsia="Arial" w:hAnsi="Arial"/>
          <w:sz w:val="11"/>
          <w:szCs w:val="11"/>
          <w:color w:val="auto"/>
        </w:rPr>
        <w:t xml:space="preserve">Both adjustable and fixed rates are offered on commercial construction loans. Adjustable interest rate loans typically include a floor and ceiling interest rate and are indexed to </w:t>
      </w:r>
      <w:r>
        <w:rPr>
          <w:rFonts w:ascii="Arial" w:cs="Arial" w:eastAsia="Arial" w:hAnsi="Arial"/>
          <w:sz w:val="11"/>
          <w:szCs w:val="11"/>
          <w:i w:val="1"/>
          <w:iCs w:val="1"/>
          <w:color w:val="auto"/>
        </w:rPr>
        <w:t>The Wall Street Journal</w:t>
      </w:r>
      <w:r>
        <w:rPr>
          <w:rFonts w:ascii="Arial" w:cs="Arial" w:eastAsia="Arial" w:hAnsi="Arial"/>
          <w:sz w:val="11"/>
          <w:szCs w:val="11"/>
          <w:color w:val="auto"/>
        </w:rPr>
        <w:t xml:space="preserve"> prime rate, plus or minus an interest rate margin. The initial construction period for owner occupied loans is generally limited to 12 to 24 months from the date of origination versus a construction and stabilization period for non-owner occupied loans of 24 to 36 months, both with amortization terms up to 25 years. Construction-to-permanent loans generally include a balloon maturity of five years or less; however, balloon maturities of greater than five years are allowed on a limited basis depending on factors such as property type, amortization term, lease terms, pricing, or the availability of credit enhancements. Construction loan proceeds are disbursed based on the percent completion of budget as documented by periodic third-party inspections. The maximum loan-to-value limit applicable to these loans is generally 80% of the appraised post-construction value.</w:t>
      </w:r>
    </w:p>
    <w:p>
      <w:pPr>
        <w:spacing w:after="0" w:line="19" w:lineRule="exact"/>
        <w:rPr>
          <w:sz w:val="20"/>
          <w:szCs w:val="20"/>
          <w:color w:val="auto"/>
        </w:rPr>
      </w:pPr>
    </w:p>
    <w:p>
      <w:pPr>
        <w:jc w:val="both"/>
        <w:ind w:left="140"/>
        <w:spacing w:after="0" w:line="299" w:lineRule="auto"/>
        <w:rPr>
          <w:sz w:val="20"/>
          <w:szCs w:val="20"/>
          <w:color w:val="auto"/>
        </w:rPr>
      </w:pPr>
      <w:r>
        <w:rPr>
          <w:rFonts w:ascii="Arial" w:cs="Arial" w:eastAsia="Arial" w:hAnsi="Arial"/>
          <w:sz w:val="12"/>
          <w:szCs w:val="12"/>
          <w:i w:val="1"/>
          <w:iCs w:val="1"/>
          <w:u w:val="single" w:color="auto"/>
          <w:color w:val="auto"/>
        </w:rPr>
        <w:t>Commercial Real Estate Lending, including Multifamily</w:t>
      </w:r>
      <w:r>
        <w:rPr>
          <w:rFonts w:ascii="Arial" w:cs="Arial" w:eastAsia="Arial" w:hAnsi="Arial"/>
          <w:sz w:val="12"/>
          <w:szCs w:val="12"/>
          <w:i w:val="1"/>
          <w:iCs w:val="1"/>
          <w:color w:val="auto"/>
        </w:rPr>
        <w:t xml:space="preserve">. </w:t>
      </w:r>
      <w:r>
        <w:rPr>
          <w:rFonts w:ascii="Arial" w:cs="Arial" w:eastAsia="Arial" w:hAnsi="Arial"/>
          <w:sz w:val="12"/>
          <w:szCs w:val="12"/>
          <w:color w:val="auto"/>
        </w:rPr>
        <w:t>We originate commercial real estate loans, including loans secured by office buildings, retail/wholesale facilities, hotels, industrial facilities, medical and</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buildings, churches, and multifamily residential properties located primarily in our market areas. The average outstanding loan size was $817,000 as of June 30, 2023.</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3"/>
          <w:szCs w:val="13"/>
          <w:color w:val="auto"/>
        </w:rPr>
        <w:t xml:space="preserve">We offer both fixed- and adjustable-rate commercial real estate loans. Our commercial real estate mortgage loans generally include a balloon maturity of five years or less. Amortization terms are generally limited to 20 years. Adjustable rate-based loans typically include a floor and ceiling interest rate and are indexed to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prime rate or the one-month term SOFR, plus or minus an interest rate margin and rates generally adjust daily. The maximum loan-to-value ratio for commercial real estate loans is generally up to 80% on purchases and refinances.</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u w:val="single" w:color="auto"/>
          <w:color w:val="auto"/>
        </w:rPr>
        <w:t>Commercial – Commercial and Industrial Loans</w:t>
      </w:r>
      <w:r>
        <w:rPr>
          <w:rFonts w:ascii="Arial" w:cs="Arial" w:eastAsia="Arial" w:hAnsi="Arial"/>
          <w:sz w:val="13"/>
          <w:szCs w:val="13"/>
          <w:i w:val="1"/>
          <w:iCs w:val="1"/>
          <w:color w:val="auto"/>
        </w:rPr>
        <w:t xml:space="preserve">. </w:t>
      </w:r>
      <w:r>
        <w:rPr>
          <w:rFonts w:ascii="Arial" w:cs="Arial" w:eastAsia="Arial" w:hAnsi="Arial"/>
          <w:sz w:val="13"/>
          <w:szCs w:val="13"/>
          <w:color w:val="auto"/>
        </w:rPr>
        <w:t>We typically offer commercial and industrial loans to businesses located in our primary market areas. These loans are primarily originated as conventional loans to</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business borrowers, which include lines of credit, term loans, and letters of credit. These loans are typically secured by collateral and are used for general business purposes, including working capital financing, equipment financing, capital investment, and general investments. Loan terms typically vary from one to five years. The interest rates on such loans are either fixed rate or adjustable rate indexed to </w:t>
      </w:r>
      <w:r>
        <w:rPr>
          <w:rFonts w:ascii="Arial" w:cs="Arial" w:eastAsia="Arial" w:hAnsi="Arial"/>
          <w:sz w:val="13"/>
          <w:szCs w:val="13"/>
          <w:i w:val="1"/>
          <w:iCs w:val="1"/>
          <w:color w:val="auto"/>
        </w:rPr>
        <w:t>The Wall Street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Journal </w:t>
      </w:r>
      <w:r>
        <w:rPr>
          <w:rFonts w:ascii="Arial" w:cs="Arial" w:eastAsia="Arial" w:hAnsi="Arial"/>
          <w:sz w:val="13"/>
          <w:szCs w:val="13"/>
          <w:color w:val="auto"/>
        </w:rPr>
        <w:t>prime rate plus a margin.</w:t>
      </w:r>
    </w:p>
    <w:p>
      <w:pPr>
        <w:spacing w:after="0" w:line="35"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 xml:space="preserve">We originate commercial business loans made under the SBA 7(a) and USDA B&amp;I programs to small businesses located throughout the country. Loans made by the Bank under the SBA 7(a) and USDA B&amp;I programs generally are made to small businesses to provide working capital needs, to refinance existing debt or to provide funding for the purchase of businesses, real estate, machinery, and equipment. These loans generally are secured by a combination of assets that may include receivables, inventory, furniture, fixtures, equipment, business real property, commercial real estate and sometimes additional collateral such as an assignment of life insurance and a lien on personal real estate owned by the guarantor(s). Typical maturities for this type of loan vary up to 25 years and can be 30 years in some circumstances. Under the SBA 7(a) and USDA B&amp;I loan program the loans carry a government guaranty up to 90% of the loan in some cases. SBA 7(a) and USDA B&amp;I loans will normally be adjustable rate loans based upon </w:t>
      </w:r>
      <w:r>
        <w:rPr>
          <w:rFonts w:ascii="Arial" w:cs="Arial" w:eastAsia="Arial" w:hAnsi="Arial"/>
          <w:sz w:val="11"/>
          <w:szCs w:val="11"/>
          <w:i w:val="1"/>
          <w:iCs w:val="1"/>
          <w:color w:val="auto"/>
        </w:rPr>
        <w:t>The Wall Street Journal</w:t>
      </w:r>
      <w:r>
        <w:rPr>
          <w:rFonts w:ascii="Arial" w:cs="Arial" w:eastAsia="Arial" w:hAnsi="Arial"/>
          <w:sz w:val="11"/>
          <w:szCs w:val="11"/>
          <w:color w:val="auto"/>
        </w:rPr>
        <w:t xml:space="preserve"> prime lending rate. Under the loan programs, we will typically sell in the secondary market the guaranteed portion of these loans to generate noninterest income and retain the related unguaranteed portion of these loans.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March 2022, the Company began purchasing commercial small business loans originated by a fintech partner. At June 30, 2023, the outstanding balance of these loans totaled $25.1 million, or 0.6% of our loan portfolio. The credit risk characteristics of these loans are different from the remainder of the portfolio as they were not originated by the Company and the collateral may be located outside the Company's market area. The Company will continue to monitor the performance of these loans and adjust the ACL as necessary.</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u w:val="single" w:color="auto"/>
          <w:color w:val="auto"/>
        </w:rPr>
        <w:t>Commercial – Equipment Finance</w:t>
      </w:r>
      <w:r>
        <w:rPr>
          <w:rFonts w:ascii="Arial" w:cs="Arial" w:eastAsia="Arial" w:hAnsi="Arial"/>
          <w:sz w:val="13"/>
          <w:szCs w:val="13"/>
          <w:i w:val="1"/>
          <w:iCs w:val="1"/>
          <w:color w:val="auto"/>
        </w:rPr>
        <w:t xml:space="preserve">. </w:t>
      </w:r>
      <w:r>
        <w:rPr>
          <w:rFonts w:ascii="Arial" w:cs="Arial" w:eastAsia="Arial" w:hAnsi="Arial"/>
          <w:sz w:val="13"/>
          <w:szCs w:val="13"/>
          <w:color w:val="auto"/>
        </w:rPr>
        <w:t>Our Equipment Finance line of business offers companies that are purchasing equipment for their business various products to help manage tax and accounting issues, while offering</w:t>
      </w:r>
      <w:r>
        <w:rPr>
          <w:rFonts w:ascii="Arial" w:cs="Arial" w:eastAsia="Arial" w:hAnsi="Arial"/>
          <w:sz w:val="13"/>
          <w:szCs w:val="13"/>
          <w:i w:val="1"/>
          <w:iCs w:val="1"/>
          <w:color w:val="auto"/>
        </w:rPr>
        <w:t xml:space="preserve"> </w:t>
      </w:r>
      <w:r>
        <w:rPr>
          <w:rFonts w:ascii="Arial" w:cs="Arial" w:eastAsia="Arial" w:hAnsi="Arial"/>
          <w:sz w:val="13"/>
          <w:szCs w:val="13"/>
          <w:color w:val="auto"/>
        </w:rPr>
        <w:t>flexible and customizable repayment terms. These products are primarily made up of commercial finance agreements and commercial loans for transportation, construction, healthcare, and manufacturing equipment. The loans have terms ranging from 24 to 84 months, with an average of five years and are secured by the financed equipment. Typical transaction sizes range from $25,000 to $1.0 million, with an average outstanding loan size of $138,000.</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i w:val="1"/>
          <w:iCs w:val="1"/>
          <w:u w:val="single" w:color="auto"/>
          <w:color w:val="auto"/>
        </w:rPr>
        <w:t>Commercial – Municipal Leases</w:t>
      </w:r>
      <w:r>
        <w:rPr>
          <w:rFonts w:ascii="Arial" w:cs="Arial" w:eastAsia="Arial" w:hAnsi="Arial"/>
          <w:sz w:val="13"/>
          <w:szCs w:val="13"/>
          <w:i w:val="1"/>
          <w:iCs w:val="1"/>
          <w:color w:val="auto"/>
        </w:rPr>
        <w:t xml:space="preserve">. </w:t>
      </w:r>
      <w:r>
        <w:rPr>
          <w:rFonts w:ascii="Arial" w:cs="Arial" w:eastAsia="Arial" w:hAnsi="Arial"/>
          <w:sz w:val="13"/>
          <w:szCs w:val="13"/>
          <w:color w:val="auto"/>
        </w:rPr>
        <w:t>We offer ground and equipment lease financing to fire departments located primarily throughout North Carolina, South Carolina and, to a lesser extent, Virginia. Municipal leases are</w:t>
      </w:r>
      <w:r>
        <w:rPr>
          <w:rFonts w:ascii="Arial" w:cs="Arial" w:eastAsia="Arial" w:hAnsi="Arial"/>
          <w:sz w:val="13"/>
          <w:szCs w:val="13"/>
          <w:i w:val="1"/>
          <w:iCs w:val="1"/>
          <w:color w:val="auto"/>
        </w:rPr>
        <w:t xml:space="preserve"> </w:t>
      </w:r>
      <w:r>
        <w:rPr>
          <w:rFonts w:ascii="Arial" w:cs="Arial" w:eastAsia="Arial" w:hAnsi="Arial"/>
          <w:sz w:val="13"/>
          <w:szCs w:val="13"/>
          <w:color w:val="auto"/>
        </w:rPr>
        <w:t>secured primarily by a ground lease in our name with a sublease to the borrower for a fire station or an equipment lease for fire trucks and firefighting equipment. We originate and underwrite all leases prior to funding. These leases are at a fixed rate of interest and may have a term to maturity of up to 20 years. At June 30, 2023, $86.1 million, or 60.5%, of our municipal leases were secured by fire trucks, $47.9 million, or 33.7%, were secured by fire stations, $104,000, or 0.1%, were secured by both, with the remaining $8.1 million, or 5.7%, secured by miscellaneous firefighting equipment and land. At June 30, 2023, the average outstanding municipal lease size was $430,000.</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i w:val="1"/>
          <w:iCs w:val="1"/>
          <w:u w:val="single" w:color="auto"/>
          <w:color w:val="auto"/>
        </w:rPr>
        <w:t>Residential Real Estate – Construction and Land Development</w:t>
      </w:r>
      <w:r>
        <w:rPr>
          <w:rFonts w:ascii="Arial" w:cs="Arial" w:eastAsia="Arial" w:hAnsi="Arial"/>
          <w:sz w:val="13"/>
          <w:szCs w:val="13"/>
          <w:i w:val="1"/>
          <w:iCs w:val="1"/>
          <w:color w:val="auto"/>
        </w:rPr>
        <w:t xml:space="preserve">. </w:t>
      </w:r>
      <w:r>
        <w:rPr>
          <w:rFonts w:ascii="Arial" w:cs="Arial" w:eastAsia="Arial" w:hAnsi="Arial"/>
          <w:sz w:val="13"/>
          <w:szCs w:val="13"/>
          <w:color w:val="auto"/>
        </w:rPr>
        <w:t>We originate construction-to-permanent loans to homeowners building a residence. In addition, we originate land/lot loans predominately for the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or refinance of an improved lot for the construction of a residence to be occupied by the borrower. All of our construction and land/lot loans were made on properties located within our market area. Unfunded loan commitments totaled $93.0 million and $94.9 million at June 30, 2023 and 2022, respectively.</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Construction-to-permanent loans are made for the construction of a one-to-four family property which is intended to be occupied by the borrower as either a primary or secondary residence. Construction-to-permanent loans are originated to the homeowner rather than the homebuilder and are structured to be converted to a first lien fixed- or adjustable-rate permanent loan at the completion of the construction phase. During the construction phase, which typically lasts six to 12 months, we make periodic inspections of the construction site and loan proceeds are disbursed directly to the contractors or borrowers as construction progresses. Typically, disbursements are made in monthly draws during the construction period. Loan proceeds are disbursed based on a percentage of completion. Construction-to-permanent loans require payment of interest only during the construction phase. Construction loans may be originated up to 95% of the cost or of the appraised value upon completion, whichever is less; however, we generally do not originate construction loans which exceed the lower of 80% loan to cost or appraised value without securing adequate private mortgage insurance or other form of credit enhancement such as the Federal Housing Administration or other governmental guarantee.</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Included in our construction and land/lot loan portfolio are land/lot loans, which are typically loans secured by developed lots in residential subdivisions located in our market areas. We originate these loans to individuals intending to construct their primary or secondary residence on the lot within one year of the origination date. This portfolio may also include loans for the purchase or refinance of unimproved land that is generally less than or equal to five acres and for which the purpose is to commence the improvement of the land and construction of an owner occupied primary or secondary residence within one year of the origination date.</w:t>
      </w:r>
    </w:p>
    <w:p>
      <w:pPr>
        <w:spacing w:after="0" w:line="4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Land/lot loans are typically originated in an amount up to 70% of the lower of the purchase price or appraisal, are secured by a first lien on the property, for up to a 20-year term, require payments of interest only and are structured with an adjustable rate of interest on terms similar to our one-to-four family residential mortgage loans.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i w:val="1"/>
          <w:iCs w:val="1"/>
          <w:u w:val="single" w:color="auto"/>
          <w:color w:val="auto"/>
        </w:rPr>
        <w:t>Residential Real Estate – One-to-Four Family</w:t>
      </w:r>
      <w:r>
        <w:rPr>
          <w:rFonts w:ascii="Arial" w:cs="Arial" w:eastAsia="Arial" w:hAnsi="Arial"/>
          <w:sz w:val="13"/>
          <w:szCs w:val="13"/>
          <w:i w:val="1"/>
          <w:iCs w:val="1"/>
          <w:color w:val="auto"/>
        </w:rPr>
        <w:t xml:space="preserve">. </w:t>
      </w:r>
      <w:r>
        <w:rPr>
          <w:rFonts w:ascii="Arial" w:cs="Arial" w:eastAsia="Arial" w:hAnsi="Arial"/>
          <w:sz w:val="13"/>
          <w:szCs w:val="13"/>
          <w:color w:val="auto"/>
        </w:rPr>
        <w:t>We originate loans secured by first mortgages on one-to-four family residences typically for the purchase or refinance of owner occupied primary or secondary residences</w:t>
      </w:r>
      <w:r>
        <w:rPr>
          <w:rFonts w:ascii="Arial" w:cs="Arial" w:eastAsia="Arial" w:hAnsi="Arial"/>
          <w:sz w:val="13"/>
          <w:szCs w:val="13"/>
          <w:i w:val="1"/>
          <w:iCs w:val="1"/>
          <w:color w:val="auto"/>
        </w:rPr>
        <w:t xml:space="preserve"> </w:t>
      </w:r>
      <w:r>
        <w:rPr>
          <w:rFonts w:ascii="Arial" w:cs="Arial" w:eastAsia="Arial" w:hAnsi="Arial"/>
          <w:sz w:val="13"/>
          <w:szCs w:val="13"/>
          <w:color w:val="auto"/>
        </w:rPr>
        <w:t>located primarily in our market areas. We originate both fixed-rate loans and adjustable-rate loans; however, the majority of our one-to-four family residential loans are originated with fixed rates and have terms of 10 to 30 years. We generally originate fixed rate mortgage loans with terms greater than 10 years for sale to various</w:t>
      </w:r>
    </w:p>
    <w:p>
      <w:pPr>
        <w:spacing w:after="0" w:line="34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440" w:top="865" w:right="319" w:bottom="1440" w:gutter="0" w:footer="0" w:header="0"/>
        </w:sectPr>
      </w:pPr>
    </w:p>
    <w:bookmarkStart w:id="34" w:name="page35"/>
    <w:bookmarkEnd w:id="34"/>
    <w:p>
      <w:pPr>
        <w:jc w:val="both"/>
        <w:ind w:left="140"/>
        <w:spacing w:after="0" w:line="256" w:lineRule="auto"/>
        <w:rPr>
          <w:sz w:val="20"/>
          <w:szCs w:val="20"/>
          <w:color w:val="auto"/>
        </w:rPr>
      </w:pPr>
      <w:r>
        <w:rPr>
          <w:rFonts w:ascii="Arial" w:cs="Arial" w:eastAsia="Arial" w:hAnsi="Arial"/>
          <w:sz w:val="13"/>
          <w:szCs w:val="13"/>
          <w:color w:val="auto"/>
        </w:rPr>
        <w:t>secondary market investors on a servicing released basis. We also originate adjustable-rate mortgage, or ARM, loans which have interest rates that adjust annually to the yield on U.S. Treasury securities adjusted to a constant one-year maturity plus a margin. Most of our ARM loans are hybrid loans, which after an initial fixed rate period of one, five, seven, or 10 years will convert to an annual adjustable interest rate for the remaining term of the loan. Our ARM loans have terms up to 30 years.</w:t>
      </w:r>
    </w:p>
    <w:p>
      <w:pPr>
        <w:spacing w:after="0" w:line="42" w:lineRule="exact"/>
        <w:rPr>
          <w:sz w:val="20"/>
          <w:szCs w:val="20"/>
          <w:color w:val="auto"/>
        </w:rPr>
      </w:pPr>
    </w:p>
    <w:p>
      <w:pPr>
        <w:jc w:val="both"/>
        <w:ind w:left="140"/>
        <w:spacing w:after="0" w:line="250" w:lineRule="auto"/>
        <w:rPr>
          <w:sz w:val="20"/>
          <w:szCs w:val="20"/>
          <w:color w:val="auto"/>
        </w:rPr>
      </w:pPr>
      <w:r>
        <w:rPr>
          <w:rFonts w:ascii="Arial" w:cs="Arial" w:eastAsia="Arial" w:hAnsi="Arial"/>
          <w:sz w:val="13"/>
          <w:szCs w:val="13"/>
          <w:i w:val="1"/>
          <w:iCs w:val="1"/>
          <w:u w:val="single" w:color="auto"/>
          <w:color w:val="auto"/>
        </w:rPr>
        <w:t>Residential Real Estate – Home Equity Lines of Credit</w:t>
      </w:r>
      <w:r>
        <w:rPr>
          <w:rFonts w:ascii="Arial" w:cs="Arial" w:eastAsia="Arial" w:hAnsi="Arial"/>
          <w:sz w:val="13"/>
          <w:szCs w:val="13"/>
          <w:i w:val="1"/>
          <w:iCs w:val="1"/>
          <w:color w:val="auto"/>
        </w:rPr>
        <w:t xml:space="preserve">. </w:t>
      </w:r>
      <w:r>
        <w:rPr>
          <w:rFonts w:ascii="Arial" w:cs="Arial" w:eastAsia="Arial" w:hAnsi="Arial"/>
          <w:sz w:val="13"/>
          <w:szCs w:val="13"/>
          <w:color w:val="auto"/>
        </w:rPr>
        <w:t>Our HELOCs consist primarily of adjustable-rate lines of credit. The lines of credit may be originated in amounts, together with the amount of the existing first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mortgage, typically up to 85% of the value of the property securing the loan (less any prior mortgage loans) with an adjustable-rate of interest based on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prime rate plus a margin. HELOCs generally have up to a 10-year draw period and amounts may be reborrowed after payment at any time during the draw period. Once the draw period has lapsed, the payment is amortized over a 15-year period based on the loan balance at that time. At June 30, 2023, unfunded commitments on these lines of credit totaled $393.5 million.</w:t>
      </w:r>
    </w:p>
    <w:p>
      <w:pPr>
        <w:spacing w:after="0" w:line="35" w:lineRule="exact"/>
        <w:rPr>
          <w:sz w:val="20"/>
          <w:szCs w:val="20"/>
          <w:color w:val="auto"/>
        </w:rPr>
      </w:pPr>
    </w:p>
    <w:p>
      <w:pPr>
        <w:jc w:val="both"/>
        <w:ind w:left="140"/>
        <w:spacing w:after="0" w:line="287" w:lineRule="auto"/>
        <w:rPr>
          <w:sz w:val="20"/>
          <w:szCs w:val="20"/>
          <w:color w:val="auto"/>
        </w:rPr>
      </w:pPr>
      <w:r>
        <w:rPr>
          <w:rFonts w:ascii="Arial" w:cs="Arial" w:eastAsia="Arial" w:hAnsi="Arial"/>
          <w:sz w:val="12"/>
          <w:szCs w:val="12"/>
          <w:i w:val="1"/>
          <w:iCs w:val="1"/>
          <w:u w:val="single" w:color="auto"/>
          <w:color w:val="auto"/>
        </w:rPr>
        <w:t>Consumer Lending</w:t>
      </w:r>
      <w:r>
        <w:rPr>
          <w:rFonts w:ascii="Arial" w:cs="Arial" w:eastAsia="Arial" w:hAnsi="Arial"/>
          <w:sz w:val="12"/>
          <w:szCs w:val="12"/>
          <w:i w:val="1"/>
          <w:iCs w:val="1"/>
          <w:color w:val="auto"/>
        </w:rPr>
        <w:t xml:space="preserve">. </w:t>
      </w:r>
      <w:r>
        <w:rPr>
          <w:rFonts w:ascii="Arial" w:cs="Arial" w:eastAsia="Arial" w:hAnsi="Arial"/>
          <w:sz w:val="12"/>
          <w:szCs w:val="12"/>
          <w:color w:val="auto"/>
        </w:rPr>
        <w:t>Our consumer loans consist of loans secured by deposit accounts or personal property such as automobiles, boats, and motorcycles, as well as unsecured consumer debt. This portfolio includes</w:t>
      </w:r>
      <w:r>
        <w:rPr>
          <w:rFonts w:ascii="Arial" w:cs="Arial" w:eastAsia="Arial" w:hAnsi="Arial"/>
          <w:sz w:val="12"/>
          <w:szCs w:val="12"/>
          <w:i w:val="1"/>
          <w:iCs w:val="1"/>
          <w:color w:val="auto"/>
        </w:rPr>
        <w:t xml:space="preserve"> </w:t>
      </w:r>
      <w:r>
        <w:rPr>
          <w:rFonts w:ascii="Arial" w:cs="Arial" w:eastAsia="Arial" w:hAnsi="Arial"/>
          <w:sz w:val="12"/>
          <w:szCs w:val="12"/>
          <w:color w:val="auto"/>
        </w:rPr>
        <w:t>indirect auto finance installment contracts sourced through our relationships with automobile dealerships, both manufacturer franchised dealerships and independent dealerships, who utilize our origination platform to provide automotive financing through installment contracts on new and used vehicles. At June 30, 2023, the outstanding balance of indirect auto finance loans was $105.0 million.</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following table details the contractual maturity ranges of our loan portfolio without factoring in scheduled payments or potential prepayments. Loan balances do not include undisbursed loan proceeds, unearned discounts, unearned income or the ACL. In addition, we have disclosed those loans with predetermined (fixed) and floating interest rates at June 30, 2023.</w:t>
      </w:r>
    </w:p>
    <w:tbl>
      <w:tblPr>
        <w:tblLayout w:type="fixed"/>
        <w:tblInd w:w="0" w:type="dxa"/>
        <w:tblCellMar>
          <w:top w:w="0" w:type="dxa"/>
          <w:left w:w="0" w:type="dxa"/>
          <w:bottom w:w="0" w:type="dxa"/>
          <w:right w:w="0" w:type="dxa"/>
        </w:tblCellMar>
      </w:tblPr>
      <w:tr>
        <w:trPr>
          <w:trHeight w:val="143"/>
        </w:trPr>
        <w:tc>
          <w:tcPr>
            <w:tcW w:w="494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1 Year or Less</w:t>
            </w:r>
          </w:p>
        </w:tc>
        <w:tc>
          <w:tcPr>
            <w:tcW w:w="1280" w:type="dxa"/>
            <w:vAlign w:val="bottom"/>
            <w:gridSpan w:val="3"/>
          </w:tcPr>
          <w:p>
            <w:pPr>
              <w:jc w:val="center"/>
              <w:ind w:right="80"/>
              <w:spacing w:after="0" w:line="143" w:lineRule="exact"/>
              <w:rPr>
                <w:sz w:val="20"/>
                <w:szCs w:val="20"/>
                <w:color w:val="auto"/>
              </w:rPr>
            </w:pPr>
            <w:r>
              <w:rPr>
                <w:rFonts w:ascii="Arial" w:cs="Arial" w:eastAsia="Arial" w:hAnsi="Arial"/>
                <w:sz w:val="13"/>
                <w:szCs w:val="13"/>
                <w:b w:val="1"/>
                <w:bCs w:val="1"/>
                <w:color w:val="auto"/>
                <w:w w:val="93"/>
              </w:rPr>
              <w:t>After 1 but Within 5</w:t>
            </w:r>
          </w:p>
        </w:tc>
        <w:tc>
          <w:tcPr>
            <w:tcW w:w="80" w:type="dxa"/>
            <w:vAlign w:val="bottom"/>
          </w:tcPr>
          <w:p>
            <w:pPr>
              <w:spacing w:after="0"/>
              <w:rPr>
                <w:sz w:val="12"/>
                <w:szCs w:val="12"/>
                <w:color w:val="auto"/>
              </w:rPr>
            </w:pPr>
          </w:p>
        </w:tc>
        <w:tc>
          <w:tcPr>
            <w:tcW w:w="120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After 5 but Within</w:t>
            </w: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Over 15 Years</w:t>
            </w:r>
          </w:p>
        </w:tc>
        <w:tc>
          <w:tcPr>
            <w:tcW w:w="260" w:type="dxa"/>
            <w:vAlign w:val="bottom"/>
          </w:tcPr>
          <w:p>
            <w:pPr>
              <w:spacing w:after="0"/>
              <w:rPr>
                <w:sz w:val="12"/>
                <w:szCs w:val="12"/>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4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Years</w:t>
            </w:r>
          </w:p>
        </w:tc>
        <w:tc>
          <w:tcPr>
            <w:tcW w:w="8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15 Years</w:t>
            </w: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9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 loans</w:t>
            </w: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166,218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169,718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20,738</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356,674</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310,677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529,721</w:t>
            </w: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65,859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520,548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281,688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33,590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901,685</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42,536</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29,009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c>
          <w:tcPr>
            <w:tcW w:w="0" w:type="dxa"/>
            <w:vAlign w:val="bottom"/>
          </w:tcPr>
          <w:p>
            <w:pPr>
              <w:spacing w:after="0"/>
              <w:rPr>
                <w:sz w:val="1"/>
                <w:szCs w:val="1"/>
                <w:color w:val="auto"/>
              </w:rPr>
            </w:pPr>
          </w:p>
        </w:tc>
      </w:tr>
      <w:tr>
        <w:trPr>
          <w:trHeight w:val="158"/>
        </w:trPr>
        <w:tc>
          <w:tcPr>
            <w:tcW w:w="4940" w:type="dxa"/>
            <w:vAlign w:val="bottom"/>
          </w:tcPr>
          <w:p>
            <w:pPr>
              <w:ind w:left="140"/>
              <w:spacing w:after="0"/>
              <w:rPr>
                <w:sz w:val="20"/>
                <w:szCs w:val="20"/>
                <w:color w:val="auto"/>
              </w:rPr>
            </w:pPr>
            <w:r>
              <w:rPr>
                <w:rFonts w:ascii="Arial" w:cs="Arial" w:eastAsia="Arial" w:hAnsi="Arial"/>
                <w:sz w:val="13"/>
                <w:szCs w:val="13"/>
                <w:color w:val="auto"/>
              </w:rPr>
              <w:t>Total commercial real estate loans</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278,380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1,043,479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453,148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94,900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1,869,907</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69,793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106,673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67,600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245,428</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352,923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462,211</w:t>
            </w: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26,567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82,945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31,287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c>
          <w:tcPr>
            <w:tcW w:w="0" w:type="dxa"/>
            <w:vAlign w:val="bottom"/>
          </w:tcPr>
          <w:p>
            <w:pPr>
              <w:spacing w:after="0"/>
              <w:rPr>
                <w:sz w:val="1"/>
                <w:szCs w:val="1"/>
                <w:color w:val="auto"/>
              </w:rPr>
            </w:pPr>
          </w:p>
        </w:tc>
      </w:tr>
      <w:tr>
        <w:trPr>
          <w:trHeight w:val="163"/>
        </w:trPr>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486,163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248,876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849,851</w:t>
            </w:r>
          </w:p>
        </w:tc>
        <w:tc>
          <w:tcPr>
            <w:tcW w:w="0" w:type="dxa"/>
            <w:vAlign w:val="bottom"/>
          </w:tcPr>
          <w:p>
            <w:pPr>
              <w:spacing w:after="0"/>
              <w:rPr>
                <w:sz w:val="1"/>
                <w:szCs w:val="1"/>
                <w:color w:val="auto"/>
              </w:rPr>
            </w:pPr>
          </w:p>
        </w:tc>
      </w:tr>
      <w:tr>
        <w:trPr>
          <w:trHeight w:val="168"/>
        </w:trPr>
        <w:tc>
          <w:tcPr>
            <w:tcW w:w="494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27,826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116,759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73,425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311,693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529,703</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5,943</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170,915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c>
          <w:tcPr>
            <w:tcW w:w="0" w:type="dxa"/>
            <w:vAlign w:val="bottom"/>
          </w:tcPr>
          <w:p>
            <w:pPr>
              <w:spacing w:after="0"/>
              <w:rPr>
                <w:sz w:val="1"/>
                <w:szCs w:val="1"/>
                <w:color w:val="auto"/>
              </w:rPr>
            </w:pPr>
          </w:p>
        </w:tc>
      </w:tr>
      <w:tr>
        <w:trPr>
          <w:trHeight w:val="158"/>
        </w:trPr>
        <w:tc>
          <w:tcPr>
            <w:tcW w:w="4940" w:type="dxa"/>
            <w:vAlign w:val="bottom"/>
          </w:tcPr>
          <w:p>
            <w:pPr>
              <w:ind w:left="140"/>
              <w:spacing w:after="0"/>
              <w:rPr>
                <w:sz w:val="20"/>
                <w:szCs w:val="20"/>
                <w:color w:val="auto"/>
              </w:rPr>
            </w:pPr>
            <w:r>
              <w:rPr>
                <w:rFonts w:ascii="Arial" w:cs="Arial" w:eastAsia="Arial" w:hAnsi="Arial"/>
                <w:sz w:val="13"/>
                <w:szCs w:val="13"/>
                <w:color w:val="auto"/>
              </w:rPr>
              <w:t>Total residential real estate loans</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123,606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85,256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588,243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826,970</w:t>
            </w:r>
          </w:p>
        </w:tc>
        <w:tc>
          <w:tcPr>
            <w:tcW w:w="0" w:type="dxa"/>
            <w:vAlign w:val="bottom"/>
          </w:tcPr>
          <w:p>
            <w:pPr>
              <w:spacing w:after="0"/>
              <w:rPr>
                <w:sz w:val="1"/>
                <w:szCs w:val="1"/>
                <w:color w:val="auto"/>
              </w:rPr>
            </w:pPr>
          </w:p>
        </w:tc>
      </w:tr>
      <w:tr>
        <w:trPr>
          <w:trHeight w:val="170"/>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 loans</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54,157</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53,787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c>
          <w:tcPr>
            <w:tcW w:w="0" w:type="dxa"/>
            <w:vAlign w:val="bottom"/>
          </w:tcPr>
          <w:p>
            <w:pPr>
              <w:spacing w:after="0"/>
              <w:rPr>
                <w:sz w:val="1"/>
                <w:szCs w:val="1"/>
                <w:color w:val="auto"/>
              </w:rPr>
            </w:pPr>
          </w:p>
        </w:tc>
      </w:tr>
      <w:tr>
        <w:trPr>
          <w:trHeight w:val="163"/>
        </w:trPr>
        <w:tc>
          <w:tcPr>
            <w:tcW w:w="4940" w:type="dxa"/>
            <w:vAlign w:val="bottom"/>
          </w:tcPr>
          <w:p>
            <w:pPr>
              <w:ind w:left="140"/>
              <w:spacing w:after="0"/>
              <w:rPr>
                <w:sz w:val="20"/>
                <w:szCs w:val="20"/>
                <w:color w:val="auto"/>
              </w:rPr>
            </w:pPr>
            <w:r>
              <w:rPr>
                <w:rFonts w:ascii="Arial" w:cs="Arial" w:eastAsia="Arial" w:hAnsi="Arial"/>
                <w:sz w:val="13"/>
                <w:szCs w:val="13"/>
                <w:b w:val="1"/>
                <w:bCs w:val="1"/>
                <w:color w:val="auto"/>
              </w:rPr>
              <w:t>Loans, net of deferred loan fees and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394,241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1,707,405</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841,067</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716,110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3,658,823</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real estate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Fixed rate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75,994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731,304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89,947</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4,231</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901,476</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Adjustable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312,175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968,431</w:t>
            </w:r>
          </w:p>
        </w:tc>
        <w:tc>
          <w:tcPr>
            <w:tcW w:w="0" w:type="dxa"/>
            <w:vAlign w:val="bottom"/>
          </w:tcPr>
          <w:p>
            <w:pPr>
              <w:spacing w:after="0"/>
              <w:rPr>
                <w:sz w:val="1"/>
                <w:szCs w:val="1"/>
                <w:color w:val="auto"/>
              </w:rPr>
            </w:pPr>
          </w:p>
        </w:tc>
      </w:tr>
      <w:tr>
        <w:trPr>
          <w:trHeight w:val="168"/>
        </w:trPr>
        <w:tc>
          <w:tcPr>
            <w:tcW w:w="4940" w:type="dxa"/>
            <w:vAlign w:val="bottom"/>
          </w:tcPr>
          <w:p>
            <w:pPr>
              <w:ind w:left="20"/>
              <w:spacing w:after="0"/>
              <w:rPr>
                <w:sz w:val="20"/>
                <w:szCs w:val="20"/>
                <w:color w:val="auto"/>
              </w:rPr>
            </w:pPr>
            <w:r>
              <w:rPr>
                <w:rFonts w:ascii="Arial" w:cs="Arial" w:eastAsia="Arial" w:hAnsi="Arial"/>
                <w:sz w:val="13"/>
                <w:szCs w:val="13"/>
                <w:b w:val="1"/>
                <w:bCs w:val="1"/>
                <w:color w:val="auto"/>
              </w:rPr>
              <w:t>Commercial loans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Fixed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465,109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741,228</w:t>
            </w: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Adjustable rate loans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40,850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21,054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46,552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108,623</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Fixed rate loans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13,868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110,275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51,202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174,334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349,679</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Adjustable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34,054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413,909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477,291</w:t>
            </w:r>
          </w:p>
        </w:tc>
        <w:tc>
          <w:tcPr>
            <w:tcW w:w="0" w:type="dxa"/>
            <w:vAlign w:val="bottom"/>
          </w:tcPr>
          <w:p>
            <w:pPr>
              <w:spacing w:after="0"/>
              <w:rPr>
                <w:sz w:val="1"/>
                <w:szCs w:val="1"/>
                <w:color w:val="auto"/>
              </w:rPr>
            </w:pPr>
          </w:p>
        </w:tc>
      </w:tr>
      <w:tr>
        <w:trPr>
          <w:trHeight w:val="168"/>
        </w:trPr>
        <w:tc>
          <w:tcPr>
            <w:tcW w:w="4940" w:type="dxa"/>
            <w:vAlign w:val="bottom"/>
          </w:tcPr>
          <w:p>
            <w:pPr>
              <w:ind w:left="20"/>
              <w:spacing w:after="0"/>
              <w:rPr>
                <w:sz w:val="20"/>
                <w:szCs w:val="20"/>
                <w:color w:val="auto"/>
              </w:rPr>
            </w:pPr>
            <w:r>
              <w:rPr>
                <w:rFonts w:ascii="Arial" w:cs="Arial" w:eastAsia="Arial" w:hAnsi="Arial"/>
                <w:sz w:val="13"/>
                <w:szCs w:val="13"/>
                <w:b w:val="1"/>
                <w:bCs w:val="1"/>
                <w:color w:val="auto"/>
              </w:rPr>
              <w:t>Consumer loans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Fixed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110,265</w:t>
            </w: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Arial" w:cs="Arial" w:eastAsia="Arial" w:hAnsi="Arial"/>
                <w:sz w:val="13"/>
                <w:szCs w:val="13"/>
                <w:color w:val="auto"/>
              </w:rPr>
              <w:t>Adjustable rate loans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1,830</w:t>
            </w:r>
          </w:p>
        </w:tc>
        <w:tc>
          <w:tcPr>
            <w:tcW w:w="0" w:type="dxa"/>
            <w:vAlign w:val="bottom"/>
          </w:tcPr>
          <w:p>
            <w:pPr>
              <w:spacing w:after="0"/>
              <w:rPr>
                <w:sz w:val="1"/>
                <w:szCs w:val="1"/>
                <w:color w:val="auto"/>
              </w:rPr>
            </w:pPr>
          </w:p>
        </w:tc>
      </w:tr>
      <w:tr>
        <w:trPr>
          <w:trHeight w:val="18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fixed rate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1,360,834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397,260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211,365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2,102,648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4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Total adjustable rate loans</w:t>
            </w:r>
          </w:p>
        </w:tc>
        <w:tc>
          <w:tcPr>
            <w:tcW w:w="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261,052</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16"/>
              <w:spacing w:after="0" w:line="133"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346,571</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443,807</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504,745</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16"/>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1,556,175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Nonperforming Assets. </w:t>
      </w:r>
      <w:r>
        <w:rPr>
          <w:rFonts w:ascii="Arial" w:cs="Arial" w:eastAsia="Arial" w:hAnsi="Arial"/>
          <w:sz w:val="13"/>
          <w:szCs w:val="13"/>
          <w:color w:val="auto"/>
        </w:rPr>
        <w:t>Nonperforming assets include nonaccrual loans, TDRs that haven’t performed for a sufficient period of time, and REO. Loans are placed on nonaccrual status when the collection of principal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and/or interest becomes doubtful or other factors involving the loan warrant placing the loan on nonaccrual status. TDRs are loans which have renegotiated loan terms to assist borrowers who are unable to meet the original terms of their loans. Such modifications to loan terms may include a below market interest rate, a reduction in principal balance, or a longer term to maturity. Once a nonaccruing TDR has performed according to its modified terms for six months and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collection of principal and interest under the revised terms is deemed probable, the TDR is removed from nonaccrual status.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Total nonperforming assets were $8.3 million, or 0.18% of total assets, at June 30, 2023, compared to $6.3 milion, or 0.18% of total assets, at June 30, 2022. The following table sets forth the composition of our nonperforming assets among our different asset categories.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30, 2023</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June 30, 2022</w:t>
            </w:r>
          </w:p>
        </w:tc>
        <w:tc>
          <w:tcPr>
            <w:tcW w:w="0" w:type="dxa"/>
            <w:vAlign w:val="bottom"/>
          </w:tcPr>
          <w:p>
            <w:pPr>
              <w:spacing w:after="0"/>
              <w:rPr>
                <w:sz w:val="1"/>
                <w:szCs w:val="1"/>
                <w:color w:val="auto"/>
              </w:rPr>
            </w:pPr>
          </w:p>
        </w:tc>
      </w:tr>
      <w:tr>
        <w:trPr>
          <w:trHeight w:val="152"/>
        </w:trPr>
        <w:tc>
          <w:tcPr>
            <w:tcW w:w="8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Nonaccruing loans</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80"/>
              <w:spacing w:after="0"/>
              <w:rPr>
                <w:sz w:val="20"/>
                <w:szCs w:val="20"/>
                <w:color w:val="auto"/>
              </w:rPr>
            </w:pPr>
            <w:r>
              <w:rPr>
                <w:rFonts w:ascii="Arial" w:cs="Arial" w:eastAsia="Arial" w:hAnsi="Arial"/>
                <w:sz w:val="13"/>
                <w:szCs w:val="13"/>
                <w:b w:val="1"/>
                <w:bCs w:val="1"/>
                <w:color w:val="auto"/>
              </w:rPr>
              <w:t>Commercial real estate loans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 and land development</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8"/>
        </w:trPr>
        <w:tc>
          <w:tcPr>
            <w:tcW w:w="8300" w:type="dxa"/>
            <w:vAlign w:val="bottom"/>
          </w:tcPr>
          <w:p>
            <w:pPr>
              <w:ind w:left="140"/>
              <w:spacing w:after="0"/>
              <w:rPr>
                <w:sz w:val="20"/>
                <w:szCs w:val="20"/>
                <w:color w:val="auto"/>
              </w:rPr>
            </w:pPr>
            <w:r>
              <w:rPr>
                <w:rFonts w:ascii="Arial" w:cs="Arial" w:eastAsia="Arial" w:hAnsi="Arial"/>
                <w:sz w:val="13"/>
                <w:szCs w:val="13"/>
                <w:color w:val="auto"/>
              </w:rPr>
              <w:t>Commercial real estate - owner occupied</w:t>
            </w:r>
          </w:p>
        </w:tc>
        <w:tc>
          <w:tcPr>
            <w:tcW w:w="20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real estate - non-owner occupied</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Multifamily</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commercial real estate loans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168"/>
        </w:trPr>
        <w:tc>
          <w:tcPr>
            <w:tcW w:w="8300" w:type="dxa"/>
            <w:vAlign w:val="bottom"/>
          </w:tcPr>
          <w:p>
            <w:pPr>
              <w:ind w:left="80"/>
              <w:spacing w:after="0"/>
              <w:rPr>
                <w:sz w:val="20"/>
                <w:szCs w:val="20"/>
                <w:color w:val="auto"/>
              </w:rPr>
            </w:pPr>
            <w:r>
              <w:rPr>
                <w:rFonts w:ascii="Arial" w:cs="Arial" w:eastAsia="Arial" w:hAnsi="Arial"/>
                <w:sz w:val="13"/>
                <w:szCs w:val="13"/>
                <w:b w:val="1"/>
                <w:bCs w:val="1"/>
                <w:color w:val="auto"/>
              </w:rPr>
              <w:t>Commercial loans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and industrial</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1,951</w:t>
            </w:r>
          </w:p>
        </w:tc>
        <w:tc>
          <w:tcPr>
            <w:tcW w:w="0" w:type="dxa"/>
            <w:vAlign w:val="bottom"/>
          </w:tcPr>
          <w:p>
            <w:pPr>
              <w:spacing w:after="0"/>
              <w:rPr>
                <w:sz w:val="1"/>
                <w:szCs w:val="1"/>
                <w:color w:val="auto"/>
              </w:rPr>
            </w:pPr>
          </w:p>
        </w:tc>
      </w:tr>
      <w:tr>
        <w:trPr>
          <w:trHeight w:val="168"/>
        </w:trPr>
        <w:tc>
          <w:tcPr>
            <w:tcW w:w="8300" w:type="dxa"/>
            <w:vAlign w:val="bottom"/>
          </w:tcPr>
          <w:p>
            <w:pPr>
              <w:ind w:left="140"/>
              <w:spacing w:after="0"/>
              <w:rPr>
                <w:sz w:val="20"/>
                <w:szCs w:val="20"/>
                <w:color w:val="auto"/>
              </w:rPr>
            </w:pPr>
            <w:r>
              <w:rPr>
                <w:rFonts w:ascii="Arial" w:cs="Arial" w:eastAsia="Arial" w:hAnsi="Arial"/>
                <w:sz w:val="13"/>
                <w:szCs w:val="13"/>
                <w:color w:val="auto"/>
              </w:rPr>
              <w:t>Equipment finance</w:t>
            </w:r>
          </w:p>
        </w:tc>
        <w:tc>
          <w:tcPr>
            <w:tcW w:w="20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2,862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Municipal leases</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300" w:type="dxa"/>
            <w:vAlign w:val="bottom"/>
          </w:tcPr>
          <w:p>
            <w:pPr>
              <w:ind w:left="220"/>
              <w:spacing w:after="0"/>
              <w:rPr>
                <w:sz w:val="20"/>
                <w:szCs w:val="20"/>
                <w:color w:val="auto"/>
              </w:rPr>
            </w:pPr>
            <w:r>
              <w:rPr>
                <w:rFonts w:ascii="Arial" w:cs="Arial" w:eastAsia="Arial" w:hAnsi="Arial"/>
                <w:sz w:val="13"/>
                <w:szCs w:val="13"/>
                <w:color w:val="auto"/>
              </w:rPr>
              <w:t>Total commercial loans</w:t>
            </w:r>
          </w:p>
        </w:tc>
        <w:tc>
          <w:tcPr>
            <w:tcW w:w="200" w:type="dxa"/>
            <w:vAlign w:val="bottom"/>
          </w:tcPr>
          <w:p>
            <w:pPr>
              <w:spacing w:after="0"/>
              <w:rPr>
                <w:sz w:val="13"/>
                <w:szCs w:val="13"/>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4,190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2,221</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Residential real estate loans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140"/>
              <w:spacing w:after="0"/>
              <w:rPr>
                <w:sz w:val="20"/>
                <w:szCs w:val="20"/>
                <w:color w:val="auto"/>
              </w:rPr>
            </w:pPr>
            <w:r>
              <w:rPr>
                <w:rFonts w:ascii="Arial" w:cs="Arial" w:eastAsia="Arial" w:hAnsi="Arial"/>
                <w:sz w:val="13"/>
                <w:szCs w:val="13"/>
                <w:color w:val="auto"/>
              </w:rPr>
              <w:t>Construction and land development</w:t>
            </w:r>
          </w:p>
        </w:tc>
        <w:tc>
          <w:tcPr>
            <w:tcW w:w="20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One-to-four family</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1,773</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HELOCs</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957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residential real estate loans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2,634</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80"/>
              <w:spacing w:after="0"/>
              <w:rPr>
                <w:sz w:val="20"/>
                <w:szCs w:val="20"/>
                <w:color w:val="auto"/>
              </w:rPr>
            </w:pPr>
            <w:r>
              <w:rPr>
                <w:rFonts w:ascii="Arial" w:cs="Arial" w:eastAsia="Arial" w:hAnsi="Arial"/>
                <w:sz w:val="13"/>
                <w:szCs w:val="13"/>
                <w:b w:val="1"/>
                <w:bCs w:val="1"/>
                <w:color w:val="auto"/>
              </w:rPr>
              <w:t>Consumer</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nonaccruing loans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8,315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6,120</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Arial" w:cs="Arial" w:eastAsia="Arial" w:hAnsi="Arial"/>
                <w:sz w:val="13"/>
                <w:szCs w:val="13"/>
                <w:b w:val="1"/>
                <w:bCs w:val="1"/>
                <w:color w:val="auto"/>
              </w:rPr>
              <w:t>Total foreclosed assets</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88"/>
        </w:trPr>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nonperforming assets</w:t>
            </w: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8,315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6,320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Total nonperforming assets as a percentage of total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Arial" w:cs="Arial" w:eastAsia="Arial" w:hAnsi="Arial"/>
                <w:sz w:val="13"/>
                <w:szCs w:val="13"/>
                <w:color w:val="auto"/>
              </w:rPr>
              <w:t>0.18 %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Arial" w:cs="Arial" w:eastAsia="Arial" w:hAnsi="Arial"/>
                <w:sz w:val="14"/>
                <w:szCs w:val="14"/>
                <w:color w:val="auto"/>
              </w:rPr>
              <w:t>0.18 %</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ratio of nonperforming loans to total loans was 0.23% at June 30, 2023 and 0.22% at June 30, 2022. Performing TDRs that were excluded from nonaccruing loans totaled $8.2 million and $9.8 million at June 30, 2023 and June 30, 2022, respectively.</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Allowance for Credit Losses on Loans</w:t>
      </w:r>
      <w:r>
        <w:rPr>
          <w:rFonts w:ascii="Arial" w:cs="Arial" w:eastAsia="Arial" w:hAnsi="Arial"/>
          <w:sz w:val="13"/>
          <w:szCs w:val="13"/>
          <w:color w:val="auto"/>
        </w:rPr>
        <w:t>. The ACL on loans held for investment is a valuation account that reflects our estimation of the credit losses that will result from the inability of our borrowers to make required loan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payments. The ACL is maintained through provisions for credit losses that are charged to earnings in the period they are established. We charge losses on loans against the ACL when we believe the collection of loan principal is unlikely. Recoveries on loans previously charged off are added back to the ACL. See "Note 1 – Summary of Significant Accounting Policies" of the Notes to the Consolidated Financial Statements included in Item 8 of this Form 10-K for discussion of our ACL methodology on loans.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distribution of the ACL by loan category at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June 30, 2023</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June 30, 2022</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40"/>
              <w:spacing w:after="0" w:line="120" w:lineRule="exact"/>
              <w:rPr>
                <w:sz w:val="20"/>
                <w:szCs w:val="20"/>
                <w:color w:val="auto"/>
              </w:rPr>
            </w:pPr>
            <w:r>
              <w:rPr>
                <w:rFonts w:ascii="Arial" w:cs="Arial" w:eastAsia="Arial" w:hAnsi="Arial"/>
                <w:sz w:val="13"/>
                <w:szCs w:val="13"/>
                <w:b w:val="1"/>
                <w:bCs w:val="1"/>
                <w:color w:val="auto"/>
                <w:w w:val="88"/>
              </w:rPr>
              <w:t>Allocated</w:t>
            </w:r>
          </w:p>
        </w:tc>
        <w:tc>
          <w:tcPr>
            <w:tcW w:w="1200" w:type="dxa"/>
            <w:vAlign w:val="bottom"/>
            <w:gridSpan w:val="2"/>
          </w:tcPr>
          <w:p>
            <w:pPr>
              <w:jc w:val="center"/>
              <w:ind w:right="100"/>
              <w:spacing w:after="0" w:line="120" w:lineRule="exact"/>
              <w:rPr>
                <w:sz w:val="20"/>
                <w:szCs w:val="20"/>
                <w:color w:val="auto"/>
              </w:rPr>
            </w:pPr>
            <w:r>
              <w:rPr>
                <w:rFonts w:ascii="Arial" w:cs="Arial" w:eastAsia="Arial" w:hAnsi="Arial"/>
                <w:sz w:val="13"/>
                <w:szCs w:val="13"/>
                <w:b w:val="1"/>
                <w:bCs w:val="1"/>
                <w:color w:val="auto"/>
                <w:w w:val="93"/>
              </w:rPr>
              <w:t>% of Loan</w:t>
            </w: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ACL to Loans</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line="120" w:lineRule="exact"/>
              <w:rPr>
                <w:sz w:val="20"/>
                <w:szCs w:val="20"/>
                <w:color w:val="auto"/>
              </w:rPr>
            </w:pPr>
            <w:r>
              <w:rPr>
                <w:rFonts w:ascii="Arial" w:cs="Arial" w:eastAsia="Arial" w:hAnsi="Arial"/>
                <w:sz w:val="13"/>
                <w:szCs w:val="13"/>
                <w:b w:val="1"/>
                <w:bCs w:val="1"/>
                <w:color w:val="auto"/>
                <w:w w:val="88"/>
              </w:rPr>
              <w:t>Allocated</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8"/>
              </w:rPr>
              <w:t>% of Loan Portfolio</w:t>
            </w:r>
          </w:p>
        </w:tc>
        <w:tc>
          <w:tcPr>
            <w:tcW w:w="11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ACL to Loans</w:t>
            </w:r>
          </w:p>
        </w:tc>
        <w:tc>
          <w:tcPr>
            <w:tcW w:w="0" w:type="dxa"/>
            <w:vAlign w:val="bottom"/>
          </w:tcPr>
          <w:p>
            <w:pPr>
              <w:spacing w:after="0"/>
              <w:rPr>
                <w:sz w:val="1"/>
                <w:szCs w:val="1"/>
                <w:color w:val="auto"/>
              </w:rPr>
            </w:pPr>
          </w:p>
        </w:tc>
      </w:tr>
      <w:tr>
        <w:trPr>
          <w:trHeight w:val="102"/>
        </w:trPr>
        <w:tc>
          <w:tcPr>
            <w:tcW w:w="432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60" w:type="dxa"/>
            <w:vAlign w:val="bottom"/>
          </w:tcPr>
          <w:p>
            <w:pPr>
              <w:spacing w:after="0"/>
              <w:rPr>
                <w:sz w:val="8"/>
                <w:szCs w:val="8"/>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0"/>
              </w:rPr>
              <w:t>Allowance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Portfolio</w:t>
            </w:r>
          </w:p>
        </w:tc>
        <w:tc>
          <w:tcPr>
            <w:tcW w:w="12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Allowance</w:t>
            </w:r>
          </w:p>
        </w:tc>
        <w:tc>
          <w:tcPr>
            <w:tcW w:w="12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3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 loans</w:t>
            </w: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2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5,866</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Arial" w:cs="Arial" w:eastAsia="Arial" w:hAnsi="Arial"/>
                <w:sz w:val="13"/>
                <w:szCs w:val="13"/>
                <w:color w:val="auto"/>
                <w:w w:val="93"/>
              </w:rPr>
              <w:t>0.16 %</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4,402</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Arial" w:cs="Arial" w:eastAsia="Arial" w:hAnsi="Arial"/>
                <w:sz w:val="13"/>
                <w:szCs w:val="13"/>
                <w:color w:val="auto"/>
                <w:w w:val="88"/>
              </w:rPr>
              <w:t>0.16 %</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68"/>
        </w:trPr>
        <w:tc>
          <w:tcPr>
            <w:tcW w:w="432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9,230</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Arial" w:cs="Arial" w:eastAsia="Arial" w:hAnsi="Arial"/>
                <w:sz w:val="13"/>
                <w:szCs w:val="13"/>
                <w:color w:val="auto"/>
              </w:rPr>
              <w:t>0.26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5,589</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58"/>
        </w:trPr>
        <w:tc>
          <w:tcPr>
            <w:tcW w:w="4320" w:type="dxa"/>
            <w:vAlign w:val="bottom"/>
          </w:tcPr>
          <w:p>
            <w:pPr>
              <w:ind w:left="140"/>
              <w:spacing w:after="0"/>
              <w:rPr>
                <w:sz w:val="20"/>
                <w:szCs w:val="20"/>
                <w:color w:val="auto"/>
              </w:rPr>
            </w:pPr>
            <w:r>
              <w:rPr>
                <w:rFonts w:ascii="Arial" w:cs="Arial" w:eastAsia="Arial" w:hAnsi="Arial"/>
                <w:sz w:val="13"/>
                <w:szCs w:val="13"/>
                <w:color w:val="auto"/>
              </w:rPr>
              <w:t>Total commercial real estate loans</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20,690</w:t>
            </w:r>
          </w:p>
        </w:tc>
        <w:tc>
          <w:tcPr>
            <w:tcW w:w="10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1120" w:type="dxa"/>
            <w:vAlign w:val="bottom"/>
          </w:tcPr>
          <w:p>
            <w:pPr>
              <w:ind w:left="720"/>
              <w:spacing w:after="0"/>
              <w:rPr>
                <w:sz w:val="20"/>
                <w:szCs w:val="20"/>
                <w:color w:val="auto"/>
              </w:rPr>
            </w:pPr>
            <w:r>
              <w:rPr>
                <w:rFonts w:ascii="Arial" w:cs="Arial" w:eastAsia="Arial" w:hAnsi="Arial"/>
                <w:sz w:val="13"/>
                <w:szCs w:val="13"/>
                <w:color w:val="auto"/>
              </w:rPr>
              <w:t>0.57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13,414</w:t>
            </w:r>
          </w:p>
        </w:tc>
        <w:tc>
          <w:tcPr>
            <w:tcW w:w="10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1100" w:type="dxa"/>
            <w:vAlign w:val="bottom"/>
          </w:tcPr>
          <w:p>
            <w:pPr>
              <w:ind w:left="720"/>
              <w:spacing w:after="0"/>
              <w:rPr>
                <w:sz w:val="20"/>
                <w:szCs w:val="20"/>
                <w:color w:val="auto"/>
              </w:rPr>
            </w:pPr>
            <w:r>
              <w:rPr>
                <w:rFonts w:ascii="Arial" w:cs="Arial" w:eastAsia="Arial" w:hAnsi="Arial"/>
                <w:sz w:val="13"/>
                <w:szCs w:val="13"/>
                <w:color w:val="auto"/>
              </w:rPr>
              <w:t>0.48</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2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4,738</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Arial" w:cs="Arial" w:eastAsia="Arial" w:hAnsi="Arial"/>
                <w:sz w:val="13"/>
                <w:szCs w:val="13"/>
                <w:color w:val="auto"/>
              </w:rPr>
              <w:t>0.13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5,083</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Arial" w:cs="Arial" w:eastAsia="Arial" w:hAnsi="Arial"/>
                <w:sz w:val="13"/>
                <w:szCs w:val="13"/>
                <w:color w:val="auto"/>
              </w:rPr>
              <w:t>0.18</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0.24</w:t>
            </w:r>
          </w:p>
        </w:tc>
        <w:tc>
          <w:tcPr>
            <w:tcW w:w="0" w:type="dxa"/>
            <w:vAlign w:val="bottom"/>
          </w:tcPr>
          <w:p>
            <w:pPr>
              <w:spacing w:after="0"/>
              <w:rPr>
                <w:sz w:val="1"/>
                <w:szCs w:val="1"/>
                <w:color w:val="auto"/>
              </w:rPr>
            </w:pPr>
          </w:p>
        </w:tc>
      </w:tr>
      <w:tr>
        <w:trPr>
          <w:trHeight w:val="168"/>
        </w:trPr>
        <w:tc>
          <w:tcPr>
            <w:tcW w:w="43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0.01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 loans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0.43</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168"/>
        </w:trPr>
        <w:tc>
          <w:tcPr>
            <w:tcW w:w="432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5,612</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Arial" w:cs="Arial" w:eastAsia="Arial" w:hAnsi="Arial"/>
                <w:sz w:val="13"/>
                <w:szCs w:val="13"/>
                <w:color w:val="auto"/>
              </w:rPr>
              <w:t>0.15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4,673</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58"/>
        </w:trPr>
        <w:tc>
          <w:tcPr>
            <w:tcW w:w="4320" w:type="dxa"/>
            <w:vAlign w:val="bottom"/>
          </w:tcPr>
          <w:p>
            <w:pPr>
              <w:ind w:left="140"/>
              <w:spacing w:after="0"/>
              <w:rPr>
                <w:sz w:val="20"/>
                <w:szCs w:val="20"/>
                <w:color w:val="auto"/>
              </w:rPr>
            </w:pPr>
            <w:r>
              <w:rPr>
                <w:rFonts w:ascii="Arial" w:cs="Arial" w:eastAsia="Arial" w:hAnsi="Arial"/>
                <w:sz w:val="13"/>
                <w:szCs w:val="13"/>
                <w:color w:val="auto"/>
              </w:rPr>
              <w:t>Total residential real estate loans</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9,284</w:t>
            </w:r>
          </w:p>
        </w:tc>
        <w:tc>
          <w:tcPr>
            <w:tcW w:w="10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3"/>
                <w:szCs w:val="13"/>
                <w:color w:val="auto"/>
              </w:rPr>
            </w:pPr>
          </w:p>
        </w:tc>
        <w:tc>
          <w:tcPr>
            <w:tcW w:w="1120" w:type="dxa"/>
            <w:vAlign w:val="bottom"/>
          </w:tcPr>
          <w:p>
            <w:pPr>
              <w:ind w:left="720"/>
              <w:spacing w:after="0"/>
              <w:rPr>
                <w:sz w:val="20"/>
                <w:szCs w:val="20"/>
                <w:color w:val="auto"/>
              </w:rPr>
            </w:pPr>
            <w:r>
              <w:rPr>
                <w:rFonts w:ascii="Arial" w:cs="Arial" w:eastAsia="Arial" w:hAnsi="Arial"/>
                <w:sz w:val="13"/>
                <w:szCs w:val="13"/>
                <w:color w:val="auto"/>
              </w:rPr>
              <w:t>0.25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7,611</w:t>
            </w:r>
          </w:p>
        </w:tc>
        <w:tc>
          <w:tcPr>
            <w:tcW w:w="10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1100" w:type="dxa"/>
            <w:vAlign w:val="bottom"/>
          </w:tcPr>
          <w:p>
            <w:pPr>
              <w:ind w:left="72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 loans</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63"/>
        </w:trPr>
        <w:tc>
          <w:tcPr>
            <w:tcW w:w="4320" w:type="dxa"/>
            <w:vAlign w:val="bottom"/>
          </w:tcPr>
          <w:p>
            <w:pPr>
              <w:ind w:left="80"/>
              <w:spacing w:after="0"/>
              <w:rPr>
                <w:sz w:val="20"/>
                <w:szCs w:val="20"/>
                <w:color w:val="auto"/>
              </w:rPr>
            </w:pPr>
            <w:r>
              <w:rPr>
                <w:rFonts w:ascii="Arial" w:cs="Arial" w:eastAsia="Arial" w:hAnsi="Arial"/>
                <w:sz w:val="13"/>
                <w:szCs w:val="13"/>
                <w:b w:val="1"/>
                <w:bCs w:val="1"/>
                <w:color w:val="auto"/>
              </w:rPr>
              <w:t>Total loans</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47,193</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w w:val="93"/>
              </w:rPr>
              <w:t>1.29 %</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34,690</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w w:val="88"/>
              </w:rPr>
              <w:t>1.25 %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6" w:name="page37"/>
    <w:bookmarkEnd w:id="36"/>
    <w:p>
      <w:pPr>
        <w:jc w:val="center"/>
        <w:ind w:left="8340"/>
        <w:spacing w:after="0"/>
        <w:rPr>
          <w:sz w:val="20"/>
          <w:szCs w:val="20"/>
          <w:color w:val="auto"/>
        </w:rPr>
      </w:pPr>
      <w:r>
        <w:rPr>
          <w:rFonts w:ascii="Arial" w:cs="Arial" w:eastAsia="Arial" w:hAnsi="Arial"/>
          <w:sz w:val="13"/>
          <w:szCs w:val="13"/>
          <w:b w:val="1"/>
          <w:bCs w:val="1"/>
          <w:color w:val="auto"/>
        </w:rPr>
        <w:t>At or For the Year</w:t>
      </w:r>
    </w:p>
    <w:p>
      <w:pPr>
        <w:jc w:val="center"/>
        <w:ind w:left="8340"/>
        <w:spacing w:after="0"/>
        <w:rPr>
          <w:sz w:val="20"/>
          <w:szCs w:val="20"/>
          <w:color w:val="auto"/>
        </w:rPr>
      </w:pPr>
      <w:r>
        <w:rPr>
          <w:rFonts w:ascii="Arial" w:cs="Arial" w:eastAsia="Arial" w:hAnsi="Arial"/>
          <w:sz w:val="13"/>
          <w:szCs w:val="13"/>
          <w:b w:val="1"/>
          <w:bCs w:val="1"/>
          <w:color w:val="auto"/>
        </w:rPr>
        <w:t>Ended June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 quality ratios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0"/>
        </w:trPr>
        <w:tc>
          <w:tcPr>
            <w:tcW w:w="9240" w:type="dxa"/>
            <w:vAlign w:val="bottom"/>
            <w:gridSpan w:val="2"/>
          </w:tcPr>
          <w:p>
            <w:pPr>
              <w:ind w:left="80"/>
              <w:spacing w:after="0" w:line="170" w:lineRule="exact"/>
              <w:rPr>
                <w:sz w:val="20"/>
                <w:szCs w:val="20"/>
                <w:color w:val="auto"/>
              </w:rPr>
            </w:pPr>
            <w:r>
              <w:rPr>
                <w:rFonts w:ascii="Arial" w:cs="Arial" w:eastAsia="Arial" w:hAnsi="Arial"/>
                <w:sz w:val="13"/>
                <w:szCs w:val="13"/>
                <w:color w:val="auto"/>
              </w:rPr>
              <w:t>Nonaccruing loans to total loans</w:t>
            </w:r>
            <w:r>
              <w:rPr>
                <w:rFonts w:ascii="Arial" w:cs="Arial" w:eastAsia="Arial" w:hAnsi="Arial"/>
                <w:sz w:val="16"/>
                <w:szCs w:val="16"/>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3"/>
                <w:szCs w:val="13"/>
                <w:color w:val="auto"/>
              </w:rPr>
              <w:t>0.23 %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0.22 %</w:t>
            </w:r>
          </w:p>
        </w:tc>
      </w:tr>
      <w:tr>
        <w:trPr>
          <w:trHeight w:val="170"/>
        </w:trPr>
        <w:tc>
          <w:tcPr>
            <w:tcW w:w="9240" w:type="dxa"/>
            <w:vAlign w:val="bottom"/>
            <w:gridSpan w:val="2"/>
            <w:shd w:val="clear" w:color="auto" w:fill="CCEEFF"/>
          </w:tcPr>
          <w:p>
            <w:pPr>
              <w:ind w:left="80"/>
              <w:spacing w:after="0" w:line="170" w:lineRule="exact"/>
              <w:rPr>
                <w:sz w:val="20"/>
                <w:szCs w:val="20"/>
                <w:color w:val="auto"/>
              </w:rPr>
            </w:pPr>
            <w:r>
              <w:rPr>
                <w:rFonts w:ascii="Arial" w:cs="Arial" w:eastAsia="Arial" w:hAnsi="Arial"/>
                <w:sz w:val="13"/>
                <w:szCs w:val="13"/>
                <w:color w:val="auto"/>
              </w:rPr>
              <w:t>ACL to nonaccruing loans</w:t>
            </w:r>
            <w:r>
              <w:rPr>
                <w:rFonts w:ascii="Arial" w:cs="Arial" w:eastAsia="Arial" w:hAnsi="Arial"/>
                <w:sz w:val="16"/>
                <w:szCs w:val="16"/>
                <w:color w:val="auto"/>
                <w:vertAlign w:val="superscript"/>
              </w:rPr>
              <w:t>(1)</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0"/>
              </w:rPr>
              <w:t>567.56</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566.83</w:t>
            </w:r>
          </w:p>
        </w:tc>
      </w:tr>
      <w:tr>
        <w:trPr>
          <w:trHeight w:val="165"/>
        </w:trPr>
        <w:tc>
          <w:tcPr>
            <w:tcW w:w="9240" w:type="dxa"/>
            <w:vAlign w:val="bottom"/>
            <w:gridSpan w:val="2"/>
          </w:tcPr>
          <w:p>
            <w:pPr>
              <w:ind w:left="80"/>
              <w:spacing w:after="0"/>
              <w:rPr>
                <w:sz w:val="20"/>
                <w:szCs w:val="20"/>
                <w:color w:val="auto"/>
              </w:rPr>
            </w:pPr>
            <w:r>
              <w:rPr>
                <w:rFonts w:ascii="Arial" w:cs="Arial" w:eastAsia="Arial" w:hAnsi="Arial"/>
                <w:sz w:val="13"/>
                <w:szCs w:val="13"/>
                <w:color w:val="auto"/>
              </w:rPr>
              <w:t>Net charge-offs (recoveries) to average loans</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0.10</w:t>
            </w:r>
          </w:p>
        </w:tc>
        <w:tc>
          <w:tcPr>
            <w:tcW w:w="100" w:type="dxa"/>
            <w:vAlign w:val="bottom"/>
          </w:tcPr>
          <w:p>
            <w:pPr>
              <w:spacing w:after="0"/>
              <w:rPr>
                <w:sz w:val="14"/>
                <w:szCs w:val="14"/>
                <w:color w:val="auto"/>
              </w:rPr>
            </w:pP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(0.02)</w:t>
            </w:r>
          </w:p>
        </w:tc>
      </w:tr>
    </w:tbl>
    <w:p>
      <w:pPr>
        <w:spacing w:after="0" w:line="89" w:lineRule="exact"/>
        <w:rPr>
          <w:sz w:val="20"/>
          <w:szCs w:val="20"/>
          <w:color w:val="auto"/>
        </w:rPr>
      </w:pPr>
    </w:p>
    <w:p>
      <w:pPr>
        <w:ind w:left="260" w:hanging="255"/>
        <w:spacing w:after="0" w:line="284" w:lineRule="auto"/>
        <w:tabs>
          <w:tab w:leader="none" w:pos="221" w:val="left"/>
        </w:tabs>
        <w:numPr>
          <w:ilvl w:val="0"/>
          <w:numId w:val="19"/>
        </w:numPr>
        <w:rPr>
          <w:rFonts w:ascii="Arial" w:cs="Arial" w:eastAsia="Arial" w:hAnsi="Arial"/>
          <w:sz w:val="8"/>
          <w:szCs w:val="8"/>
          <w:color w:val="auto"/>
        </w:rPr>
      </w:pPr>
      <w:r>
        <w:rPr>
          <w:rFonts w:ascii="Arial" w:cs="Arial" w:eastAsia="Arial" w:hAnsi="Arial"/>
          <w:sz w:val="10"/>
          <w:szCs w:val="10"/>
          <w:color w:val="auto"/>
        </w:rPr>
        <w:t>At June 30, 2023, there were $1.9 million of restructured loans included in nonaccruing loans and $3.3 million, or 40.0%, of nonaccruing loans were current on their loan payments as of that date. At June 30, 2022, there were $2.8 million of restructured loans included in nonaccruing loans and $3.8 million, or 62.5%, of nonaccruing loans were current on their loan payments as of that date.</w:t>
      </w:r>
    </w:p>
    <w:p>
      <w:pPr>
        <w:spacing w:after="0" w:line="4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ACL on loans increased $12.5 million, or 36.0%, between June 30, 2023 and 2022 mainly as a result of a provision for credit losses on loans of $15.4 million for the year ended June 30, 2023, compared to a net benefit of $1.5 million for fiscal year 2022. See further discussion of the drivers of the change in the "Comparison of Results of Operations for the Years Ended June 30, 2023 and June 30, 2022 – Provision (Benefit) for Credit Losses" section above.</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individually evaluated loans are comprised of loans meeting certain thresholds, on nonaccrual status, and all TDRs, whether performing or on nonaccrual status under their restructured terms. Individually evaluated loans may be evaluated for reserve purposes using either the cash flow or the collateral valuation method. As of June 30, 2023, there were $6.8 million in loans individually evaluated compared to $5.3 million at June 30, 2022.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net charge-offs (recoveries) to average loans outstanding by loan category as of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2"/>
              </w:rPr>
              <w:t>Year Ended June 30, 2023</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2"/>
              </w:rPr>
              <w:t>Year Ended June 30, 2022</w:t>
            </w: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4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20" w:type="dxa"/>
            <w:vAlign w:val="bottom"/>
          </w:tcPr>
          <w:p>
            <w:pPr>
              <w:spacing w:after="0"/>
              <w:rPr>
                <w:sz w:val="10"/>
                <w:szCs w:val="10"/>
                <w:color w:val="auto"/>
              </w:rPr>
            </w:pPr>
          </w:p>
        </w:tc>
        <w:tc>
          <w:tcPr>
            <w:tcW w:w="1220" w:type="dxa"/>
            <w:vAlign w:val="bottom"/>
            <w:gridSpan w:val="2"/>
          </w:tcPr>
          <w:p>
            <w:pPr>
              <w:ind w:left="40"/>
              <w:spacing w:after="0" w:line="120" w:lineRule="exact"/>
              <w:rPr>
                <w:sz w:val="20"/>
                <w:szCs w:val="20"/>
                <w:color w:val="auto"/>
              </w:rPr>
            </w:pPr>
            <w:r>
              <w:rPr>
                <w:rFonts w:ascii="Arial" w:cs="Arial" w:eastAsia="Arial" w:hAnsi="Arial"/>
                <w:sz w:val="13"/>
                <w:szCs w:val="13"/>
                <w:b w:val="1"/>
                <w:bCs w:val="1"/>
                <w:color w:val="auto"/>
              </w:rPr>
              <w:t>Net Charge-Offs</w:t>
            </w:r>
          </w:p>
        </w:tc>
        <w:tc>
          <w:tcPr>
            <w:tcW w:w="140" w:type="dxa"/>
            <w:vAlign w:val="bottom"/>
          </w:tcPr>
          <w:p>
            <w:pPr>
              <w:spacing w:after="0"/>
              <w:rPr>
                <w:sz w:val="10"/>
                <w:szCs w:val="10"/>
                <w:color w:val="auto"/>
              </w:rPr>
            </w:pPr>
          </w:p>
        </w:tc>
        <w:tc>
          <w:tcPr>
            <w:tcW w:w="1380" w:type="dxa"/>
            <w:vAlign w:val="bottom"/>
            <w:gridSpan w:val="3"/>
          </w:tcPr>
          <w:p>
            <w:pPr>
              <w:ind w:left="80"/>
              <w:spacing w:after="0" w:line="120" w:lineRule="exact"/>
              <w:rPr>
                <w:sz w:val="20"/>
                <w:szCs w:val="20"/>
                <w:color w:val="auto"/>
              </w:rPr>
            </w:pPr>
            <w:r>
              <w:rPr>
                <w:rFonts w:ascii="Arial" w:cs="Arial" w:eastAsia="Arial" w:hAnsi="Arial"/>
                <w:sz w:val="13"/>
                <w:szCs w:val="13"/>
                <w:b w:val="1"/>
                <w:bCs w:val="1"/>
                <w:color w:val="auto"/>
              </w:rPr>
              <w:t>Average Loans</w:t>
            </w:r>
          </w:p>
        </w:tc>
        <w:tc>
          <w:tcPr>
            <w:tcW w:w="1280" w:type="dxa"/>
            <w:vAlign w:val="bottom"/>
          </w:tcPr>
          <w:p>
            <w:pPr>
              <w:jc w:val="center"/>
              <w:ind w:right="116"/>
              <w:spacing w:after="0" w:line="120" w:lineRule="exact"/>
              <w:rPr>
                <w:sz w:val="20"/>
                <w:szCs w:val="20"/>
                <w:color w:val="auto"/>
              </w:rPr>
            </w:pPr>
            <w:r>
              <w:rPr>
                <w:rFonts w:ascii="Arial" w:cs="Arial" w:eastAsia="Arial" w:hAnsi="Arial"/>
                <w:sz w:val="13"/>
                <w:szCs w:val="13"/>
                <w:b w:val="1"/>
                <w:bCs w:val="1"/>
                <w:color w:val="auto"/>
                <w:w w:val="92"/>
              </w:rPr>
              <w:t>Net Charge-Off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ind w:left="60"/>
              <w:spacing w:after="0" w:line="120" w:lineRule="exact"/>
              <w:rPr>
                <w:sz w:val="20"/>
                <w:szCs w:val="20"/>
                <w:color w:val="auto"/>
              </w:rPr>
            </w:pPr>
            <w:r>
              <w:rPr>
                <w:rFonts w:ascii="Arial" w:cs="Arial" w:eastAsia="Arial" w:hAnsi="Arial"/>
                <w:sz w:val="13"/>
                <w:szCs w:val="13"/>
                <w:b w:val="1"/>
                <w:bCs w:val="1"/>
                <w:color w:val="auto"/>
              </w:rPr>
              <w:t>Net Charge-Offs</w:t>
            </w:r>
          </w:p>
        </w:tc>
        <w:tc>
          <w:tcPr>
            <w:tcW w:w="140" w:type="dxa"/>
            <w:vAlign w:val="bottom"/>
          </w:tcPr>
          <w:p>
            <w:pPr>
              <w:spacing w:after="0"/>
              <w:rPr>
                <w:sz w:val="10"/>
                <w:szCs w:val="10"/>
                <w:color w:val="auto"/>
              </w:rPr>
            </w:pPr>
          </w:p>
        </w:tc>
        <w:tc>
          <w:tcPr>
            <w:tcW w:w="1400" w:type="dxa"/>
            <w:vAlign w:val="bottom"/>
            <w:gridSpan w:val="3"/>
          </w:tcPr>
          <w:p>
            <w:pPr>
              <w:ind w:left="80"/>
              <w:spacing w:after="0" w:line="120" w:lineRule="exact"/>
              <w:rPr>
                <w:sz w:val="20"/>
                <w:szCs w:val="20"/>
                <w:color w:val="auto"/>
              </w:rPr>
            </w:pPr>
            <w:r>
              <w:rPr>
                <w:rFonts w:ascii="Arial" w:cs="Arial" w:eastAsia="Arial" w:hAnsi="Arial"/>
                <w:sz w:val="13"/>
                <w:szCs w:val="13"/>
                <w:b w:val="1"/>
                <w:bCs w:val="1"/>
                <w:color w:val="auto"/>
              </w:rPr>
              <w:t>Average Loans</w:t>
            </w:r>
          </w:p>
        </w:tc>
        <w:tc>
          <w:tcPr>
            <w:tcW w:w="1280" w:type="dxa"/>
            <w:vAlign w:val="bottom"/>
          </w:tcPr>
          <w:p>
            <w:pPr>
              <w:jc w:val="center"/>
              <w:ind w:right="136"/>
              <w:spacing w:after="0" w:line="120" w:lineRule="exact"/>
              <w:rPr>
                <w:sz w:val="20"/>
                <w:szCs w:val="20"/>
                <w:color w:val="auto"/>
              </w:rPr>
            </w:pPr>
            <w:r>
              <w:rPr>
                <w:rFonts w:ascii="Arial" w:cs="Arial" w:eastAsia="Arial" w:hAnsi="Arial"/>
                <w:sz w:val="13"/>
                <w:szCs w:val="13"/>
                <w:b w:val="1"/>
                <w:bCs w:val="1"/>
                <w:color w:val="auto"/>
                <w:w w:val="90"/>
              </w:rPr>
              <w:t>Net Charge-Off</w:t>
            </w:r>
          </w:p>
        </w:tc>
        <w:tc>
          <w:tcPr>
            <w:tcW w:w="0" w:type="dxa"/>
            <w:vAlign w:val="bottom"/>
          </w:tcPr>
          <w:p>
            <w:pPr>
              <w:spacing w:after="0"/>
              <w:rPr>
                <w:sz w:val="1"/>
                <w:szCs w:val="1"/>
                <w:color w:val="auto"/>
              </w:rPr>
            </w:pPr>
          </w:p>
        </w:tc>
      </w:tr>
      <w:tr>
        <w:trPr>
          <w:trHeight w:val="168"/>
        </w:trPr>
        <w:tc>
          <w:tcPr>
            <w:tcW w:w="28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(Recoveries)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0"/>
              </w:rPr>
              <w:t>(Recovery) Ratio</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(Recoveries)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9"/>
              </w:rPr>
              <w:t>(Recovery) Ratio</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1,634,449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1,389,895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ind w:left="840"/>
              <w:spacing w:after="0"/>
              <w:rPr>
                <w:sz w:val="20"/>
                <w:szCs w:val="20"/>
                <w:color w:val="auto"/>
              </w:rPr>
            </w:pPr>
            <w:r>
              <w:rPr>
                <w:rFonts w:ascii="Arial" w:cs="Arial" w:eastAsia="Arial" w:hAnsi="Arial"/>
                <w:sz w:val="13"/>
                <w:szCs w:val="13"/>
                <w:color w:val="auto"/>
                <w:w w:val="92"/>
              </w:rPr>
              <w:t>(0.04)%</w:t>
            </w: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Arial" w:cs="Arial" w:eastAsia="Arial" w:hAnsi="Arial"/>
                <w:sz w:val="13"/>
                <w:szCs w:val="13"/>
                <w:color w:val="auto"/>
              </w:rPr>
              <w:t>Commercial loans</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784,321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900"/>
              <w:spacing w:after="0"/>
              <w:rPr>
                <w:sz w:val="20"/>
                <w:szCs w:val="20"/>
                <w:color w:val="auto"/>
              </w:rPr>
            </w:pPr>
            <w:r>
              <w:rPr>
                <w:rFonts w:ascii="Arial" w:cs="Arial" w:eastAsia="Arial" w:hAnsi="Arial"/>
                <w:sz w:val="13"/>
                <w:szCs w:val="13"/>
                <w:color w:val="auto"/>
              </w:rPr>
              <w:t>0.42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707,959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real estate loans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736,372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613,270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ind w:left="84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68"/>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Consumer loans</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108,278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0.23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98,549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3,263,420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w w:val="88"/>
              </w:rPr>
              <w:t>0.10 %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2,809,673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3"/>
                <w:szCs w:val="13"/>
                <w:color w:val="auto"/>
                <w:w w:val="92"/>
              </w:rPr>
              <w:t>(0.02)%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Liabilities. </w:t>
      </w:r>
      <w:r>
        <w:rPr>
          <w:rFonts w:ascii="Arial" w:cs="Arial" w:eastAsia="Arial" w:hAnsi="Arial"/>
          <w:sz w:val="12"/>
          <w:szCs w:val="12"/>
          <w:color w:val="auto"/>
        </w:rPr>
        <w:t>Total liabilities were $4.1 billion at June 30, 2023, compared to $3.2 billion at June 30, 2022, an increase of $975.9 million, or 30.9%, year-over-year, the components of which are discussed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20"/>
                <w:szCs w:val="20"/>
                <w:color w:val="auto"/>
              </w:rPr>
            </w:pPr>
            <w:r>
              <w:rPr>
                <w:rFonts w:ascii="Arial" w:cs="Arial" w:eastAsia="Arial" w:hAnsi="Arial"/>
                <w:sz w:val="13"/>
                <w:szCs w:val="13"/>
                <w:b w:val="1"/>
                <w:bCs w:val="1"/>
                <w:i w:val="1"/>
                <w:iCs w:val="1"/>
                <w:color w:val="auto"/>
                <w:w w:val="91"/>
              </w:rPr>
              <w:t xml:space="preserve">Deposits. </w:t>
            </w:r>
            <w:r>
              <w:rPr>
                <w:rFonts w:ascii="Arial" w:cs="Arial" w:eastAsia="Arial" w:hAnsi="Arial"/>
                <w:sz w:val="13"/>
                <w:szCs w:val="13"/>
                <w:color w:val="auto"/>
                <w:w w:val="91"/>
              </w:rPr>
              <w:t>The following table summarizes the composition of our deposit portfolio as of the dates indicated.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4"/>
        </w:trPr>
        <w:tc>
          <w:tcPr>
            <w:tcW w:w="568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2022</w:t>
            </w:r>
          </w:p>
        </w:tc>
        <w:tc>
          <w:tcPr>
            <w:tcW w:w="22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3"/>
                <w:szCs w:val="13"/>
                <w:b w:val="1"/>
                <w:bCs w:val="1"/>
                <w:color w:val="auto"/>
              </w:rPr>
              <w:t>$ Change</w:t>
            </w:r>
          </w:p>
        </w:tc>
        <w:tc>
          <w:tcPr>
            <w:tcW w:w="1400" w:type="dxa"/>
            <w:vAlign w:val="bottom"/>
          </w:tcPr>
          <w:p>
            <w:pPr>
              <w:ind w:left="400"/>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6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Core deposits</w:t>
            </w: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68"/>
        </w:trPr>
        <w:tc>
          <w:tcPr>
            <w:tcW w:w="5680" w:type="dxa"/>
            <w:vAlign w:val="bottom"/>
          </w:tcPr>
          <w:p>
            <w:pPr>
              <w:ind w:left="80"/>
              <w:spacing w:after="0"/>
              <w:rPr>
                <w:sz w:val="20"/>
                <w:szCs w:val="20"/>
                <w:color w:val="auto"/>
              </w:rPr>
            </w:pPr>
            <w:r>
              <w:rPr>
                <w:rFonts w:ascii="Arial" w:cs="Arial" w:eastAsia="Arial" w:hAnsi="Arial"/>
                <w:sz w:val="13"/>
                <w:szCs w:val="13"/>
                <w:color w:val="auto"/>
              </w:rPr>
              <w:t>Noninterest-bearing deposits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825,481</w:t>
            </w:r>
          </w:p>
        </w:tc>
        <w:tc>
          <w:tcPr>
            <w:tcW w:w="100" w:type="dxa"/>
            <w:vAlign w:val="bottom"/>
          </w:tcPr>
          <w:p>
            <w:pPr>
              <w:spacing w:after="0"/>
              <w:rPr>
                <w:sz w:val="14"/>
                <w:szCs w:val="14"/>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745,746</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79,735</w:t>
            </w:r>
          </w:p>
        </w:tc>
        <w:tc>
          <w:tcPr>
            <w:tcW w:w="100" w:type="dxa"/>
            <w:vAlign w:val="bottom"/>
          </w:tcPr>
          <w:p>
            <w:pPr>
              <w:spacing w:after="0"/>
              <w:rPr>
                <w:sz w:val="14"/>
                <w:szCs w:val="14"/>
                <w:color w:val="auto"/>
              </w:rPr>
            </w:pPr>
          </w:p>
        </w:tc>
        <w:tc>
          <w:tcPr>
            <w:tcW w:w="1400" w:type="dxa"/>
            <w:vAlign w:val="bottom"/>
          </w:tcPr>
          <w:p>
            <w:pPr>
              <w:ind w:left="1120"/>
              <w:spacing w:after="0"/>
              <w:rPr>
                <w:sz w:val="20"/>
                <w:szCs w:val="20"/>
                <w:color w:val="auto"/>
              </w:rPr>
            </w:pPr>
            <w:r>
              <w:rPr>
                <w:rFonts w:ascii="Arial" w:cs="Arial" w:eastAsia="Arial" w:hAnsi="Arial"/>
                <w:sz w:val="13"/>
                <w:szCs w:val="13"/>
                <w:color w:val="auto"/>
                <w:w w:val="87"/>
              </w:rPr>
              <w:t>11 %</w:t>
            </w:r>
          </w:p>
        </w:tc>
      </w:tr>
      <w:tr>
        <w:trPr>
          <w:trHeight w:val="172"/>
        </w:trPr>
        <w:tc>
          <w:tcPr>
            <w:tcW w:w="56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NOW accounts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611,105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654,981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(43,876)</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(7)</w:t>
            </w:r>
          </w:p>
        </w:tc>
      </w:tr>
      <w:tr>
        <w:trPr>
          <w:trHeight w:val="168"/>
        </w:trPr>
        <w:tc>
          <w:tcPr>
            <w:tcW w:w="5680" w:type="dxa"/>
            <w:vAlign w:val="bottom"/>
          </w:tcPr>
          <w:p>
            <w:pPr>
              <w:ind w:left="80"/>
              <w:spacing w:after="0"/>
              <w:rPr>
                <w:sz w:val="20"/>
                <w:szCs w:val="20"/>
                <w:color w:val="auto"/>
              </w:rPr>
            </w:pPr>
            <w:r>
              <w:rPr>
                <w:rFonts w:ascii="Arial" w:cs="Arial" w:eastAsia="Arial" w:hAnsi="Arial"/>
                <w:sz w:val="13"/>
                <w:szCs w:val="13"/>
                <w:color w:val="auto"/>
              </w:rPr>
              <w:t>Money market accounts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1,241,840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969,661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272,179</w:t>
            </w:r>
          </w:p>
        </w:tc>
        <w:tc>
          <w:tcPr>
            <w:tcW w:w="100" w:type="dxa"/>
            <w:vAlign w:val="bottom"/>
          </w:tcPr>
          <w:p>
            <w:pPr>
              <w:spacing w:after="0"/>
              <w:rPr>
                <w:sz w:val="14"/>
                <w:szCs w:val="14"/>
                <w:color w:val="auto"/>
              </w:rPr>
            </w:pPr>
          </w:p>
        </w:tc>
        <w:tc>
          <w:tcPr>
            <w:tcW w:w="1400" w:type="dxa"/>
            <w:vAlign w:val="bottom"/>
          </w:tcPr>
          <w:p>
            <w:pPr>
              <w:ind w:left="1120"/>
              <w:spacing w:after="0"/>
              <w:rPr>
                <w:sz w:val="20"/>
                <w:szCs w:val="20"/>
                <w:color w:val="auto"/>
              </w:rPr>
            </w:pPr>
            <w:r>
              <w:rPr>
                <w:rFonts w:ascii="Arial" w:cs="Arial" w:eastAsia="Arial" w:hAnsi="Arial"/>
                <w:sz w:val="13"/>
                <w:szCs w:val="13"/>
                <w:color w:val="auto"/>
              </w:rPr>
              <w:t>28</w:t>
            </w:r>
          </w:p>
        </w:tc>
      </w:tr>
      <w:tr>
        <w:trPr>
          <w:trHeight w:val="172"/>
        </w:trPr>
        <w:tc>
          <w:tcPr>
            <w:tcW w:w="56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Savings accounts</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212,220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238,197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(25,977)</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rPr>
              <w:t>(11)</w:t>
            </w:r>
          </w:p>
        </w:tc>
      </w:tr>
      <w:tr>
        <w:trPr>
          <w:trHeight w:val="158"/>
        </w:trPr>
        <w:tc>
          <w:tcPr>
            <w:tcW w:w="5680" w:type="dxa"/>
            <w:vAlign w:val="bottom"/>
          </w:tcPr>
          <w:p>
            <w:pPr>
              <w:ind w:left="140"/>
              <w:spacing w:after="0"/>
              <w:rPr>
                <w:sz w:val="20"/>
                <w:szCs w:val="20"/>
                <w:color w:val="auto"/>
              </w:rPr>
            </w:pPr>
            <w:r>
              <w:rPr>
                <w:rFonts w:ascii="Arial" w:cs="Arial" w:eastAsia="Arial" w:hAnsi="Arial"/>
                <w:sz w:val="13"/>
                <w:szCs w:val="13"/>
                <w:color w:val="auto"/>
              </w:rPr>
              <w:t>Total core deposits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2,890,646</w:t>
            </w:r>
          </w:p>
        </w:tc>
        <w:tc>
          <w:tcPr>
            <w:tcW w:w="10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2,608,585</w:t>
            </w:r>
          </w:p>
        </w:tc>
        <w:tc>
          <w:tcPr>
            <w:tcW w:w="1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282,061</w:t>
            </w:r>
          </w:p>
        </w:tc>
        <w:tc>
          <w:tcPr>
            <w:tcW w:w="100" w:type="dxa"/>
            <w:vAlign w:val="bottom"/>
          </w:tcPr>
          <w:p>
            <w:pPr>
              <w:spacing w:after="0"/>
              <w:rPr>
                <w:sz w:val="13"/>
                <w:szCs w:val="13"/>
                <w:color w:val="auto"/>
              </w:rPr>
            </w:pPr>
          </w:p>
        </w:tc>
        <w:tc>
          <w:tcPr>
            <w:tcW w:w="1400" w:type="dxa"/>
            <w:vAlign w:val="bottom"/>
          </w:tcPr>
          <w:p>
            <w:pPr>
              <w:ind w:left="1120"/>
              <w:spacing w:after="0"/>
              <w:rPr>
                <w:sz w:val="20"/>
                <w:szCs w:val="20"/>
                <w:color w:val="auto"/>
              </w:rPr>
            </w:pPr>
            <w:r>
              <w:rPr>
                <w:rFonts w:ascii="Arial" w:cs="Arial" w:eastAsia="Arial" w:hAnsi="Arial"/>
                <w:sz w:val="13"/>
                <w:szCs w:val="13"/>
                <w:color w:val="auto"/>
                <w:w w:val="87"/>
              </w:rPr>
              <w:t>11 %</w:t>
            </w:r>
          </w:p>
        </w:tc>
      </w:tr>
      <w:tr>
        <w:trPr>
          <w:trHeight w:val="170"/>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Certificates of deposit</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710,522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491,176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219,346</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3"/>
                <w:szCs w:val="13"/>
                <w:color w:val="auto"/>
              </w:rPr>
              <w:t>45</w:t>
            </w:r>
          </w:p>
        </w:tc>
      </w:tr>
      <w:tr>
        <w:trPr>
          <w:trHeight w:val="163"/>
        </w:trPr>
        <w:tc>
          <w:tcPr>
            <w:tcW w:w="568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3,601,168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3,099,761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501,407</w:t>
            </w:r>
          </w:p>
        </w:tc>
        <w:tc>
          <w:tcPr>
            <w:tcW w:w="100" w:type="dxa"/>
            <w:vAlign w:val="bottom"/>
          </w:tcPr>
          <w:p>
            <w:pPr>
              <w:spacing w:after="0"/>
              <w:rPr>
                <w:sz w:val="14"/>
                <w:szCs w:val="14"/>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3"/>
                <w:szCs w:val="13"/>
                <w:color w:val="auto"/>
                <w:w w:val="87"/>
              </w:rPr>
              <w:t>16 %</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bullet points provide further information regarding the composition of our deposit portfolio as of June 30, 2023:</w:t>
      </w:r>
    </w:p>
    <w:p>
      <w:pPr>
        <w:spacing w:after="0" w:line="12"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balance of uninsured deposits was $913.2 million, or 25.4% of total deposits, which includes $341.9 million of collateralized deposits to municipalities.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balance of brokered deposits was $232.5 million, or 6.5% of total deposits.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Total deposits are evenly distributed between commercial and consumer depositors.</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average balance of our deposit accounts was $32,000.</w:t>
      </w:r>
    </w:p>
    <w:p>
      <w:pPr>
        <w:ind w:left="260" w:hanging="255"/>
        <w:spacing w:after="0"/>
        <w:tabs>
          <w:tab w:leader="none" w:pos="2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largest 25 depositors made up $554.7 million, or 15.4% of total deposits. Of these depositors, $405.0 million, or 11.2% of total deposits, are insured or collateralized deposits to municipalities.</w:t>
      </w:r>
    </w:p>
    <w:p>
      <w:pPr>
        <w:spacing w:after="0" w:line="64"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Specific to time deposits, we held approximately $120.7 million in uninsured CDs as of June 30, 2023. The uninsured amount is an estimate consistent with the methodology used for the Company's regulatory reporting disclosures.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indicates the amount of our CDs, both within and in excess of the $250,000 FDIC insurance limit, by time remaining until maturity as of June 30,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3 Months</w:t>
            </w:r>
          </w:p>
        </w:tc>
        <w:tc>
          <w:tcPr>
            <w:tcW w:w="22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Over 3 to 6</w:t>
            </w: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Over 6 to 12 Months</w:t>
            </w:r>
          </w:p>
        </w:tc>
        <w:tc>
          <w:tcPr>
            <w:tcW w:w="22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Over</w:t>
            </w:r>
          </w:p>
        </w:tc>
        <w:tc>
          <w:tcPr>
            <w:tcW w:w="300" w:type="dxa"/>
            <w:vAlign w:val="bottom"/>
          </w:tcPr>
          <w:p>
            <w:pPr>
              <w:spacing w:after="0"/>
              <w:rPr>
                <w:sz w:val="12"/>
                <w:szCs w:val="12"/>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4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or Less</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Months</w:t>
            </w: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12 Months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CDs less than $250,000</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132,640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252,013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145,894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59,309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589,856</w:t>
            </w:r>
          </w:p>
        </w:tc>
        <w:tc>
          <w:tcPr>
            <w:tcW w:w="0" w:type="dxa"/>
            <w:vAlign w:val="bottom"/>
          </w:tcPr>
          <w:p>
            <w:pPr>
              <w:spacing w:after="0"/>
              <w:rPr>
                <w:sz w:val="1"/>
                <w:szCs w:val="1"/>
                <w:color w:val="auto"/>
              </w:rPr>
            </w:pPr>
          </w:p>
        </w:tc>
      </w:tr>
      <w:tr>
        <w:trPr>
          <w:trHeight w:val="168"/>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CDs of $250,000 or more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14,241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48,354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49,699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8,372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120,666</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Total certificates of deposit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146,881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300,367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195,593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67,681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4" w:right="319" w:bottom="1440" w:gutter="0" w:footer="0" w:header="0"/>
        </w:sectPr>
      </w:pPr>
    </w:p>
    <w:bookmarkStart w:id="37" w:name="page38"/>
    <w:bookmarkEnd w:id="37"/>
    <w:p>
      <w:pPr>
        <w:jc w:val="both"/>
        <w:spacing w:after="0" w:line="325" w:lineRule="auto"/>
        <w:rPr>
          <w:sz w:val="20"/>
          <w:szCs w:val="20"/>
          <w:color w:val="auto"/>
        </w:rPr>
      </w:pPr>
      <w:r>
        <w:rPr>
          <w:rFonts w:ascii="Arial" w:cs="Arial" w:eastAsia="Arial" w:hAnsi="Arial"/>
          <w:sz w:val="11"/>
          <w:szCs w:val="11"/>
          <w:b w:val="1"/>
          <w:bCs w:val="1"/>
          <w:i w:val="1"/>
          <w:iCs w:val="1"/>
          <w:color w:val="auto"/>
        </w:rPr>
        <w:t xml:space="preserve">Borrowings. </w:t>
      </w:r>
      <w:r>
        <w:rPr>
          <w:rFonts w:ascii="Arial" w:cs="Arial" w:eastAsia="Arial" w:hAnsi="Arial"/>
          <w:sz w:val="11"/>
          <w:szCs w:val="11"/>
          <w:color w:val="auto"/>
        </w:rPr>
        <w:t>Although deposits are our primary source of funds, we may utilize borrowings to manage interest rate risk or as a cost-effective source of funds. Our borrowings typically consist of advances from the FHLB</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Atlanta and FRB. We may obtain advances from the FHLB of Atlanta upon the security of certain of our commercial and residential real estate loans and/or securities as well as obtain advances from the FRB upon the security of certain of our commercial and consumer loans. These advances may be made pursuant to several different credit programs, each of which has its own interest rate, range of maturities and call features.</w:t>
      </w:r>
    </w:p>
    <w:p>
      <w:pPr>
        <w:spacing w:after="0" w:line="6"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In addition to borrowings deemed necessary to address funding needs, as a result of our merger with Quantum, we assumed $11.3 million of junior subordinated debentures, which carried a purchase accounting discount of $1.4 million as of June 30, 2023. See "Note 10 – Borrowings" of the Notes to the Consolidated Financial Statements included in Item 8 of this Form 10-K for discussion of the origin and terms of the debt.</w:t>
      </w:r>
    </w:p>
    <w:p>
      <w:pPr>
        <w:spacing w:after="0"/>
        <w:rPr>
          <w:sz w:val="20"/>
          <w:szCs w:val="20"/>
          <w:color w:val="auto"/>
        </w:rPr>
      </w:pPr>
      <w:r>
        <w:rPr>
          <w:rFonts w:ascii="Arial" w:cs="Arial" w:eastAsia="Arial" w:hAnsi="Arial"/>
          <w:sz w:val="13"/>
          <w:szCs w:val="13"/>
          <w:color w:val="auto"/>
        </w:rPr>
        <w:t>The following tables set forth information regarding our borrowings at the end of and during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3"/>
                <w:szCs w:val="13"/>
                <w:b w:val="1"/>
                <w:bCs w:val="1"/>
                <w:color w:val="auto"/>
              </w:rPr>
              <w:t>Year Ended June 30,</w:t>
            </w:r>
          </w:p>
        </w:tc>
      </w:tr>
      <w:tr>
        <w:trPr>
          <w:trHeight w:val="3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52"/>
        </w:trPr>
        <w:tc>
          <w:tcPr>
            <w:tcW w:w="8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Average balances</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8360" w:type="dxa"/>
            <w:vAlign w:val="bottom"/>
          </w:tcPr>
          <w:p>
            <w:pPr>
              <w:ind w:left="80"/>
              <w:spacing w:after="0"/>
              <w:rPr>
                <w:sz w:val="20"/>
                <w:szCs w:val="20"/>
                <w:color w:val="auto"/>
              </w:rPr>
            </w:pPr>
            <w:r>
              <w:rPr>
                <w:rFonts w:ascii="Arial" w:cs="Arial" w:eastAsia="Arial" w:hAnsi="Arial"/>
                <w:sz w:val="13"/>
                <w:szCs w:val="13"/>
                <w:color w:val="auto"/>
              </w:rPr>
              <w:t>Junior subordinated debentures</w:t>
            </w:r>
          </w:p>
        </w:tc>
        <w:tc>
          <w:tcPr>
            <w:tcW w:w="220" w:type="dxa"/>
            <w:vAlign w:val="bottom"/>
            <w:gridSpan w:val="2"/>
          </w:tcPr>
          <w:p>
            <w:pPr>
              <w:jc w:val="right"/>
              <w:ind w:right="140"/>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3,788</w:t>
            </w:r>
          </w:p>
        </w:tc>
        <w:tc>
          <w:tcPr>
            <w:tcW w:w="100" w:type="dxa"/>
            <w:vAlign w:val="bottom"/>
          </w:tcPr>
          <w:p>
            <w:pPr>
              <w:spacing w:after="0"/>
              <w:rPr>
                <w:sz w:val="14"/>
                <w:szCs w:val="14"/>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advances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54,005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38,370</w:t>
            </w:r>
          </w:p>
        </w:tc>
      </w:tr>
      <w:tr>
        <w:trPr>
          <w:trHeight w:val="168"/>
        </w:trPr>
        <w:tc>
          <w:tcPr>
            <w:tcW w:w="8360" w:type="dxa"/>
            <w:vAlign w:val="bottom"/>
          </w:tcPr>
          <w:p>
            <w:pPr>
              <w:ind w:left="80"/>
              <w:spacing w:after="0"/>
              <w:rPr>
                <w:sz w:val="20"/>
                <w:szCs w:val="20"/>
                <w:color w:val="auto"/>
              </w:rPr>
            </w:pPr>
            <w:r>
              <w:rPr>
                <w:rFonts w:ascii="Arial" w:cs="Arial" w:eastAsia="Arial" w:hAnsi="Arial"/>
                <w:sz w:val="13"/>
                <w:szCs w:val="13"/>
                <w:color w:val="auto"/>
              </w:rPr>
              <w:t>FRB advances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11,662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5,006</w:t>
            </w: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Revolving lines of credit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7,717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8"/>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Weighted average interest rate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Junior subordinated debentures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8.63 %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8"/>
        </w:trPr>
        <w:tc>
          <w:tcPr>
            <w:tcW w:w="8360" w:type="dxa"/>
            <w:vAlign w:val="bottom"/>
          </w:tcPr>
          <w:p>
            <w:pPr>
              <w:ind w:left="80"/>
              <w:spacing w:after="0"/>
              <w:rPr>
                <w:sz w:val="20"/>
                <w:szCs w:val="20"/>
                <w:color w:val="auto"/>
              </w:rPr>
            </w:pPr>
            <w:r>
              <w:rPr>
                <w:rFonts w:ascii="Arial" w:cs="Arial" w:eastAsia="Arial" w:hAnsi="Arial"/>
                <w:sz w:val="13"/>
                <w:szCs w:val="13"/>
                <w:color w:val="auto"/>
              </w:rPr>
              <w:t>FHLB advances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0.16</w:t>
            </w: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FRB advances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0.38</w:t>
            </w:r>
          </w:p>
        </w:tc>
      </w:tr>
      <w:tr>
        <w:trPr>
          <w:trHeight w:val="165"/>
        </w:trPr>
        <w:tc>
          <w:tcPr>
            <w:tcW w:w="8360" w:type="dxa"/>
            <w:vAlign w:val="bottom"/>
          </w:tcPr>
          <w:p>
            <w:pPr>
              <w:ind w:left="80"/>
              <w:spacing w:after="0"/>
              <w:rPr>
                <w:sz w:val="20"/>
                <w:szCs w:val="20"/>
                <w:color w:val="auto"/>
              </w:rPr>
            </w:pPr>
            <w:r>
              <w:rPr>
                <w:rFonts w:ascii="Arial" w:cs="Arial" w:eastAsia="Arial" w:hAnsi="Arial"/>
                <w:sz w:val="13"/>
                <w:szCs w:val="13"/>
                <w:color w:val="auto"/>
              </w:rPr>
              <w:t>Revolving lines of credit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8.59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257"/>
        </w:trPr>
        <w:tc>
          <w:tcPr>
            <w:tcW w:w="836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2023</w:t>
            </w:r>
          </w:p>
        </w:tc>
        <w:tc>
          <w:tcPr>
            <w:tcW w:w="200" w:type="dxa"/>
            <w:vAlign w:val="bottom"/>
          </w:tcPr>
          <w:p>
            <w:pPr>
              <w:spacing w:after="0"/>
              <w:rPr>
                <w:sz w:val="22"/>
                <w:szCs w:val="22"/>
                <w:color w:val="auto"/>
              </w:rPr>
            </w:pPr>
          </w:p>
        </w:tc>
        <w:tc>
          <w:tcPr>
            <w:tcW w:w="1200" w:type="dxa"/>
            <w:vAlign w:val="bottom"/>
          </w:tcPr>
          <w:p>
            <w:pPr>
              <w:jc w:val="right"/>
              <w:ind w:right="256"/>
              <w:spacing w:after="0"/>
              <w:rPr>
                <w:sz w:val="20"/>
                <w:szCs w:val="20"/>
                <w:color w:val="auto"/>
              </w:rPr>
            </w:pPr>
            <w:r>
              <w:rPr>
                <w:rFonts w:ascii="Arial" w:cs="Arial" w:eastAsia="Arial" w:hAnsi="Arial"/>
                <w:sz w:val="13"/>
                <w:szCs w:val="13"/>
                <w:b w:val="1"/>
                <w:bCs w:val="1"/>
                <w:color w:val="auto"/>
              </w:rPr>
              <w:t>June 30, 2022</w:t>
            </w:r>
          </w:p>
        </w:tc>
      </w:tr>
      <w:tr>
        <w:trPr>
          <w:trHeight w:val="152"/>
        </w:trPr>
        <w:tc>
          <w:tcPr>
            <w:tcW w:w="83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outstanding at end of period</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68"/>
        </w:trPr>
        <w:tc>
          <w:tcPr>
            <w:tcW w:w="8360" w:type="dxa"/>
            <w:vAlign w:val="bottom"/>
          </w:tcPr>
          <w:p>
            <w:pPr>
              <w:ind w:left="80"/>
              <w:spacing w:after="0"/>
              <w:rPr>
                <w:sz w:val="20"/>
                <w:szCs w:val="20"/>
                <w:color w:val="auto"/>
              </w:rPr>
            </w:pPr>
            <w:r>
              <w:rPr>
                <w:rFonts w:ascii="Arial" w:cs="Arial" w:eastAsia="Arial" w:hAnsi="Arial"/>
                <w:sz w:val="13"/>
                <w:szCs w:val="13"/>
                <w:color w:val="auto"/>
              </w:rPr>
              <w:t>Junior subordinated debentures</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9,971</w:t>
            </w:r>
          </w:p>
        </w:tc>
        <w:tc>
          <w:tcPr>
            <w:tcW w:w="100" w:type="dxa"/>
            <w:vAlign w:val="bottom"/>
          </w:tcPr>
          <w:p>
            <w:pPr>
              <w:spacing w:after="0"/>
              <w:rPr>
                <w:sz w:val="14"/>
                <w:szCs w:val="14"/>
                <w:color w:val="auto"/>
              </w:rPr>
            </w:pPr>
          </w:p>
        </w:tc>
        <w:tc>
          <w:tcPr>
            <w:tcW w:w="200" w:type="dxa"/>
            <w:vAlign w:val="bottom"/>
          </w:tcPr>
          <w:p>
            <w:pPr>
              <w:jc w:val="right"/>
              <w:ind w:right="6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advances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8"/>
        </w:trPr>
        <w:tc>
          <w:tcPr>
            <w:tcW w:w="8360" w:type="dxa"/>
            <w:vAlign w:val="bottom"/>
          </w:tcPr>
          <w:p>
            <w:pPr>
              <w:ind w:left="80"/>
              <w:spacing w:after="0"/>
              <w:rPr>
                <w:sz w:val="20"/>
                <w:szCs w:val="20"/>
                <w:color w:val="auto"/>
              </w:rPr>
            </w:pPr>
            <w:r>
              <w:rPr>
                <w:rFonts w:ascii="Arial" w:cs="Arial" w:eastAsia="Arial" w:hAnsi="Arial"/>
                <w:sz w:val="13"/>
                <w:szCs w:val="13"/>
                <w:color w:val="auto"/>
              </w:rPr>
              <w:t>FRB advances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257,000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Revolving lines of credit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20,263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8"/>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Weighted average interest rate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Junior subordinated debentures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8"/>
        </w:trPr>
        <w:tc>
          <w:tcPr>
            <w:tcW w:w="8360" w:type="dxa"/>
            <w:vAlign w:val="bottom"/>
          </w:tcPr>
          <w:p>
            <w:pPr>
              <w:ind w:left="80"/>
              <w:spacing w:after="0"/>
              <w:rPr>
                <w:sz w:val="20"/>
                <w:szCs w:val="20"/>
                <w:color w:val="auto"/>
              </w:rPr>
            </w:pPr>
            <w:r>
              <w:rPr>
                <w:rFonts w:ascii="Arial" w:cs="Arial" w:eastAsia="Arial" w:hAnsi="Arial"/>
                <w:sz w:val="13"/>
                <w:szCs w:val="13"/>
                <w:color w:val="auto"/>
              </w:rPr>
              <w:t>FHLB advances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8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FRB advances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5"/>
        </w:trPr>
        <w:tc>
          <w:tcPr>
            <w:tcW w:w="8360" w:type="dxa"/>
            <w:vAlign w:val="bottom"/>
          </w:tcPr>
          <w:p>
            <w:pPr>
              <w:ind w:left="80"/>
              <w:spacing w:after="0"/>
              <w:rPr>
                <w:sz w:val="20"/>
                <w:szCs w:val="20"/>
                <w:color w:val="auto"/>
              </w:rPr>
            </w:pPr>
            <w:r>
              <w:rPr>
                <w:rFonts w:ascii="Arial" w:cs="Arial" w:eastAsia="Arial" w:hAnsi="Arial"/>
                <w:sz w:val="13"/>
                <w:szCs w:val="13"/>
                <w:color w:val="auto"/>
              </w:rPr>
              <w:t>Revolving lines of credit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8.75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w:t>
            </w:r>
          </w:p>
        </w:tc>
      </w:tr>
    </w:tbl>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All qualifying one-to-four family loans, HELOCs, commercial real estate loans, and FHLB of Atlanta stock are pledged as collateral to secure outstanding FHLB advances while commercial construction, indirect auto, and municipal leases are pledged as collateral to secure outstanding FRB advances. At June 30, 2023 and 2022, the Company had the ability to borrow $22,673 and $277,561, respectively, through FHLB advances and $91,316 and $68,230, respectively, through the unused portion of a line of credit with the FRB. During the year ended June 30, 2021, the Company paid $22,690 in prepayment penalties on FHLB advances. No such penalties were incurred during the years ended June 30, 2023 and 2022.</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At June 30, 2023 and 2022, the Company maintained revolving lines of credit with three unaffiliated banks, the unused portion of which totaled $144,737 and $120,000, respectively. At June 30, 2023, HomeTrust had drawn $20,263 on a $40,000 revolving line of credit which bears interest at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prime rate plus 50 basis points, maturing on January 30, 2024, although the term may be extended for an additional year two times if no events of default have occurred.</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Resources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At June 30, 2023, stockholders' equity totaled $471.2 million, compared to $388.8 million at June 30, 2022, an increase of $82.3 million, or 21.2%. Activity for the fiscal year ended June 30, 2023 included $44.6 million in net income, $37.7 million in stock issued in connection with the Company's merger with Quantum, $8.3 million in stock-based compensation and stock option exercises, offset by $6.2 million in cash dividends declared and a $1.7 million decrease in accumulated other comprehensive loss due to increases in market interest rates.</w:t>
      </w:r>
    </w:p>
    <w:p>
      <w:pPr>
        <w:spacing w:after="0" w:line="42"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As of June 30, 2023, the Bank was considered "well capitalized" in accordance with its regulatory capital guidelines and exceeded all regulatory capital requirements. See “Business – How We are Regulated” included in Item 1 and “Note 18 – Regulatory Capital Matters” of the Notes to the Consolidated Financial Statements included in Item 8 of this Form 10-K for additional details on our capital requirements.</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Management</w:t>
      </w:r>
    </w:p>
    <w:p>
      <w:pPr>
        <w:spacing w:after="0" w:line="35"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1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addition to these primary sources of funds, management has several secondary sources available to meet potential funding requirements as outlined in the "Comparison of Financial Condition at June 30, 2023 and June 30, 2022 – Borrowings" section above. Additionally, we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2"/>
          <w:szCs w:val="12"/>
          <w:color w:val="auto"/>
        </w:rPr>
        <w:t>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June 30, 2023, brokered deposits totaled $232.5 million, or 6.5%, of total deposits.</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June 30, 2023, we (on an unconsolidated basis) had liquid assets of $0.9 million.</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the Bank level, we use our sources of funds primarily to meet our ongoing commitments, pay maturing deposits and fund withdrawals, and to fund loan commitments. At June 30, 2023, the total approved loan commitments and unused lines of credit outstanding amounted to $307.2 million and $608.2 million, respectively, as compared to $417.6 million and $485.2 million as of June 30, 2022. Certificates of deposit scheduled to mature in one year or less at June 30, 2023 totaled $642.8 million. It is management's policy to manage deposit rates that are competitive with other local financial institutions. Based on this strategy, we believe that a majority of maturing deposits will remain with us.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Activities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17 – Commitments and Contingencies” of the Notes to Consolidated Financial Statements included in Item 8 of this Form 10-K.</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Asset/Liability Management and Interest Rate Risk</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b w:val="1"/>
          <w:bCs w:val="1"/>
          <w:i w:val="1"/>
          <w:iCs w:val="1"/>
          <w:color w:val="auto"/>
        </w:rPr>
        <w:t xml:space="preserve">Our Risk When Interest Rates Change. </w:t>
      </w:r>
      <w:r>
        <w:rPr>
          <w:rFonts w:ascii="Arial" w:cs="Arial" w:eastAsia="Arial" w:hAnsi="Arial"/>
          <w:sz w:val="12"/>
          <w:szCs w:val="12"/>
          <w:color w:val="auto"/>
        </w:rPr>
        <w:t>The rates of interest we earn on assets and pay on liabilities generally are established contractually for a period of time. Market interest rates change over time. Our loans generally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have longer maturities than our deposits. Accordingly, our results of operations, like those of other financial institutions, are impacted by changes in interest rates and the interest rate sensitivity of our assets and liabilities. The risk associated with changes in interest rates and our ability to adapt to these changes is known as interest rate risk and is our most significant market risk.</w:t>
      </w:r>
    </w:p>
    <w:p>
      <w:pPr>
        <w:spacing w:after="0" w:line="5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b w:val="1"/>
          <w:bCs w:val="1"/>
          <w:i w:val="1"/>
          <w:iCs w:val="1"/>
          <w:color w:val="auto"/>
        </w:rPr>
        <w:t xml:space="preserve">How We Measure Our Risk of Interest Rate Changes. </w:t>
      </w:r>
      <w:r>
        <w:rPr>
          <w:rFonts w:ascii="Arial" w:cs="Arial" w:eastAsia="Arial" w:hAnsi="Arial"/>
          <w:sz w:val="12"/>
          <w:szCs w:val="12"/>
          <w:color w:val="auto"/>
        </w:rPr>
        <w:t>As part of our process to manage our exposure to changes in interest rates and comply with applicable regulations, we monitor our interest rate risk. In monitoring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interest rate risk we continually analyze and manage assets and liabilities based on market conditions, their payment streams and interest rates, the timing of their maturities, their sensitivity to actual or potential changes in market interest rates, and interest rate sensitivities of our non-maturity deposits with respect to interest rates paid and the level of balances. The Board of Directors sets the asset and liability policy of HomeTrust Bank, which is implemented by management and an asset/liability committee whose members include certain members of senior management.</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purpose of this committee is to communicate, coordinate and control asset/liability management consistent with our business plan and Board approved policies. The committee establishes and monitors the volume and mix of assets and funding sources taking into account relative costs and spreads, interest rate sensitivity and liquidity needs. The objectives are to manage assets and funding sources to produce results that are consistent with liquidity, capital adequacy, growth, risk, and profitability goals.</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committee generally meets on a quarterly basis to review, among other things, economic conditions and interest rate outlook, current and projected liquidity needs and capital position, anticipated changes in the volume and mix of assets and liabilities and interest rate risk exposure limits versus current projections pursuant to net present value of portfolio equity analysis and income simulations. The committee recommends strategy changes based on this review. The committee is responsible for reviewing and reporting on the effects of the policy implementations and strategies to the Board of Directors at least quarterly.</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Among the techniques we have used at various times to manage interest rate risk are: (i) increasing our portfolio of hybrid and adjustable-rate one-to-four family residential loans and commercial loans; (ii) maintaining a strong capital position, which provides for a favorable level of interest-earning assets relative to interest-bearing liabilities; and (iii) emphasizing less interest rate sensitive and lower-costing “core deposits.” We also maintain a portfolio of short-term or adjustable-rate assets and use fixed-rate FHLB advances and brokered deposits to extend the term to repricing of our liabilities.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consider the relatively short duration of our deposits in our overall asset/liability management process. As short-term rates increase, we have assets and liabilities that increase with the market. This is reflected in the change in our PVE when rates increase (see the table below). PVE is defined as the net present value of our existing assets and liabilities. In addition, we have historically demonstrated an ability to maintain retail deposits through various interest rate cycles. If local retail deposit rates increase dramatically, we also have access to wholesale funding through our lines of credit with the FHLB and FRB and the brokered deposit market to replace retail deposits, as needed.</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Depending on the level of general interest rates, the relationship between long- and short-term interest rates, market conditions, and competitive factors, the committee may in the future determine to increase our interest rate risk position somewhat in order to maintain or increase our net interest margin. In particular, during certain periods of stable or declining interest rates, we believe that the increased net interest income resulting from a mismatch in the maturity of our assets and liabilities portfolios may provide high enough returns to justify increased exposure to sudden and unexpected increases in interest rates. As a result of this philosophy, our results of operations and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auto"/>
        </w:rPr>
        <w:t>economic value of our equity will remain vulnerable to increases in interest rates and to declines due to differences between long- and short-term interest rates.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committee regularly reviews interest rate risk by forecasting the impact of alternative interest rate environments on net interest income and our PVE. The committee also evaluates these impacts against the potential changes in net interest income and market value of our portfolio equity that are monitored by the Board of Directors of HomeTrust Bank generally on a quarterly basis.</w:t>
      </w:r>
    </w:p>
    <w:p>
      <w:pPr>
        <w:spacing w:after="0" w:line="41"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Our asset/liability management strategy sets limits on the change in PVE given certain changes in interest rates. The table presented here, as of June 30, 2023, is forward-looking information about our sensitivity to changes in interest rates. The table incorporates data from an independent service, as it relates to maturity repricing and repayment/withdrawal of interest-earning assets and interest-bearing liabilities. Interest rate risk is measured by changes in PVE for instantaneous parallel shifts in the yield curve up and down 400 basis points. An increase in rates would increase our PVE because the repricing of nonmaturing deposits tend to lag behind the increase in market rates. This positive impact is partially offset by the negative effect from our loans with interest rate floors which will not adjust until such time as a loan’s current interest rate adjusts to an increase in market rates which exceeds the interest rate floor. Conversely, in a falling interest rate environment these interest rate floors will assist in maintaining our net interest income. As of June 30, 2023, our loans with interest rate floors totaled approximately $640.1 million, or 17.5% of our total loan portfolio, and had a weighted average floor rate of 4.80%, of which $26.5 million were at their floor rate.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2023</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6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9"/>
              </w:rPr>
              <w:t>Change in Interest</w:t>
            </w:r>
          </w:p>
        </w:tc>
        <w:tc>
          <w:tcPr>
            <w:tcW w:w="14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820" w:type="dxa"/>
            <w:vAlign w:val="bottom"/>
            <w:tcBorders>
              <w:top w:val="single" w:sz="8" w:color="auto"/>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Present Value Equity (Dollars in Thousands)</w:t>
            </w:r>
          </w:p>
        </w:tc>
        <w:tc>
          <w:tcPr>
            <w:tcW w:w="17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r>
      <w:tr>
        <w:trPr>
          <w:trHeight w:val="158"/>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Rates in Basis Points</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2240" w:type="dxa"/>
            <w:vAlign w:val="bottom"/>
            <w:tcBorders>
              <w:bottom w:val="single" w:sz="8" w:color="auto"/>
            </w:tcBorders>
          </w:tcPr>
          <w:p>
            <w:pPr>
              <w:ind w:left="840"/>
              <w:spacing w:after="0" w:line="146" w:lineRule="exact"/>
              <w:rPr>
                <w:sz w:val="20"/>
                <w:szCs w:val="20"/>
                <w:color w:val="auto"/>
              </w:rPr>
            </w:pPr>
            <w:r>
              <w:rPr>
                <w:rFonts w:ascii="Arial" w:cs="Arial" w:eastAsia="Arial" w:hAnsi="Arial"/>
                <w:sz w:val="13"/>
                <w:szCs w:val="13"/>
                <w:b w:val="1"/>
                <w:bCs w:val="1"/>
                <w:color w:val="auto"/>
              </w:rPr>
              <w:t>PVE Ratio</w:t>
            </w:r>
          </w:p>
        </w:tc>
      </w:tr>
      <w:tr>
        <w:trPr>
          <w:trHeight w:val="163"/>
        </w:trPr>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+ 400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29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1,076,665</w:t>
            </w:r>
          </w:p>
        </w:tc>
        <w:tc>
          <w:tcPr>
            <w:tcW w:w="5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116,201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ind w:left="1960"/>
              <w:spacing w:after="0"/>
              <w:rPr>
                <w:sz w:val="20"/>
                <w:szCs w:val="20"/>
                <w:color w:val="auto"/>
              </w:rPr>
            </w:pPr>
            <w:r>
              <w:rPr>
                <w:rFonts w:ascii="Arial" w:cs="Arial" w:eastAsia="Arial" w:hAnsi="Arial"/>
                <w:sz w:val="13"/>
                <w:szCs w:val="13"/>
                <w:color w:val="auto"/>
                <w:w w:val="87"/>
              </w:rPr>
              <w:t>25 %</w:t>
            </w:r>
          </w:p>
        </w:tc>
      </w:tr>
      <w:tr>
        <w:trPr>
          <w:trHeight w:val="168"/>
        </w:trPr>
        <w:tc>
          <w:tcPr>
            <w:tcW w:w="2160" w:type="dxa"/>
            <w:vAlign w:val="bottom"/>
          </w:tcPr>
          <w:p>
            <w:pPr>
              <w:jc w:val="center"/>
              <w:spacing w:after="0"/>
              <w:rPr>
                <w:sz w:val="20"/>
                <w:szCs w:val="20"/>
                <w:color w:val="auto"/>
              </w:rPr>
            </w:pPr>
            <w:r>
              <w:rPr>
                <w:rFonts w:ascii="Arial" w:cs="Arial" w:eastAsia="Arial" w:hAnsi="Arial"/>
                <w:sz w:val="13"/>
                <w:szCs w:val="13"/>
                <w:color w:val="auto"/>
                <w:w w:val="91"/>
              </w:rPr>
              <w:t>+ 300</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1,060,765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100,301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right"/>
              <w:ind w:right="9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240" w:type="dxa"/>
            <w:vAlign w:val="bottom"/>
          </w:tcPr>
          <w:p>
            <w:pPr>
              <w:ind w:left="1960"/>
              <w:spacing w:after="0"/>
              <w:rPr>
                <w:sz w:val="20"/>
                <w:szCs w:val="20"/>
                <w:color w:val="auto"/>
              </w:rPr>
            </w:pPr>
            <w:r>
              <w:rPr>
                <w:rFonts w:ascii="Arial" w:cs="Arial" w:eastAsia="Arial" w:hAnsi="Arial"/>
                <w:sz w:val="13"/>
                <w:szCs w:val="13"/>
                <w:color w:val="auto"/>
              </w:rPr>
              <w:t>25</w:t>
            </w:r>
          </w:p>
        </w:tc>
      </w:tr>
      <w:tr>
        <w:trPr>
          <w:trHeight w:val="172"/>
        </w:trPr>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+ 200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1,036,923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76,459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ind w:left="1960"/>
              <w:spacing w:after="0"/>
              <w:rPr>
                <w:sz w:val="20"/>
                <w:szCs w:val="20"/>
                <w:color w:val="auto"/>
              </w:rPr>
            </w:pPr>
            <w:r>
              <w:rPr>
                <w:rFonts w:ascii="Arial" w:cs="Arial" w:eastAsia="Arial" w:hAnsi="Arial"/>
                <w:sz w:val="13"/>
                <w:szCs w:val="13"/>
                <w:color w:val="auto"/>
              </w:rPr>
              <w:t>24</w:t>
            </w:r>
          </w:p>
        </w:tc>
      </w:tr>
      <w:tr>
        <w:trPr>
          <w:trHeight w:val="168"/>
        </w:trPr>
        <w:tc>
          <w:tcPr>
            <w:tcW w:w="2160" w:type="dxa"/>
            <w:vAlign w:val="bottom"/>
          </w:tcPr>
          <w:p>
            <w:pPr>
              <w:jc w:val="center"/>
              <w:spacing w:after="0"/>
              <w:rPr>
                <w:sz w:val="20"/>
                <w:szCs w:val="20"/>
                <w:color w:val="auto"/>
              </w:rPr>
            </w:pPr>
            <w:r>
              <w:rPr>
                <w:rFonts w:ascii="Arial" w:cs="Arial" w:eastAsia="Arial" w:hAnsi="Arial"/>
                <w:sz w:val="13"/>
                <w:szCs w:val="13"/>
                <w:color w:val="auto"/>
                <w:w w:val="91"/>
              </w:rPr>
              <w:t>+ 100</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1,004,576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44,112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right"/>
              <w:ind w:right="9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240" w:type="dxa"/>
            <w:vAlign w:val="bottom"/>
          </w:tcPr>
          <w:p>
            <w:pPr>
              <w:ind w:left="1960"/>
              <w:spacing w:after="0"/>
              <w:rPr>
                <w:sz w:val="20"/>
                <w:szCs w:val="20"/>
                <w:color w:val="auto"/>
              </w:rPr>
            </w:pPr>
            <w:r>
              <w:rPr>
                <w:rFonts w:ascii="Arial" w:cs="Arial" w:eastAsia="Arial" w:hAnsi="Arial"/>
                <w:sz w:val="13"/>
                <w:szCs w:val="13"/>
                <w:color w:val="auto"/>
              </w:rPr>
              <w:t>23</w:t>
            </w:r>
          </w:p>
        </w:tc>
      </w:tr>
      <w:tr>
        <w:trPr>
          <w:trHeight w:val="172"/>
        </w:trPr>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7"/>
              </w:rPr>
              <w:t>Base</w:t>
            </w:r>
          </w:p>
        </w:tc>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960,464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40" w:type="dxa"/>
            <w:vAlign w:val="bottom"/>
            <w:shd w:val="clear" w:color="auto" w:fill="CCEEFF"/>
          </w:tcPr>
          <w:p>
            <w:pPr>
              <w:ind w:left="1960"/>
              <w:spacing w:after="0"/>
              <w:rPr>
                <w:sz w:val="20"/>
                <w:szCs w:val="20"/>
                <w:color w:val="auto"/>
              </w:rPr>
            </w:pPr>
            <w:r>
              <w:rPr>
                <w:rFonts w:ascii="Arial" w:cs="Arial" w:eastAsia="Arial" w:hAnsi="Arial"/>
                <w:sz w:val="13"/>
                <w:szCs w:val="13"/>
                <w:color w:val="auto"/>
              </w:rPr>
              <w:t>22</w:t>
            </w:r>
          </w:p>
        </w:tc>
      </w:tr>
      <w:tr>
        <w:trPr>
          <w:trHeight w:val="168"/>
        </w:trPr>
        <w:tc>
          <w:tcPr>
            <w:tcW w:w="2160" w:type="dxa"/>
            <w:vAlign w:val="bottom"/>
          </w:tcPr>
          <w:p>
            <w:pPr>
              <w:jc w:val="center"/>
              <w:spacing w:after="0"/>
              <w:rPr>
                <w:sz w:val="20"/>
                <w:szCs w:val="20"/>
                <w:color w:val="auto"/>
              </w:rPr>
            </w:pPr>
            <w:r>
              <w:rPr>
                <w:rFonts w:ascii="Arial" w:cs="Arial" w:eastAsia="Arial" w:hAnsi="Arial"/>
                <w:sz w:val="13"/>
                <w:szCs w:val="13"/>
                <w:color w:val="auto"/>
                <w:w w:val="87"/>
              </w:rPr>
              <w:t>- 100</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883,606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(76,858)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right"/>
              <w:ind w:right="5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240" w:type="dxa"/>
            <w:vAlign w:val="bottom"/>
          </w:tcPr>
          <w:p>
            <w:pPr>
              <w:ind w:left="1960"/>
              <w:spacing w:after="0"/>
              <w:rPr>
                <w:sz w:val="20"/>
                <w:szCs w:val="20"/>
                <w:color w:val="auto"/>
              </w:rPr>
            </w:pPr>
            <w:r>
              <w:rPr>
                <w:rFonts w:ascii="Arial" w:cs="Arial" w:eastAsia="Arial" w:hAnsi="Arial"/>
                <w:sz w:val="13"/>
                <w:szCs w:val="13"/>
                <w:color w:val="auto"/>
              </w:rPr>
              <w:t>20</w:t>
            </w:r>
          </w:p>
        </w:tc>
      </w:tr>
      <w:tr>
        <w:trPr>
          <w:trHeight w:val="172"/>
        </w:trPr>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- 200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770,247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(190,217)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ind w:left="1960"/>
              <w:spacing w:after="0"/>
              <w:rPr>
                <w:sz w:val="20"/>
                <w:szCs w:val="20"/>
                <w:color w:val="auto"/>
              </w:rPr>
            </w:pPr>
            <w:r>
              <w:rPr>
                <w:rFonts w:ascii="Arial" w:cs="Arial" w:eastAsia="Arial" w:hAnsi="Arial"/>
                <w:sz w:val="13"/>
                <w:szCs w:val="13"/>
                <w:color w:val="auto"/>
              </w:rPr>
              <w:t>17</w:t>
            </w:r>
          </w:p>
        </w:tc>
      </w:tr>
      <w:tr>
        <w:trPr>
          <w:trHeight w:val="168"/>
        </w:trPr>
        <w:tc>
          <w:tcPr>
            <w:tcW w:w="2160" w:type="dxa"/>
            <w:vAlign w:val="bottom"/>
          </w:tcPr>
          <w:p>
            <w:pPr>
              <w:jc w:val="center"/>
              <w:spacing w:after="0"/>
              <w:rPr>
                <w:sz w:val="20"/>
                <w:szCs w:val="20"/>
                <w:color w:val="auto"/>
              </w:rPr>
            </w:pPr>
            <w:r>
              <w:rPr>
                <w:rFonts w:ascii="Arial" w:cs="Arial" w:eastAsia="Arial" w:hAnsi="Arial"/>
                <w:sz w:val="13"/>
                <w:szCs w:val="13"/>
                <w:color w:val="auto"/>
                <w:w w:val="87"/>
              </w:rPr>
              <w:t>- 300</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618,481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(341,983)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right"/>
              <w:ind w:right="56"/>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2240" w:type="dxa"/>
            <w:vAlign w:val="bottom"/>
          </w:tcPr>
          <w:p>
            <w:pPr>
              <w:ind w:left="1960"/>
              <w:spacing w:after="0"/>
              <w:rPr>
                <w:sz w:val="20"/>
                <w:szCs w:val="20"/>
                <w:color w:val="auto"/>
              </w:rPr>
            </w:pPr>
            <w:r>
              <w:rPr>
                <w:rFonts w:ascii="Arial" w:cs="Arial" w:eastAsia="Arial" w:hAnsi="Arial"/>
                <w:sz w:val="13"/>
                <w:szCs w:val="13"/>
                <w:color w:val="auto"/>
              </w:rPr>
              <w:t>13</w:t>
            </w:r>
          </w:p>
        </w:tc>
      </w:tr>
      <w:tr>
        <w:trPr>
          <w:trHeight w:val="172"/>
        </w:trPr>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- 400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559,706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(400,758)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ind w:left="1960"/>
              <w:spacing w:after="0"/>
              <w:rPr>
                <w:sz w:val="20"/>
                <w:szCs w:val="20"/>
                <w:color w:val="auto"/>
              </w:rPr>
            </w:pPr>
            <w:r>
              <w:rPr>
                <w:rFonts w:ascii="Arial" w:cs="Arial" w:eastAsia="Arial" w:hAnsi="Arial"/>
                <w:sz w:val="13"/>
                <w:szCs w:val="13"/>
                <w:color w:val="auto"/>
              </w:rPr>
              <w:t>12</w:t>
            </w:r>
          </w:p>
        </w:tc>
      </w:tr>
    </w:tbl>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In evaluating our exposure to interest rate movements, certain shortcomings inherent in the method of analysis presented in the foregoing table must be considered. For example, although certain assets and liabilities may have similar maturities or repricing periods, they may react in different degrees to changes in market interest rates. Also, the interest rates on certain types of assets and liabilities may fluctuate in advance of changes in market interest rates, while interest rates on other types may lag behind changes in interest rates. Additionally, certain assets, such as adjustable rate mortgages, have features which restrict changes in interest rates on a short-term basis and over the life of the asset. Further, in the event of a significant change in interest rates, prepayment and early withdrawal levels would likely deviate significantly from those assumed above. Finally, the ability of many borrowers to service their debt may decrease in the event of an interest rate increase. We consider all of these factors in monitoring our exposure to interest rate risk.</w:t>
      </w:r>
    </w:p>
    <w:p>
      <w:pPr>
        <w:spacing w:after="0" w:line="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Board of Directors and management of HomeTrust Bank believe that certain factors afford HomeTrust Bank the ability to operate successfully despite its exposure to interest rate risk. HomeTrust Bank may manage its interest rate risk by originating and retaining adjustable rate loans in its portfolio, by borrowing from the FHLB to match the duration of our funding to the duration of originated fixed rate one-to-four family and commercial loans held in portfolio and by selling on an ongoing basis certain currently originated longer term fixed rate one-to-four family real estate loans.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Market risk is the risk of loss from adverse changes in market prices and rates. Our market risk arises principally from interest rate risk inherent in our lending, investing, deposit and borrowings activities. Management actively monitors and manages its interest rate risk exposure. In addition to other risks that we manage in the normal course of business, such as credit quality and liquidity, management considers interest rate risk to be a significant market risk that could have a potentially material effect on our financial condition and result of operations. The information contained in Item 7, “Management’s Discussion and Analysis of Financial Condition and Results of Operations – Asset Liability Management and Interest Rate Risk” in this Form 10-K is incorporated herein by reference.</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HomeTrust Bancshares, Inc. and Subsidiary</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the Consolidated Financial Statements and Internal Control Over Financial Reporting</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We have audited the accompanying consolidated balance sheets of HomeTrust Bancshares, Inc. and Subsidiary (the “Company”) as of June 30, 2023 and 2022, the related consolidated statements of income, comprehensive income, changes in stockholders’ equity, and cash flows, for each of the years in the three-year period ended June 30, 2023, and the related notes (collectively referred to as the “consolidated financial statements”). We have also audited the Company’s internal control over financial reporting as of June 30, 2023,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(“COSO”).</w:t>
      </w:r>
    </w:p>
    <w:p>
      <w:pPr>
        <w:spacing w:after="0" w:line="20"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 xml:space="preserve">In our opinion, the consolidated financial statements present fairly, in all material respects, the financial position of the Company as of June 30, 2023 and 2022, and the results of its operations and its cash flows for each of the years in the three-year period ended June 30, 2023, in conformity with accounting principles generally accepted in the United States of America. Also in our opinion, the Company maintained, in all material respects, effective internal control over financial reporting as of June 30, 2023,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COSO.</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including in the accompanying Report of Management on Internal Control over Financial Reporting. Our responsibility is to express an opinion on the Company’s consolidated financial statements and an opinion on internal control over financial reporting based on our audits.</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We are a public accounting firm registered with the Public Company Accounting Oversight Board (United States “PCAOB”) and are required to be independent with respect to the Company in accordance with the U.S.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federal securities laws and the applicable rules and regulations of the Securities and Exchange Commission and the PCAOB.</w:t>
      </w:r>
    </w:p>
    <w:p>
      <w:pPr>
        <w:spacing w:after="0" w:line="42"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aspects.</w:t>
      </w:r>
    </w:p>
    <w:p>
      <w:pPr>
        <w:spacing w:after="0" w:line="6"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described in management’s report on internal control over financial reporting, the scope of management’s assessment of internal control over financial reporting as of June 30, 2023, has excluded Quantum Capital Corp. (“Quantum”) acquired on February 12, 2023. We have also excluded Quantum from the scope of our audit of internal control over financial reporting. Quantum represented 14.3 percent of consolidated total assets as of June 30, 2023.</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31"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jc w:val="both"/>
        <w:spacing w:after="0" w:line="2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critical audit matters communicated below are matters arising from the current-period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audits matter below, providing a separate opinion on the critical audit matters or on the accounts or disclosures to which they relate.</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Allowance for Credit Losses on Loans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described in Note 6 to the consolidated financial statements, the Company’s allowance for credit losses on loans (“ACL”) was $47.2 million as of June 30, 2023. The allowance is estimated by management using information about past events, current conditions and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1" w:name="page42"/>
    <w:bookmarkEnd w:id="41"/>
    <w:p>
      <w:pPr>
        <w:jc w:val="both"/>
        <w:spacing w:after="0" w:line="273" w:lineRule="auto"/>
        <w:rPr>
          <w:sz w:val="20"/>
          <w:szCs w:val="20"/>
          <w:color w:val="auto"/>
        </w:rPr>
      </w:pPr>
      <w:r>
        <w:rPr>
          <w:rFonts w:ascii="Arial" w:cs="Arial" w:eastAsia="Arial" w:hAnsi="Arial"/>
          <w:sz w:val="12"/>
          <w:szCs w:val="12"/>
          <w:color w:val="auto"/>
        </w:rPr>
        <w:t>reasonable and supportable forecasts on the collectability of the loan portfolio. The Company collectively evaluates loan pools that share similar risk characteristics which results in the most significant portion of the ACL. A discounted cash flow method is used to evaluate the cash flows for each loan in each collectively evaluated pool which relies on a periodic tendency to default and absolute loss given default applied to a projective model of the pool’s cash flow while considering prepayment and principal curtailment effects. Management has determined that peer loss data provides the best basis for assessing expected credit losses and has incorporated macroeconomic drivers using a statistical regression modeling methodology, where considered appropriate, to adjust historical loss information for current conditions and reasonable and supportable forecasts. Included in management’s systematic methodology is consideration of the need to qualitatively adjust the ACL for risks not already incorporated within the loss estimation process. The Company considers qualitative adjustments which can either increase or decrease the quantitative model within their qualitative framework.</w:t>
      </w:r>
    </w:p>
    <w:p>
      <w:pPr>
        <w:spacing w:after="0" w:line="1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identified the allowance for credit losses, on loans as a critical audit matter. The principal considerations for our determination included the high degree of judgment and subjectivity related to management’s determination of reasonable and supportable forecasts and the identification and measurement of qualitative adjustments. This required a high degree of auditor effort, specialized skills and knowledge, and significant auditor judgment.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primary procedures we performed to address this critical audit matter included:</w:t>
      </w:r>
    </w:p>
    <w:p>
      <w:pPr>
        <w:spacing w:after="0" w:line="31" w:lineRule="exact"/>
        <w:rPr>
          <w:sz w:val="20"/>
          <w:szCs w:val="20"/>
          <w:color w:val="auto"/>
        </w:rPr>
      </w:pPr>
    </w:p>
    <w:p>
      <w:pPr>
        <w:ind w:left="120" w:hanging="115"/>
        <w:spacing w:after="0"/>
        <w:tabs>
          <w:tab w:leader="none" w:pos="1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obtained an understanding of the Company’s model and process for determining the ACL, and evaluated the design and operating effectiveness of controls relating to the ACL, including:</w:t>
      </w:r>
    </w:p>
    <w:p>
      <w:pPr>
        <w:spacing w:after="0" w:line="30" w:lineRule="exact"/>
        <w:rPr>
          <w:rFonts w:ascii="Arial" w:cs="Arial" w:eastAsia="Arial" w:hAnsi="Arial"/>
          <w:sz w:val="13"/>
          <w:szCs w:val="13"/>
          <w:color w:val="auto"/>
        </w:rPr>
      </w:pPr>
    </w:p>
    <w:p>
      <w:pPr>
        <w:ind w:left="320" w:hanging="124"/>
        <w:spacing w:after="0"/>
        <w:tabs>
          <w:tab w:leader="none" w:pos="3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Controls over the completeness and accuracy of data input into the model used to determine the ACL, and</w:t>
      </w:r>
    </w:p>
    <w:p>
      <w:pPr>
        <w:spacing w:after="0" w:line="30" w:lineRule="exact"/>
        <w:rPr>
          <w:rFonts w:ascii="Arial" w:cs="Arial" w:eastAsia="Arial" w:hAnsi="Arial"/>
          <w:sz w:val="13"/>
          <w:szCs w:val="13"/>
          <w:color w:val="auto"/>
        </w:rPr>
      </w:pPr>
    </w:p>
    <w:p>
      <w:pPr>
        <w:ind w:left="320" w:hanging="124"/>
        <w:spacing w:after="0" w:line="257" w:lineRule="auto"/>
        <w:tabs>
          <w:tab w:leader="none" w:pos="311" w:val="left"/>
        </w:tabs>
        <w:numPr>
          <w:ilvl w:val="1"/>
          <w:numId w:val="21"/>
        </w:numPr>
        <w:rPr>
          <w:rFonts w:ascii="Arial" w:cs="Arial" w:eastAsia="Arial" w:hAnsi="Arial"/>
          <w:sz w:val="13"/>
          <w:szCs w:val="13"/>
          <w:color w:val="auto"/>
        </w:rPr>
      </w:pPr>
      <w:r>
        <w:rPr>
          <w:rFonts w:ascii="Arial" w:cs="Arial" w:eastAsia="Arial" w:hAnsi="Arial"/>
          <w:sz w:val="13"/>
          <w:szCs w:val="13"/>
          <w:color w:val="auto"/>
        </w:rPr>
        <w:t>Controls over management’s review and approval of the ACL, including management’s determination of a reasonable and supportable forecast and qualitative factor adjustments applied within the qualitative framework to address risks not already incorporated within the model.</w:t>
      </w:r>
    </w:p>
    <w:p>
      <w:pPr>
        <w:spacing w:after="0" w:line="8" w:lineRule="exact"/>
        <w:rPr>
          <w:rFonts w:ascii="Arial" w:cs="Arial" w:eastAsia="Arial" w:hAnsi="Arial"/>
          <w:sz w:val="13"/>
          <w:szCs w:val="13"/>
          <w:color w:val="auto"/>
        </w:rPr>
      </w:pPr>
    </w:p>
    <w:p>
      <w:pPr>
        <w:ind w:left="140" w:hanging="135"/>
        <w:spacing w:after="0" w:line="257" w:lineRule="auto"/>
        <w:tabs>
          <w:tab w:leader="none" w:pos="131"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evaluated management’s determination of reasonable and supportable forecasts, including comparing key factors to independent sources, as well as involving our internal specialists in testing the application of forecasts in the model calculation.</w:t>
      </w:r>
    </w:p>
    <w:p>
      <w:pPr>
        <w:spacing w:after="0" w:line="19" w:lineRule="exact"/>
        <w:rPr>
          <w:rFonts w:ascii="Arial" w:cs="Arial" w:eastAsia="Arial" w:hAnsi="Arial"/>
          <w:sz w:val="13"/>
          <w:szCs w:val="13"/>
          <w:color w:val="auto"/>
        </w:rPr>
      </w:pPr>
    </w:p>
    <w:p>
      <w:pPr>
        <w:ind w:left="320" w:hanging="124"/>
        <w:spacing w:after="0" w:line="286" w:lineRule="auto"/>
        <w:tabs>
          <w:tab w:leader="none" w:pos="311" w:val="left"/>
        </w:tabs>
        <w:numPr>
          <w:ilvl w:val="1"/>
          <w:numId w:val="21"/>
        </w:numPr>
        <w:rPr>
          <w:rFonts w:ascii="Arial" w:cs="Arial" w:eastAsia="Arial" w:hAnsi="Arial"/>
          <w:sz w:val="12"/>
          <w:szCs w:val="12"/>
          <w:color w:val="auto"/>
        </w:rPr>
      </w:pPr>
      <w:r>
        <w:rPr>
          <w:rFonts w:ascii="Arial" w:cs="Arial" w:eastAsia="Arial" w:hAnsi="Arial"/>
          <w:sz w:val="12"/>
          <w:szCs w:val="12"/>
          <w:color w:val="auto"/>
        </w:rPr>
        <w:t>We evaluated the reasonableness and adequacy of management’s qualitative factor adjustment framework, including substantively testing management’s identification of risks not already incorporated within the model, the application of qualitative factor adjustments within the framework, and assessing the completeness and accuracy of data utilized in development of the qualitative adjustments.</w:t>
      </w:r>
    </w:p>
    <w:p>
      <w:pPr>
        <w:ind w:left="320" w:hanging="124"/>
        <w:spacing w:after="0" w:line="257" w:lineRule="auto"/>
        <w:tabs>
          <w:tab w:leader="none" w:pos="311" w:val="left"/>
        </w:tabs>
        <w:numPr>
          <w:ilvl w:val="1"/>
          <w:numId w:val="21"/>
        </w:numPr>
        <w:rPr>
          <w:rFonts w:ascii="Arial" w:cs="Arial" w:eastAsia="Arial" w:hAnsi="Arial"/>
          <w:sz w:val="13"/>
          <w:szCs w:val="13"/>
          <w:color w:val="auto"/>
        </w:rPr>
      </w:pPr>
      <w:r>
        <w:rPr>
          <w:rFonts w:ascii="Arial" w:cs="Arial" w:eastAsia="Arial" w:hAnsi="Arial"/>
          <w:sz w:val="13"/>
          <w:szCs w:val="13"/>
          <w:color w:val="auto"/>
        </w:rPr>
        <w:t>We evaluated management’s judgments and assumptions related to the qualitative adjustments for reasonableness by assessing relevant trends in credit quality and evaluating the relationship of the trends to the qualitative adjustments applied to the ACL.</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Merger with Quantum Capital Corp. – Fair Value of Loans and Core Deposit Intangible Acquired</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described in Note 3 to the consolidated financial statements, the Company merged with Quantum Capital Corp. effective February 12, 2023. The Company accounted for this acquisition under the purchase method of accounting. Purchased assets and assumed liabilities are recorded at their respective acquisition date fair values, and identifiable intangible assets are recorded at fair value. Determination of the acquisition date fair values of the assets acquired and liabilities assumed required management to make significant estimates and assumptions. Specifically, a high degree of management judgment is required to determine the fair values of the non-purchased credit deteriorated (“non-PCD”) loan portfolio and the core deposit intangible (“CDI”) acquired in the business combination. The fair values of the acquired non-PCD loans and CDI were $549.4 million and $12.2 million, respectively, as of February 12, 2023.</w:t>
      </w:r>
    </w:p>
    <w:p>
      <w:pPr>
        <w:spacing w:after="0" w:line="25" w:lineRule="exact"/>
        <w:rPr>
          <w:sz w:val="20"/>
          <w:szCs w:val="20"/>
          <w:color w:val="auto"/>
        </w:rPr>
      </w:pPr>
    </w:p>
    <w:p>
      <w:pPr>
        <w:jc w:val="both"/>
        <w:spacing w:after="0" w:line="332" w:lineRule="auto"/>
        <w:rPr>
          <w:sz w:val="20"/>
          <w:szCs w:val="20"/>
          <w:color w:val="auto"/>
        </w:rPr>
      </w:pPr>
      <w:r>
        <w:rPr>
          <w:rFonts w:ascii="Arial" w:cs="Arial" w:eastAsia="Arial" w:hAnsi="Arial"/>
          <w:sz w:val="11"/>
          <w:szCs w:val="11"/>
          <w:color w:val="auto"/>
        </w:rPr>
        <w:t>We identified the determination of the acquisition date fair value of non-PCD loans and CDI as a critical audit matter. The principal considerations for our determination included the high degree of judgment and subjectivity involved in auditing management’s selection of assumptions used to determine fair value. This required a high degree of auditor effort, specialized skills and knowledge, and significant auditor judgment.</w:t>
      </w:r>
    </w:p>
    <w:p>
      <w:pPr>
        <w:spacing w:after="0"/>
        <w:rPr>
          <w:sz w:val="20"/>
          <w:szCs w:val="20"/>
          <w:color w:val="auto"/>
        </w:rPr>
      </w:pPr>
      <w:r>
        <w:rPr>
          <w:rFonts w:ascii="Arial" w:cs="Arial" w:eastAsia="Arial" w:hAnsi="Arial"/>
          <w:sz w:val="13"/>
          <w:szCs w:val="13"/>
          <w:color w:val="auto"/>
        </w:rPr>
        <w:t>The primary procedures we performed to address this critical audit matter included:</w:t>
      </w:r>
    </w:p>
    <w:p>
      <w:pPr>
        <w:spacing w:after="0" w:line="31" w:lineRule="exact"/>
        <w:rPr>
          <w:sz w:val="20"/>
          <w:szCs w:val="20"/>
          <w:color w:val="auto"/>
        </w:rPr>
      </w:pPr>
    </w:p>
    <w:p>
      <w:pPr>
        <w:ind w:left="120" w:hanging="115"/>
        <w:spacing w:after="0"/>
        <w:tabs>
          <w:tab w:leader="none" w:pos="1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obtained an understanding of the Company’s process for determining the fair value of the non-PCD acquired loan portfolio and the CDI resulting from the merger.</w:t>
      </w:r>
    </w:p>
    <w:p>
      <w:pPr>
        <w:spacing w:after="0" w:line="30" w:lineRule="exact"/>
        <w:rPr>
          <w:rFonts w:ascii="Arial" w:cs="Arial" w:eastAsia="Arial" w:hAnsi="Arial"/>
          <w:sz w:val="13"/>
          <w:szCs w:val="13"/>
          <w:color w:val="auto"/>
        </w:rPr>
      </w:pPr>
    </w:p>
    <w:p>
      <w:pPr>
        <w:ind w:left="120" w:hanging="115"/>
        <w:spacing w:after="0"/>
        <w:tabs>
          <w:tab w:leader="none" w:pos="1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evaluated the design and operating effectiveness of controls relating to the valuation of non-PCD acquired loans and CDI, including controls addressing:</w:t>
      </w:r>
    </w:p>
    <w:p>
      <w:pPr>
        <w:spacing w:after="0" w:line="30" w:lineRule="exact"/>
        <w:rPr>
          <w:rFonts w:ascii="Arial" w:cs="Arial" w:eastAsia="Arial" w:hAnsi="Arial"/>
          <w:sz w:val="13"/>
          <w:szCs w:val="13"/>
          <w:color w:val="auto"/>
        </w:rPr>
      </w:pPr>
    </w:p>
    <w:p>
      <w:pPr>
        <w:ind w:left="320" w:hanging="124"/>
        <w:spacing w:after="0"/>
        <w:tabs>
          <w:tab w:leader="none" w:pos="3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Management’s review of the reasonableness of the discount rates, prepayment rates, and credit loss assumptions used in the estimate of the fair value of non-PCD acquired loans.</w:t>
      </w:r>
    </w:p>
    <w:p>
      <w:pPr>
        <w:spacing w:after="0" w:line="30" w:lineRule="exact"/>
        <w:rPr>
          <w:rFonts w:ascii="Arial" w:cs="Arial" w:eastAsia="Arial" w:hAnsi="Arial"/>
          <w:sz w:val="13"/>
          <w:szCs w:val="13"/>
          <w:color w:val="auto"/>
        </w:rPr>
      </w:pPr>
    </w:p>
    <w:p>
      <w:pPr>
        <w:ind w:left="320" w:hanging="124"/>
        <w:spacing w:after="0"/>
        <w:tabs>
          <w:tab w:leader="none" w:pos="3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Management’s review of the reasonableness of the attrition rate and cost assumptions used in the estimate of the fair value of the CDI.</w:t>
      </w:r>
    </w:p>
    <w:p>
      <w:pPr>
        <w:spacing w:after="0" w:line="30" w:lineRule="exact"/>
        <w:rPr>
          <w:rFonts w:ascii="Arial" w:cs="Arial" w:eastAsia="Arial" w:hAnsi="Arial"/>
          <w:sz w:val="13"/>
          <w:szCs w:val="13"/>
          <w:color w:val="auto"/>
        </w:rPr>
      </w:pPr>
    </w:p>
    <w:p>
      <w:pPr>
        <w:ind w:left="320" w:hanging="124"/>
        <w:spacing w:after="0" w:line="272" w:lineRule="auto"/>
        <w:tabs>
          <w:tab w:leader="none" w:pos="311" w:val="left"/>
        </w:tabs>
        <w:numPr>
          <w:ilvl w:val="1"/>
          <w:numId w:val="22"/>
        </w:numPr>
        <w:rPr>
          <w:rFonts w:ascii="Arial" w:cs="Arial" w:eastAsia="Arial" w:hAnsi="Arial"/>
          <w:sz w:val="13"/>
          <w:szCs w:val="13"/>
          <w:color w:val="auto"/>
        </w:rPr>
      </w:pPr>
      <w:r>
        <w:rPr>
          <w:rFonts w:ascii="Arial" w:cs="Arial" w:eastAsia="Arial" w:hAnsi="Arial"/>
          <w:sz w:val="13"/>
          <w:szCs w:val="13"/>
          <w:color w:val="auto"/>
        </w:rPr>
        <w:t>Management’s review of the results of the third-party valuation of the non-PCD acquired loan portfolio and CDI, including the review of the completeness and accuracy of the data inputs used as a basis for the valuations.</w:t>
      </w:r>
    </w:p>
    <w:p>
      <w:pPr>
        <w:ind w:left="120" w:hanging="115"/>
        <w:spacing w:after="0"/>
        <w:tabs>
          <w:tab w:leader="none" w:pos="1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evaluated the completeness and accuracy of data inputs used as a basis for the valuation of the non-PCD loan portfolio and CDI.</w:t>
      </w:r>
    </w:p>
    <w:p>
      <w:pPr>
        <w:spacing w:after="0" w:line="30" w:lineRule="exact"/>
        <w:rPr>
          <w:rFonts w:ascii="Arial" w:cs="Arial" w:eastAsia="Arial" w:hAnsi="Arial"/>
          <w:sz w:val="13"/>
          <w:szCs w:val="13"/>
          <w:color w:val="auto"/>
        </w:rPr>
      </w:pPr>
    </w:p>
    <w:p>
      <w:pPr>
        <w:ind w:left="140" w:hanging="135"/>
        <w:spacing w:after="0" w:line="257" w:lineRule="auto"/>
        <w:tabs>
          <w:tab w:leader="none" w:pos="131"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evaluated, with the assistance of professionals with the appropriate skills and knowledge, the reasonableness of management’s assumptions used in the estimate of the fair value, including, for a selected sample of loans, developing an independent expectation for comparison to management’s fair value of the non-PCD acquired loans.</w:t>
      </w:r>
    </w:p>
    <w:p>
      <w:pPr>
        <w:spacing w:after="0" w:line="8" w:lineRule="exact"/>
        <w:rPr>
          <w:rFonts w:ascii="Arial" w:cs="Arial" w:eastAsia="Arial" w:hAnsi="Arial"/>
          <w:sz w:val="13"/>
          <w:szCs w:val="13"/>
          <w:color w:val="auto"/>
        </w:rPr>
      </w:pPr>
    </w:p>
    <w:p>
      <w:pPr>
        <w:ind w:left="120" w:hanging="115"/>
        <w:spacing w:after="0"/>
        <w:tabs>
          <w:tab w:leader="none" w:pos="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We evaluated, with the assistance of professionals with the appropriate skills and knowledge, the reasonableness of management’s assumptions used in the estimate of the fair value of the CDI, including, reperformance.</w:t>
      </w:r>
    </w:p>
    <w:p>
      <w:pPr>
        <w:spacing w:after="0" w:line="53" w:lineRule="exact"/>
        <w:rPr>
          <w:rFonts w:ascii="Arial" w:cs="Arial" w:eastAsia="Arial" w:hAnsi="Arial"/>
          <w:sz w:val="11"/>
          <w:szCs w:val="11"/>
          <w:color w:val="auto"/>
        </w:rPr>
      </w:pPr>
    </w:p>
    <w:p>
      <w:pPr>
        <w:ind w:left="120" w:hanging="115"/>
        <w:spacing w:after="0"/>
        <w:tabs>
          <w:tab w:leader="none" w:pos="1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tested the mathematical accuracy of the estimated fair value, including the application of the assumptions used in the calculation.</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/s/ FORVIS, LLP</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2005.</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Atlanta, Georgia</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September 11, 2023</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Balance Sheets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4"/>
                <w:szCs w:val="14"/>
                <w:color w:val="auto"/>
              </w:rPr>
            </w:pPr>
          </w:p>
        </w:tc>
        <w:tc>
          <w:tcPr>
            <w:tcW w:w="1400" w:type="dxa"/>
            <w:vAlign w:val="bottom"/>
          </w:tcPr>
          <w:p>
            <w:pPr>
              <w:jc w:val="right"/>
              <w:ind w:right="396"/>
              <w:spacing w:after="0"/>
              <w:rPr>
                <w:sz w:val="20"/>
                <w:szCs w:val="20"/>
                <w:color w:val="auto"/>
              </w:rPr>
            </w:pPr>
            <w:r>
              <w:rPr>
                <w:rFonts w:ascii="Arial" w:cs="Arial" w:eastAsia="Arial" w:hAnsi="Arial"/>
                <w:sz w:val="13"/>
                <w:szCs w:val="13"/>
                <w:b w:val="1"/>
                <w:bCs w:val="1"/>
                <w:color w:val="auto"/>
              </w:rPr>
              <w:t>June 30, 2022</w:t>
            </w:r>
          </w:p>
        </w:tc>
      </w:tr>
      <w:tr>
        <w:trPr>
          <w:trHeight w:val="152"/>
        </w:trPr>
        <w:tc>
          <w:tcPr>
            <w:tcW w:w="78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Cash</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19,266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20,910</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Interest-bearing deposits</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284,231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84,209</w:t>
            </w:r>
          </w:p>
        </w:tc>
      </w:tr>
      <w:tr>
        <w:trPr>
          <w:trHeight w:val="15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Cash and cash equivalents</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303,497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105,119</w:t>
            </w:r>
          </w:p>
        </w:tc>
      </w:tr>
      <w:tr>
        <w:trPr>
          <w:trHeight w:val="163"/>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paper, net</w:t>
            </w: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Certificates of deposit in other banks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33,152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23,551</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Debt securities available for sale, at fair value (amortized cost of $157,251 and $130,099 at June 30, 2023 and June 30, 2022, respectively)</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FHLB and FRB stock</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20,208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9,326</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SBIC investments, at cost</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Loans held for sale, at fair value</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6,947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held for sale, at lower of cost or fair value</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79,307</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Loans, net of deferred loan fees and costs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3,658,823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2,769,295</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 xml:space="preserve">Allowance for credit losses </w:t>
            </w:r>
            <w:r>
              <w:rPr>
                <w:rFonts w:ascii="Arial" w:cs="Arial" w:eastAsia="Arial" w:hAnsi="Arial"/>
                <w:sz w:val="13"/>
                <w:szCs w:val="13"/>
                <w:b w:val="1"/>
                <w:bCs w:val="1"/>
                <w:color w:val="auto"/>
              </w:rPr>
              <w:t>–</w:t>
            </w:r>
            <w:r>
              <w:rPr>
                <w:rFonts w:ascii="Arial" w:cs="Arial" w:eastAsia="Arial" w:hAnsi="Arial"/>
                <w:sz w:val="13"/>
                <w:szCs w:val="13"/>
                <w:color w:val="auto"/>
              </w:rPr>
              <w:t xml:space="preserve"> loans</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(47,193)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(34,690)</w:t>
            </w:r>
          </w:p>
        </w:tc>
      </w:tr>
      <w:tr>
        <w:trPr>
          <w:trHeight w:val="15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Loans, net</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3,611,630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2,734,605</w:t>
            </w:r>
          </w:p>
        </w:tc>
      </w:tr>
      <w:tr>
        <w:trPr>
          <w:trHeight w:val="163"/>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Premises and equipment, net</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69,094</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Accrued interest receivable</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14,829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8,573</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Deferred income taxes, net</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11,487</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BOLI</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106,572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95,281</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Goodwill</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25,638</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Core deposit intangibles, net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10,778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70"/>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assets</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53,124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52,967</w:t>
            </w:r>
          </w:p>
        </w:tc>
      </w:tr>
      <w:tr>
        <w:trPr>
          <w:trHeight w:val="163"/>
        </w:trPr>
        <w:tc>
          <w:tcPr>
            <w:tcW w:w="7840" w:type="dxa"/>
            <w:vAlign w:val="bottom"/>
          </w:tcPr>
          <w:p>
            <w:pPr>
              <w:ind w:left="14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4,607,487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3,549,204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Deposits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3,601,168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3,099,761</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9,971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Borrowings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60,598</w:t>
            </w:r>
          </w:p>
        </w:tc>
      </w:tr>
      <w:tr>
        <w:trPr>
          <w:trHeight w:val="163"/>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4,136,301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3,160,359</w:t>
            </w:r>
          </w:p>
        </w:tc>
      </w:tr>
      <w:tr>
        <w:trPr>
          <w:trHeight w:val="148"/>
        </w:trPr>
        <w:tc>
          <w:tcPr>
            <w:tcW w:w="78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Commitments and contingencies – see Note 17</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Preferred stock, $0.01 par value, 10,000,000 shares authorized, none issued or outstanding</w:t>
            </w:r>
          </w:p>
        </w:tc>
        <w:tc>
          <w:tcPr>
            <w:tcW w:w="26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87"/>
              </w:rPr>
              <w:t>Common stock, $0.01 par value, 60,000,000 shares authorized, 17,366,673 shares issued and outstanding at June 30, 2023; 15,591,466 at June 30, 2022</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Additional paid in capital</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171,222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126,106</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Retained earnings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308,651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270,276</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Unearned ESOP shares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(4,761)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(5,290)</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Accumulated other comprehensive loss</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(2,403)</w:t>
            </w:r>
          </w:p>
        </w:tc>
      </w:tr>
      <w:tr>
        <w:trPr>
          <w:trHeight w:val="15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b w:val="1"/>
                <w:bCs w:val="1"/>
                <w:color w:val="auto"/>
              </w:rPr>
              <w:t>Total stockholders’ equity</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471,186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388,845</w:t>
            </w:r>
          </w:p>
        </w:tc>
      </w:tr>
      <w:tr>
        <w:trPr>
          <w:trHeight w:val="188"/>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4,607,487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3,549,204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24"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Consolidated Statements of Income</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and dividend income</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Loans</w:t>
            </w:r>
          </w:p>
        </w:tc>
        <w:tc>
          <w:tcPr>
            <w:tcW w:w="980" w:type="dxa"/>
            <w:vAlign w:val="bottom"/>
          </w:tcPr>
          <w:p>
            <w:pPr>
              <w:jc w:val="right"/>
              <w:ind w:right="86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176,270</w:t>
            </w:r>
          </w:p>
        </w:tc>
        <w:tc>
          <w:tcPr>
            <w:tcW w:w="10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109,603</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111,798</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Commercial paper</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Debt securities available for sale</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investments and interest-bearing deposits</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3,705</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interest and dividend income</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187,126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116,114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118,733</w:t>
            </w: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expense</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Deposits</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25,524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5,260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9,370</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Junior subordinated debt</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0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Borrowings</w:t>
            </w:r>
          </w:p>
        </w:tc>
        <w:tc>
          <w:tcPr>
            <w:tcW w:w="9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6,041</w:t>
            </w: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interest expense</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29,711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15,411</w:t>
            </w:r>
          </w:p>
        </w:tc>
        <w:tc>
          <w:tcPr>
            <w:tcW w:w="0" w:type="dxa"/>
            <w:vAlign w:val="bottom"/>
          </w:tcPr>
          <w:p>
            <w:pPr>
              <w:spacing w:after="0"/>
              <w:rPr>
                <w:sz w:val="1"/>
                <w:szCs w:val="1"/>
                <w:color w:val="auto"/>
              </w:rPr>
            </w:pPr>
          </w:p>
        </w:tc>
      </w:tr>
      <w:tr>
        <w:trPr>
          <w:trHeight w:val="158"/>
        </w:trPr>
        <w:tc>
          <w:tcPr>
            <w:tcW w:w="6060" w:type="dxa"/>
            <w:vAlign w:val="bottom"/>
          </w:tcPr>
          <w:p>
            <w:pPr>
              <w:spacing w:after="0"/>
              <w:rPr>
                <w:sz w:val="20"/>
                <w:szCs w:val="20"/>
                <w:color w:val="auto"/>
              </w:rPr>
            </w:pPr>
            <w:r>
              <w:rPr>
                <w:rFonts w:ascii="Arial" w:cs="Arial" w:eastAsia="Arial" w:hAnsi="Arial"/>
                <w:sz w:val="13"/>
                <w:szCs w:val="13"/>
                <w:b w:val="1"/>
                <w:bCs w:val="1"/>
                <w:color w:val="auto"/>
              </w:rPr>
              <w:t>Net interest income</w:t>
            </w: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157,415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110,774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103,322</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Provision (benefit) for credit losses</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15,392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(7,135)</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Net interest income after provision (benefit) for credit losses</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142,023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111,366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110,457</w:t>
            </w: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Noninterest income</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Service charges and fees on deposit accounts</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9,510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9,462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9,083</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Loan income and fees</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Gain on sale of loans held for sale</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12,876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17,352</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BOLI income</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Operating lease income</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6,392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5,601</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on sale of debt securities available for sale</w:t>
            </w:r>
          </w:p>
        </w:tc>
        <w:tc>
          <w:tcPr>
            <w:tcW w:w="9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Gain (loss) on sale of premises and equipment</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4,732</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noninterest income</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31,050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39,109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39,821</w:t>
            </w: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Noninterest expense</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Salaries and employee benefits</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62,221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59,591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62,956</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Occupancy expense, net</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9,521</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Computer services</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10,629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9,607</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Telephone, postage and supplies</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3,122</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Marketing and advertising</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1,626</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Deposit insurance premiums</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Core deposit intangible amortization</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Branch closure and restructuring expenses</w:t>
            </w:r>
          </w:p>
        </w:tc>
        <w:tc>
          <w:tcPr>
            <w:tcW w:w="9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Officer transition agreement expense</w:t>
            </w:r>
          </w:p>
        </w:tc>
        <w:tc>
          <w:tcPr>
            <w:tcW w:w="9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Merger-related expenses</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060" w:type="dxa"/>
            <w:vAlign w:val="bottom"/>
          </w:tcPr>
          <w:p>
            <w:pPr>
              <w:ind w:left="60"/>
              <w:spacing w:after="0"/>
              <w:rPr>
                <w:sz w:val="20"/>
                <w:szCs w:val="20"/>
                <w:color w:val="auto"/>
              </w:rPr>
            </w:pPr>
            <w:r>
              <w:rPr>
                <w:rFonts w:ascii="Arial" w:cs="Arial" w:eastAsia="Arial" w:hAnsi="Arial"/>
                <w:sz w:val="13"/>
                <w:szCs w:val="13"/>
                <w:color w:val="auto"/>
              </w:rPr>
              <w:t>Prepayment penalties on borrowings</w:t>
            </w:r>
          </w:p>
        </w:tc>
        <w:tc>
          <w:tcPr>
            <w:tcW w:w="9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22,690</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16,300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17,613</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noninterest expense</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115,909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105,097</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131,182</w:t>
            </w: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 before income taxes</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19,096</w:t>
            </w:r>
          </w:p>
        </w:tc>
        <w:tc>
          <w:tcPr>
            <w:tcW w:w="0" w:type="dxa"/>
            <w:vAlign w:val="bottom"/>
          </w:tcPr>
          <w:p>
            <w:pPr>
              <w:spacing w:after="0"/>
              <w:rPr>
                <w:sz w:val="1"/>
                <w:szCs w:val="1"/>
                <w:color w:val="auto"/>
              </w:rPr>
            </w:pPr>
          </w:p>
        </w:tc>
      </w:tr>
      <w:tr>
        <w:trPr>
          <w:trHeight w:val="168"/>
        </w:trPr>
        <w:tc>
          <w:tcPr>
            <w:tcW w:w="60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9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3,421</w:t>
            </w:r>
          </w:p>
        </w:tc>
        <w:tc>
          <w:tcPr>
            <w:tcW w:w="0" w:type="dxa"/>
            <w:vAlign w:val="bottom"/>
          </w:tcPr>
          <w:p>
            <w:pPr>
              <w:spacing w:after="0"/>
              <w:rPr>
                <w:sz w:val="1"/>
                <w:szCs w:val="1"/>
                <w:color w:val="auto"/>
              </w:rPr>
            </w:pPr>
          </w:p>
        </w:tc>
      </w:tr>
      <w:tr>
        <w:trPr>
          <w:trHeight w:val="18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98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44,604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35,653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Per share data</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income per common share</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140"/>
              <w:spacing w:after="0"/>
              <w:rPr>
                <w:sz w:val="20"/>
                <w:szCs w:val="20"/>
                <w:color w:val="auto"/>
              </w:rPr>
            </w:pPr>
            <w:r>
              <w:rPr>
                <w:rFonts w:ascii="Arial" w:cs="Arial" w:eastAsia="Arial" w:hAnsi="Arial"/>
                <w:sz w:val="13"/>
                <w:szCs w:val="13"/>
                <w:color w:val="auto"/>
              </w:rPr>
              <w:t>Basic</w:t>
            </w:r>
          </w:p>
        </w:tc>
        <w:tc>
          <w:tcPr>
            <w:tcW w:w="980" w:type="dxa"/>
            <w:vAlign w:val="bottom"/>
          </w:tcPr>
          <w:p>
            <w:pPr>
              <w:jc w:val="right"/>
              <w:ind w:right="86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0.94</w:t>
            </w:r>
          </w:p>
        </w:tc>
        <w:tc>
          <w:tcPr>
            <w:tcW w:w="0" w:type="dxa"/>
            <w:vAlign w:val="bottom"/>
          </w:tcPr>
          <w:p>
            <w:pPr>
              <w:spacing w:after="0"/>
              <w:rPr>
                <w:sz w:val="1"/>
                <w:szCs w:val="1"/>
                <w:color w:val="auto"/>
              </w:rPr>
            </w:pPr>
          </w:p>
        </w:tc>
      </w:tr>
      <w:tr>
        <w:trPr>
          <w:trHeight w:val="178"/>
        </w:trPr>
        <w:tc>
          <w:tcPr>
            <w:tcW w:w="6060" w:type="dxa"/>
            <w:vAlign w:val="bottom"/>
          </w:tcPr>
          <w:p>
            <w:pPr>
              <w:ind w:left="60"/>
              <w:spacing w:after="0"/>
              <w:rPr>
                <w:sz w:val="20"/>
                <w:szCs w:val="20"/>
                <w:color w:val="auto"/>
              </w:rPr>
            </w:pPr>
            <w:r>
              <w:rPr>
                <w:rFonts w:ascii="Arial" w:cs="Arial" w:eastAsia="Arial" w:hAnsi="Arial"/>
                <w:sz w:val="13"/>
                <w:szCs w:val="13"/>
                <w:color w:val="auto"/>
              </w:rPr>
              <w:t>Average shares outstanding</w:t>
            </w: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15,698,618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15,516,173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16,078,066</w:t>
            </w:r>
          </w:p>
        </w:tc>
        <w:tc>
          <w:tcPr>
            <w:tcW w:w="0" w:type="dxa"/>
            <w:vAlign w:val="bottom"/>
          </w:tcPr>
          <w:p>
            <w:pPr>
              <w:spacing w:after="0"/>
              <w:rPr>
                <w:sz w:val="1"/>
                <w:szCs w:val="1"/>
                <w:color w:val="auto"/>
              </w:rPr>
            </w:pPr>
          </w:p>
        </w:tc>
      </w:tr>
      <w:tr>
        <w:trPr>
          <w:trHeight w:val="165"/>
        </w:trPr>
        <w:tc>
          <w:tcPr>
            <w:tcW w:w="6060" w:type="dxa"/>
            <w:vAlign w:val="bottom"/>
          </w:tcPr>
          <w:p>
            <w:pPr>
              <w:ind w:left="140"/>
              <w:spacing w:after="0"/>
              <w:rPr>
                <w:sz w:val="20"/>
                <w:szCs w:val="20"/>
                <w:color w:val="auto"/>
              </w:rPr>
            </w:pPr>
            <w:r>
              <w:rPr>
                <w:rFonts w:ascii="Arial" w:cs="Arial" w:eastAsia="Arial" w:hAnsi="Arial"/>
                <w:sz w:val="13"/>
                <w:szCs w:val="13"/>
                <w:color w:val="auto"/>
              </w:rPr>
              <w:t>Diluted</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2"/>
              </w:rPr>
              <w:t>15,781,506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15,810,409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16,495,115</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24"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Statements of Comprehensive Income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(Dollars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0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r>
      <w:tr>
        <w:trPr>
          <w:trHeight w:val="163"/>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35,653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15,675</w:t>
            </w:r>
          </w:p>
        </w:tc>
      </w:tr>
      <w:tr>
        <w:trPr>
          <w:trHeight w:val="178"/>
        </w:trPr>
        <w:tc>
          <w:tcPr>
            <w:tcW w:w="6060" w:type="dxa"/>
            <w:vAlign w:val="bottom"/>
          </w:tcPr>
          <w:p>
            <w:pPr>
              <w:spacing w:after="0"/>
              <w:rPr>
                <w:sz w:val="20"/>
                <w:szCs w:val="20"/>
                <w:color w:val="auto"/>
              </w:rPr>
            </w:pPr>
            <w:r>
              <w:rPr>
                <w:rFonts w:ascii="Arial" w:cs="Arial" w:eastAsia="Arial" w:hAnsi="Arial"/>
                <w:sz w:val="13"/>
                <w:szCs w:val="13"/>
                <w:b w:val="1"/>
                <w:bCs w:val="1"/>
                <w:color w:val="auto"/>
              </w:rPr>
              <w:t>Other comprehensive loss</w:t>
            </w: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Unrealized holding losses on debt securities available for sale</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060" w:type="dxa"/>
            <w:vAlign w:val="bottom"/>
          </w:tcPr>
          <w:p>
            <w:pPr>
              <w:ind w:left="140"/>
              <w:spacing w:after="0"/>
              <w:rPr>
                <w:sz w:val="20"/>
                <w:szCs w:val="20"/>
                <w:color w:val="auto"/>
              </w:rPr>
            </w:pPr>
            <w:r>
              <w:rPr>
                <w:rFonts w:ascii="Arial" w:cs="Arial" w:eastAsia="Arial" w:hAnsi="Arial"/>
                <w:sz w:val="13"/>
                <w:szCs w:val="13"/>
                <w:color w:val="auto"/>
              </w:rPr>
              <w:t>Losses arising during the period</w:t>
            </w: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(5,087)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(653)</w:t>
            </w:r>
          </w:p>
        </w:tc>
      </w:tr>
      <w:tr>
        <w:trPr>
          <w:trHeight w:val="172"/>
        </w:trPr>
        <w:tc>
          <w:tcPr>
            <w:tcW w:w="6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 benefit</w:t>
            </w:r>
          </w:p>
        </w:tc>
        <w:tc>
          <w:tcPr>
            <w:tcW w:w="1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58"/>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other comprehensive loss</w:t>
            </w:r>
          </w:p>
        </w:tc>
        <w:tc>
          <w:tcPr>
            <w:tcW w:w="1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(3,917)</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w:t>
            </w:r>
          </w:p>
        </w:tc>
      </w:tr>
      <w:tr>
        <w:trPr>
          <w:trHeight w:val="18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Comprehensive income</w:t>
            </w:r>
          </w:p>
        </w:tc>
        <w:tc>
          <w:tcPr>
            <w:tcW w:w="110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42,907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31,736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15,172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2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Changes in Stockholders’ Equity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860" w:type="dxa"/>
            <w:vAlign w:val="bottom"/>
            <w:gridSpan w:val="3"/>
            <w:vMerge w:val="restart"/>
          </w:tcPr>
          <w:p>
            <w:pPr>
              <w:jc w:val="right"/>
              <w:ind w:right="329"/>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Accumulated Other</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86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Additional Paid In</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w w:val="97"/>
              </w:rPr>
              <w:t>Unearned ESOP</w:t>
            </w:r>
          </w:p>
        </w:tc>
        <w:tc>
          <w:tcPr>
            <w:tcW w:w="80" w:type="dxa"/>
            <w:vAlign w:val="bottom"/>
          </w:tcPr>
          <w:p>
            <w:pPr>
              <w:spacing w:after="0"/>
              <w:rPr>
                <w:sz w:val="10"/>
                <w:szCs w:val="10"/>
                <w:color w:val="auto"/>
              </w:rPr>
            </w:pPr>
          </w:p>
        </w:tc>
        <w:tc>
          <w:tcPr>
            <w:tcW w:w="14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w w:val="94"/>
              </w:rPr>
              <w:t>Comprehensive Income</w:t>
            </w:r>
          </w:p>
        </w:tc>
        <w:tc>
          <w:tcPr>
            <w:tcW w:w="100" w:type="dxa"/>
            <w:vAlign w:val="bottom"/>
          </w:tcPr>
          <w:p>
            <w:pPr>
              <w:spacing w:after="0"/>
              <w:rPr>
                <w:sz w:val="10"/>
                <w:szCs w:val="10"/>
                <w:color w:val="auto"/>
              </w:rPr>
            </w:pPr>
          </w:p>
        </w:tc>
        <w:tc>
          <w:tcPr>
            <w:tcW w:w="1180" w:type="dxa"/>
            <w:vAlign w:val="bottom"/>
          </w:tcPr>
          <w:p>
            <w:pPr>
              <w:jc w:val="right"/>
              <w:ind w:right="36"/>
              <w:spacing w:after="0" w:line="107" w:lineRule="exact"/>
              <w:rPr>
                <w:sz w:val="20"/>
                <w:szCs w:val="20"/>
                <w:color w:val="auto"/>
              </w:rPr>
            </w:pPr>
            <w:r>
              <w:rPr>
                <w:rFonts w:ascii="Arial" w:cs="Arial" w:eastAsia="Arial" w:hAnsi="Arial"/>
                <w:sz w:val="12"/>
                <w:szCs w:val="12"/>
                <w:b w:val="1"/>
                <w:bCs w:val="1"/>
                <w:color w:val="auto"/>
                <w:w w:val="95"/>
              </w:rPr>
              <w:t>Total Stockholders’</w:t>
            </w:r>
          </w:p>
        </w:tc>
        <w:tc>
          <w:tcPr>
            <w:tcW w:w="0" w:type="dxa"/>
            <w:vAlign w:val="bottom"/>
          </w:tcPr>
          <w:p>
            <w:pPr>
              <w:spacing w:after="0"/>
              <w:rPr>
                <w:sz w:val="1"/>
                <w:szCs w:val="1"/>
                <w:color w:val="auto"/>
              </w:rPr>
            </w:pPr>
          </w:p>
        </w:tc>
      </w:tr>
      <w:tr>
        <w:trPr>
          <w:trHeight w:val="158"/>
        </w:trPr>
        <w:tc>
          <w:tcPr>
            <w:tcW w:w="2780" w:type="dxa"/>
            <w:vAlign w:val="bottom"/>
          </w:tcPr>
          <w:p>
            <w:pPr>
              <w:spacing w:after="0"/>
              <w:rPr>
                <w:sz w:val="13"/>
                <w:szCs w:val="13"/>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Retained Earnings</w:t>
            </w:r>
          </w:p>
        </w:tc>
        <w:tc>
          <w:tcPr>
            <w:tcW w:w="22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(Loss)</w:t>
            </w:r>
          </w:p>
        </w:tc>
        <w:tc>
          <w:tcPr>
            <w:tcW w:w="100" w:type="dxa"/>
            <w:vAlign w:val="bottom"/>
          </w:tcPr>
          <w:p>
            <w:pPr>
              <w:spacing w:after="0"/>
              <w:rPr>
                <w:sz w:val="13"/>
                <w:szCs w:val="13"/>
                <w:color w:val="auto"/>
              </w:rPr>
            </w:pPr>
          </w:p>
        </w:tc>
        <w:tc>
          <w:tcPr>
            <w:tcW w:w="1180" w:type="dxa"/>
            <w:vAlign w:val="bottom"/>
          </w:tcPr>
          <w:p>
            <w:pPr>
              <w:jc w:val="right"/>
              <w:ind w:right="396"/>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3"/>
        </w:trPr>
        <w:tc>
          <w:tcPr>
            <w:tcW w:w="2780" w:type="dxa"/>
            <w:vAlign w:val="bottom"/>
            <w:tcBorders>
              <w:top w:val="single" w:sz="8" w:color="CCEEFF"/>
            </w:tcBorders>
            <w:shd w:val="clear" w:color="auto" w:fill="CCEEFF"/>
          </w:tcPr>
          <w:p>
            <w:pPr>
              <w:jc w:val="center"/>
              <w:ind w:right="1336"/>
              <w:spacing w:after="0"/>
              <w:rPr>
                <w:sz w:val="20"/>
                <w:szCs w:val="20"/>
                <w:color w:val="auto"/>
              </w:rPr>
            </w:pPr>
            <w:r>
              <w:rPr>
                <w:rFonts w:ascii="Arial" w:cs="Arial" w:eastAsia="Arial" w:hAnsi="Arial"/>
                <w:sz w:val="13"/>
                <w:szCs w:val="13"/>
                <w:b w:val="1"/>
                <w:bCs w:val="1"/>
                <w:color w:val="auto"/>
                <w:w w:val="87"/>
              </w:rPr>
              <w:t>Balance at June 30,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17,021,357</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169,648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242,776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(6,348)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408,263</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15,675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15,675</w:t>
            </w:r>
          </w:p>
        </w:tc>
        <w:tc>
          <w:tcPr>
            <w:tcW w:w="0" w:type="dxa"/>
            <w:vAlign w:val="bottom"/>
          </w:tcPr>
          <w:p>
            <w:pPr>
              <w:spacing w:after="0"/>
              <w:rPr>
                <w:sz w:val="1"/>
                <w:szCs w:val="1"/>
                <w:color w:val="auto"/>
              </w:rPr>
            </w:pPr>
          </w:p>
        </w:tc>
      </w:tr>
      <w:tr>
        <w:trPr>
          <w:trHeight w:val="133"/>
        </w:trPr>
        <w:tc>
          <w:tcPr>
            <w:tcW w:w="278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0"/>
              </w:rPr>
              <w:t>Cumulative-effect adjustment due to the adoption of</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(13,358)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(13,358)</w:t>
            </w:r>
          </w:p>
        </w:tc>
        <w:tc>
          <w:tcPr>
            <w:tcW w:w="0" w:type="dxa"/>
            <w:vAlign w:val="bottom"/>
          </w:tcPr>
          <w:p>
            <w:pPr>
              <w:spacing w:after="0"/>
              <w:rPr>
                <w:sz w:val="1"/>
                <w:szCs w:val="1"/>
                <w:color w:val="auto"/>
              </w:rPr>
            </w:pPr>
          </w:p>
        </w:tc>
      </w:tr>
      <w:tr>
        <w:trPr>
          <w:trHeight w:val="166"/>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ASU 2016-13</w:t>
            </w:r>
          </w:p>
        </w:tc>
        <w:tc>
          <w:tcPr>
            <w:tcW w:w="116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80" w:type="dxa"/>
            <w:vAlign w:val="bottom"/>
          </w:tcPr>
          <w:p>
            <w:pPr>
              <w:ind w:left="80"/>
              <w:spacing w:after="0" w:line="131" w:lineRule="exact"/>
              <w:rPr>
                <w:sz w:val="20"/>
                <w:szCs w:val="20"/>
                <w:color w:val="auto"/>
              </w:rPr>
            </w:pPr>
            <w:r>
              <w:rPr>
                <w:rFonts w:ascii="Arial" w:cs="Arial" w:eastAsia="Arial" w:hAnsi="Arial"/>
                <w:sz w:val="13"/>
                <w:szCs w:val="13"/>
                <w:color w:val="auto"/>
              </w:rPr>
              <w:t>Cash dividends declared on common stock,</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(5,018)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(5,018)</w:t>
            </w:r>
          </w:p>
        </w:tc>
        <w:tc>
          <w:tcPr>
            <w:tcW w:w="0" w:type="dxa"/>
            <w:vAlign w:val="bottom"/>
          </w:tcPr>
          <w:p>
            <w:pPr>
              <w:spacing w:after="0"/>
              <w:rPr>
                <w:sz w:val="1"/>
                <w:szCs w:val="1"/>
                <w:color w:val="auto"/>
              </w:rPr>
            </w:pPr>
          </w:p>
        </w:tc>
      </w:tr>
      <w:tr>
        <w:trPr>
          <w:trHeight w:val="164"/>
        </w:trPr>
        <w:tc>
          <w:tcPr>
            <w:tcW w:w="2780" w:type="dxa"/>
            <w:vAlign w:val="bottom"/>
          </w:tcPr>
          <w:p>
            <w:pPr>
              <w:jc w:val="center"/>
              <w:ind w:right="1356"/>
              <w:spacing w:after="0"/>
              <w:rPr>
                <w:sz w:val="20"/>
                <w:szCs w:val="20"/>
                <w:color w:val="auto"/>
              </w:rPr>
            </w:pPr>
            <w:r>
              <w:rPr>
                <w:rFonts w:ascii="Arial" w:cs="Arial" w:eastAsia="Arial" w:hAnsi="Arial"/>
                <w:sz w:val="13"/>
                <w:szCs w:val="13"/>
                <w:color w:val="auto"/>
                <w:w w:val="88"/>
              </w:rPr>
              <w:t>$0.31/common share</w:t>
            </w:r>
          </w:p>
        </w:tc>
        <w:tc>
          <w:tcPr>
            <w:tcW w:w="11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Common stock repurchased</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(733,347)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(16,147)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(16,155)</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Forfeited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(6,575)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Granted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45,260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Exercised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318,894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2,102</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63"/>
        </w:trPr>
        <w:tc>
          <w:tcPr>
            <w:tcW w:w="2780" w:type="dxa"/>
            <w:vAlign w:val="bottom"/>
            <w:tcBorders>
              <w:top w:val="single" w:sz="8" w:color="CCEEFF"/>
            </w:tcBorders>
            <w:shd w:val="clear" w:color="auto" w:fill="CCEEFF"/>
          </w:tcPr>
          <w:p>
            <w:pPr>
              <w:jc w:val="center"/>
              <w:ind w:right="1336"/>
              <w:spacing w:after="0"/>
              <w:rPr>
                <w:sz w:val="20"/>
                <w:szCs w:val="20"/>
                <w:color w:val="auto"/>
              </w:rPr>
            </w:pPr>
            <w:r>
              <w:rPr>
                <w:rFonts w:ascii="Arial" w:cs="Arial" w:eastAsia="Arial" w:hAnsi="Arial"/>
                <w:sz w:val="13"/>
                <w:szCs w:val="13"/>
                <w:b w:val="1"/>
                <w:bCs w:val="1"/>
                <w:color w:val="auto"/>
                <w:w w:val="87"/>
              </w:rPr>
              <w:t>Balance at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16,636,483</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167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160,582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240,075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396,519</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35,653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35,653</w:t>
            </w:r>
          </w:p>
        </w:tc>
        <w:tc>
          <w:tcPr>
            <w:tcW w:w="0" w:type="dxa"/>
            <w:vAlign w:val="bottom"/>
          </w:tcPr>
          <w:p>
            <w:pPr>
              <w:spacing w:after="0"/>
              <w:rPr>
                <w:sz w:val="1"/>
                <w:szCs w:val="1"/>
                <w:color w:val="auto"/>
              </w:rPr>
            </w:pPr>
          </w:p>
        </w:tc>
      </w:tr>
      <w:tr>
        <w:trPr>
          <w:trHeight w:val="133"/>
        </w:trPr>
        <w:tc>
          <w:tcPr>
            <w:tcW w:w="278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(5,452)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(5,452)</w:t>
            </w:r>
          </w:p>
        </w:tc>
        <w:tc>
          <w:tcPr>
            <w:tcW w:w="0" w:type="dxa"/>
            <w:vAlign w:val="bottom"/>
          </w:tcPr>
          <w:p>
            <w:pPr>
              <w:spacing w:after="0"/>
              <w:rPr>
                <w:sz w:val="1"/>
                <w:szCs w:val="1"/>
                <w:color w:val="auto"/>
              </w:rPr>
            </w:pPr>
          </w:p>
        </w:tc>
      </w:tr>
      <w:tr>
        <w:trPr>
          <w:trHeight w:val="166"/>
        </w:trPr>
        <w:tc>
          <w:tcPr>
            <w:tcW w:w="2780" w:type="dxa"/>
            <w:vAlign w:val="bottom"/>
            <w:shd w:val="clear" w:color="auto" w:fill="CCEEFF"/>
          </w:tcPr>
          <w:p>
            <w:pPr>
              <w:jc w:val="center"/>
              <w:ind w:right="1356"/>
              <w:spacing w:after="0"/>
              <w:rPr>
                <w:sz w:val="20"/>
                <w:szCs w:val="20"/>
                <w:color w:val="auto"/>
              </w:rPr>
            </w:pPr>
            <w:r>
              <w:rPr>
                <w:rFonts w:ascii="Arial" w:cs="Arial" w:eastAsia="Arial" w:hAnsi="Arial"/>
                <w:sz w:val="13"/>
                <w:szCs w:val="13"/>
                <w:color w:val="auto"/>
                <w:w w:val="88"/>
              </w:rPr>
              <w:t>$0.35/common share</w:t>
            </w:r>
          </w:p>
        </w:tc>
        <w:tc>
          <w:tcPr>
            <w:tcW w:w="116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Common stock repurchased</w:t>
            </w:r>
          </w:p>
        </w:tc>
        <w:tc>
          <w:tcPr>
            <w:tcW w:w="1060" w:type="dxa"/>
            <w:vAlign w:val="bottom"/>
          </w:tcPr>
          <w:p>
            <w:pPr>
              <w:jc w:val="right"/>
              <w:spacing w:after="0"/>
              <w:rPr>
                <w:sz w:val="20"/>
                <w:szCs w:val="20"/>
                <w:color w:val="auto"/>
              </w:rPr>
            </w:pPr>
            <w:r>
              <w:rPr>
                <w:rFonts w:ascii="Arial" w:cs="Arial" w:eastAsia="Arial" w:hAnsi="Arial"/>
                <w:sz w:val="13"/>
                <w:szCs w:val="13"/>
                <w:color w:val="auto"/>
              </w:rPr>
              <w:t>(1,482,959)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(43,333)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(43,348)</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Forfeited restricted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Retired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(11,335)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Granted restricted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42,123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Stock issued for RSUs</w:t>
            </w:r>
          </w:p>
        </w:tc>
        <w:tc>
          <w:tcPr>
            <w:tcW w:w="1060" w:type="dxa"/>
            <w:vAlign w:val="bottom"/>
          </w:tcPr>
          <w:p>
            <w:pPr>
              <w:jc w:val="right"/>
              <w:spacing w:after="0"/>
              <w:rPr>
                <w:sz w:val="20"/>
                <w:szCs w:val="20"/>
                <w:color w:val="auto"/>
              </w:rPr>
            </w:pPr>
            <w:r>
              <w:rPr>
                <w:rFonts w:ascii="Arial" w:cs="Arial" w:eastAsia="Arial" w:hAnsi="Arial"/>
                <w:sz w:val="13"/>
                <w:szCs w:val="13"/>
                <w:color w:val="auto"/>
              </w:rPr>
              <w:t>7,118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Exercised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413,636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6,081</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2,152</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(3,917)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(3,917)</w:t>
            </w:r>
          </w:p>
        </w:tc>
        <w:tc>
          <w:tcPr>
            <w:tcW w:w="0" w:type="dxa"/>
            <w:vAlign w:val="bottom"/>
          </w:tcPr>
          <w:p>
            <w:pPr>
              <w:spacing w:after="0"/>
              <w:rPr>
                <w:sz w:val="1"/>
                <w:szCs w:val="1"/>
                <w:color w:val="auto"/>
              </w:rPr>
            </w:pPr>
          </w:p>
        </w:tc>
      </w:tr>
      <w:tr>
        <w:trPr>
          <w:trHeight w:val="163"/>
        </w:trPr>
        <w:tc>
          <w:tcPr>
            <w:tcW w:w="2780" w:type="dxa"/>
            <w:vAlign w:val="bottom"/>
            <w:tcBorders>
              <w:top w:val="single" w:sz="8" w:color="CCEEFF"/>
            </w:tcBorders>
            <w:shd w:val="clear" w:color="auto" w:fill="CCEEFF"/>
          </w:tcPr>
          <w:p>
            <w:pPr>
              <w:jc w:val="center"/>
              <w:ind w:right="1336"/>
              <w:spacing w:after="0"/>
              <w:rPr>
                <w:sz w:val="20"/>
                <w:szCs w:val="20"/>
                <w:color w:val="auto"/>
              </w:rPr>
            </w:pPr>
            <w:r>
              <w:rPr>
                <w:rFonts w:ascii="Arial" w:cs="Arial" w:eastAsia="Arial" w:hAnsi="Arial"/>
                <w:sz w:val="13"/>
                <w:szCs w:val="13"/>
                <w:b w:val="1"/>
                <w:bCs w:val="1"/>
                <w:color w:val="auto"/>
                <w:w w:val="87"/>
              </w:rPr>
              <w:t>Balance at June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15,591,466</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156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126,106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270,276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388,845</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44,604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44,604</w:t>
            </w:r>
          </w:p>
        </w:tc>
        <w:tc>
          <w:tcPr>
            <w:tcW w:w="0" w:type="dxa"/>
            <w:vAlign w:val="bottom"/>
          </w:tcPr>
          <w:p>
            <w:pPr>
              <w:spacing w:after="0"/>
              <w:rPr>
                <w:sz w:val="1"/>
                <w:szCs w:val="1"/>
                <w:color w:val="auto"/>
              </w:rPr>
            </w:pPr>
          </w:p>
        </w:tc>
      </w:tr>
      <w:tr>
        <w:trPr>
          <w:trHeight w:val="133"/>
        </w:trPr>
        <w:tc>
          <w:tcPr>
            <w:tcW w:w="278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(6,229)</w:t>
            </w:r>
          </w:p>
        </w:tc>
        <w:tc>
          <w:tcPr>
            <w:tcW w:w="0" w:type="dxa"/>
            <w:vAlign w:val="bottom"/>
          </w:tcPr>
          <w:p>
            <w:pPr>
              <w:spacing w:after="0"/>
              <w:rPr>
                <w:sz w:val="1"/>
                <w:szCs w:val="1"/>
                <w:color w:val="auto"/>
              </w:rPr>
            </w:pPr>
          </w:p>
        </w:tc>
      </w:tr>
      <w:tr>
        <w:trPr>
          <w:trHeight w:val="166"/>
        </w:trPr>
        <w:tc>
          <w:tcPr>
            <w:tcW w:w="2780" w:type="dxa"/>
            <w:vAlign w:val="bottom"/>
            <w:shd w:val="clear" w:color="auto" w:fill="CCEEFF"/>
          </w:tcPr>
          <w:p>
            <w:pPr>
              <w:jc w:val="center"/>
              <w:ind w:right="1356"/>
              <w:spacing w:after="0"/>
              <w:rPr>
                <w:sz w:val="20"/>
                <w:szCs w:val="20"/>
                <w:color w:val="auto"/>
              </w:rPr>
            </w:pPr>
            <w:r>
              <w:rPr>
                <w:rFonts w:ascii="Arial" w:cs="Arial" w:eastAsia="Arial" w:hAnsi="Arial"/>
                <w:sz w:val="13"/>
                <w:szCs w:val="13"/>
                <w:color w:val="auto"/>
                <w:w w:val="88"/>
              </w:rPr>
              <w:t>$0.39/common share</w:t>
            </w:r>
          </w:p>
        </w:tc>
        <w:tc>
          <w:tcPr>
            <w:tcW w:w="116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Forfeited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(10,090)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Granted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57,839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Exercised stock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352,096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5,140</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Shares issued for Quantum merger</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1,374,646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37,734</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1,854</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0" w:type="dxa"/>
            <w:vAlign w:val="bottom"/>
          </w:tcPr>
          <w:p>
            <w:pPr>
              <w:spacing w:after="0"/>
              <w:rPr>
                <w:sz w:val="1"/>
                <w:szCs w:val="1"/>
                <w:color w:val="auto"/>
              </w:rPr>
            </w:pPr>
          </w:p>
        </w:tc>
      </w:tr>
      <w:tr>
        <w:trPr>
          <w:trHeight w:val="168"/>
        </w:trPr>
        <w:tc>
          <w:tcPr>
            <w:tcW w:w="2780" w:type="dxa"/>
            <w:vAlign w:val="bottom"/>
          </w:tcPr>
          <w:p>
            <w:pPr>
              <w:ind w:left="80"/>
              <w:spacing w:after="0"/>
              <w:rPr>
                <w:sz w:val="20"/>
                <w:szCs w:val="20"/>
                <w:color w:val="auto"/>
              </w:rPr>
            </w:pPr>
            <w:r>
              <w:rPr>
                <w:rFonts w:ascii="Arial" w:cs="Arial" w:eastAsia="Arial" w:hAnsi="Arial"/>
                <w:sz w:val="13"/>
                <w:szCs w:val="13"/>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(1,697)</w:t>
            </w:r>
          </w:p>
        </w:tc>
        <w:tc>
          <w:tcPr>
            <w:tcW w:w="0" w:type="dxa"/>
            <w:vAlign w:val="bottom"/>
          </w:tcPr>
          <w:p>
            <w:pPr>
              <w:spacing w:after="0"/>
              <w:rPr>
                <w:sz w:val="1"/>
                <w:szCs w:val="1"/>
                <w:color w:val="auto"/>
              </w:rPr>
            </w:pPr>
          </w:p>
        </w:tc>
      </w:tr>
      <w:tr>
        <w:trPr>
          <w:trHeight w:val="188"/>
        </w:trPr>
        <w:tc>
          <w:tcPr>
            <w:tcW w:w="2780" w:type="dxa"/>
            <w:vAlign w:val="bottom"/>
            <w:tcBorders>
              <w:top w:val="single" w:sz="8" w:color="CCEEFF"/>
              <w:bottom w:val="single" w:sz="8" w:color="CCEEFF"/>
            </w:tcBorders>
            <w:shd w:val="clear" w:color="auto" w:fill="CCEEFF"/>
          </w:tcPr>
          <w:p>
            <w:pPr>
              <w:jc w:val="center"/>
              <w:ind w:right="1336"/>
              <w:spacing w:after="0"/>
              <w:rPr>
                <w:sz w:val="20"/>
                <w:szCs w:val="20"/>
                <w:color w:val="auto"/>
              </w:rPr>
            </w:pPr>
            <w:r>
              <w:rPr>
                <w:rFonts w:ascii="Arial" w:cs="Arial" w:eastAsia="Arial" w:hAnsi="Arial"/>
                <w:sz w:val="13"/>
                <w:szCs w:val="13"/>
                <w:b w:val="1"/>
                <w:bCs w:val="1"/>
                <w:color w:val="auto"/>
                <w:w w:val="87"/>
              </w:rPr>
              <w:t>Balance at June 30,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17,366,673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171,222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308,651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471,186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r>
      <w:tr>
        <w:trPr>
          <w:trHeight w:val="173"/>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040" w:type="dxa"/>
            <w:vAlign w:val="bottom"/>
          </w:tcPr>
          <w:p>
            <w:pPr>
              <w:jc w:val="right"/>
              <w:ind w:right="89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44,604</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35,653</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15,675</w:t>
            </w:r>
          </w:p>
        </w:tc>
      </w:tr>
      <w:tr>
        <w:trPr>
          <w:trHeight w:val="183"/>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Provision (benefit) for credit losses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15,392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(7,135)</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 of premises and equipment and equipment for operating leases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9,499</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Deferred income tax expense (benefit)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6,584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3,573</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accretion of purchase accounting adjustments on loans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Net amortization and accretion</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2,450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2,717</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SBIC investments income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Prepayment penalties paid on borrowings</w:t>
            </w:r>
          </w:p>
        </w:tc>
        <w:tc>
          <w:tcPr>
            <w:tcW w:w="10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22,690</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(gain) on sale of premises and equipment</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Loss (gain) on sale of REO</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(gain) incurred at the end of operating leases - lessor</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BOLI income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(2,156)</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 of debt securities available for sale</w:t>
            </w:r>
          </w:p>
        </w:tc>
        <w:tc>
          <w:tcPr>
            <w:tcW w:w="10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Gain on sale of loans held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(12,876)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(17,352)</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Origination of loans held for sale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(311,198)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(465,263)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(622,400)</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Proceeds from sales of loans held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213,482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463,603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600,784</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deferred loan origination (costs) fees, net</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Increase in accrued interest receivable and other assets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(3,604)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(756)</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w:t>
            </w:r>
          </w:p>
        </w:tc>
      </w:tr>
      <w:tr>
        <w:trPr>
          <w:trHeight w:val="168"/>
        </w:trPr>
        <w:tc>
          <w:tcPr>
            <w:tcW w:w="6100" w:type="dxa"/>
            <w:vAlign w:val="bottom"/>
          </w:tcPr>
          <w:p>
            <w:pPr>
              <w:ind w:left="140"/>
              <w:spacing w:after="0"/>
              <w:rPr>
                <w:sz w:val="20"/>
                <w:szCs w:val="20"/>
                <w:color w:val="auto"/>
              </w:rPr>
            </w:pPr>
            <w:r>
              <w:rPr>
                <w:rFonts w:ascii="Arial" w:cs="Arial" w:eastAsia="Arial" w:hAnsi="Arial"/>
                <w:sz w:val="13"/>
                <w:szCs w:val="13"/>
                <w:color w:val="auto"/>
              </w:rPr>
              <w:t>ESOP compensation expense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1,125</w:t>
            </w:r>
          </w:p>
        </w:tc>
      </w:tr>
      <w:tr>
        <w:trPr>
          <w:trHeight w:val="172"/>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in other liabilities</w:t>
            </w:r>
          </w:p>
        </w:tc>
        <w:tc>
          <w:tcPr>
            <w:tcW w:w="10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w:t>
            </w:r>
          </w:p>
        </w:tc>
      </w:tr>
      <w:tr>
        <w:trPr>
          <w:trHeight w:val="158"/>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(42,396)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33,128</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9,559</w:t>
            </w:r>
          </w:p>
        </w:tc>
      </w:tr>
      <w:tr>
        <w:trPr>
          <w:trHeight w:val="173"/>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Purchase of debt securities available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(81,687)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(41,649)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(107,988)</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Proceeds from maturities, calls and paydowns of debt securities available for sale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76,663</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Proceeds from sale of debt securities available for sale</w:t>
            </w:r>
          </w:p>
        </w:tc>
        <w:tc>
          <w:tcPr>
            <w:tcW w:w="10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commercial paper</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(558,482)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(715,635)</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Proceeds from maturities and calls of commercial paper</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406,269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555,472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831,862</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CDs in other banks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(7,321)</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Proceeds from maturities of CDs in other banks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17,815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22,888</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(purchases) redemptions of FHLB and FRB stock</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17,138</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Net capital contributions in SBIC investments, at cost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(775)</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(increase) decrease in loans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(313,690)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56,296</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Purchase of BOLI</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Proceeds from redemption of BOLI</w:t>
            </w:r>
          </w:p>
        </w:tc>
        <w:tc>
          <w:tcPr>
            <w:tcW w:w="10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Purchase of equipment for operating leases - lessor</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(11,333)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(2,901)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(11,879)</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Sale of equipment for operating leases - lessor</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Purchase of premises and equipment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(6,608)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(16,081)</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Proceeds from sale of premises and equipment and assets held for sale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100" w:type="dxa"/>
            <w:vAlign w:val="bottom"/>
          </w:tcPr>
          <w:p>
            <w:pPr>
              <w:ind w:left="80"/>
              <w:spacing w:after="0"/>
              <w:rPr>
                <w:sz w:val="20"/>
                <w:szCs w:val="20"/>
                <w:color w:val="auto"/>
              </w:rPr>
            </w:pPr>
            <w:r>
              <w:rPr>
                <w:rFonts w:ascii="Arial" w:cs="Arial" w:eastAsia="Arial" w:hAnsi="Arial"/>
                <w:sz w:val="13"/>
                <w:szCs w:val="13"/>
                <w:color w:val="auto"/>
              </w:rPr>
              <w:t>Proceeds from sale of REO</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449</w:t>
            </w:r>
          </w:p>
        </w:tc>
      </w:tr>
      <w:tr>
        <w:trPr>
          <w:trHeight w:val="172"/>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cash received in merger</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6100" w:type="dxa"/>
            <w:vAlign w:val="bottom"/>
          </w:tcPr>
          <w:p>
            <w:pPr>
              <w:ind w:left="18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10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(121,133)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34,845</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149,499</w:t>
            </w: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Cash Flows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w w:val="94"/>
              </w:rPr>
              <w:t>Year Ended June 30,</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r>
      <w:tr>
        <w:trPr>
          <w:trHeight w:val="17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gridSpan w:val="2"/>
          </w:tcPr>
          <w:p>
            <w:pPr>
              <w:ind w:left="80"/>
              <w:spacing w:after="0"/>
              <w:rPr>
                <w:sz w:val="20"/>
                <w:szCs w:val="20"/>
                <w:color w:val="auto"/>
              </w:rPr>
            </w:pPr>
            <w:r>
              <w:rPr>
                <w:rFonts w:ascii="Arial" w:cs="Arial" w:eastAsia="Arial" w:hAnsi="Arial"/>
                <w:sz w:val="13"/>
                <w:szCs w:val="13"/>
                <w:color w:val="auto"/>
              </w:rPr>
              <w:t>Net increase (decrease) in deposits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(69,195)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144,220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169,785</w:t>
            </w:r>
          </w:p>
        </w:tc>
      </w:tr>
      <w:tr>
        <w:trPr>
          <w:trHeight w:val="172"/>
        </w:trPr>
        <w:tc>
          <w:tcPr>
            <w:tcW w:w="61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Net increase in revolving lines of credit</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100" w:type="dxa"/>
            <w:vAlign w:val="bottom"/>
            <w:gridSpan w:val="2"/>
          </w:tcPr>
          <w:p>
            <w:pPr>
              <w:ind w:left="80"/>
              <w:spacing w:after="0"/>
              <w:rPr>
                <w:sz w:val="20"/>
                <w:szCs w:val="20"/>
                <w:color w:val="auto"/>
              </w:rPr>
            </w:pPr>
            <w:r>
              <w:rPr>
                <w:rFonts w:ascii="Arial" w:cs="Arial" w:eastAsia="Arial" w:hAnsi="Arial"/>
                <w:sz w:val="13"/>
                <w:szCs w:val="13"/>
                <w:color w:val="auto"/>
              </w:rPr>
              <w:t>Net increase (decrease) in short-term borrowings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437,000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(115,000)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115,000</w:t>
            </w:r>
          </w:p>
        </w:tc>
      </w:tr>
      <w:tr>
        <w:trPr>
          <w:trHeight w:val="172"/>
        </w:trPr>
        <w:tc>
          <w:tcPr>
            <w:tcW w:w="61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Proceeds from long-term borrowings</w:t>
            </w:r>
          </w:p>
        </w:tc>
        <w:tc>
          <w:tcPr>
            <w:tcW w:w="10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100" w:type="dxa"/>
            <w:vAlign w:val="bottom"/>
            <w:gridSpan w:val="2"/>
          </w:tcPr>
          <w:p>
            <w:pPr>
              <w:ind w:left="80"/>
              <w:spacing w:after="0"/>
              <w:rPr>
                <w:sz w:val="20"/>
                <w:szCs w:val="20"/>
                <w:color w:val="auto"/>
              </w:rPr>
            </w:pPr>
            <w:r>
              <w:rPr>
                <w:rFonts w:ascii="Arial" w:cs="Arial" w:eastAsia="Arial" w:hAnsi="Arial"/>
                <w:sz w:val="13"/>
                <w:szCs w:val="13"/>
                <w:color w:val="auto"/>
              </w:rPr>
              <w:t>Repayment of long-term borrowings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(24,728)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(60,000)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(497,690)</w:t>
            </w:r>
          </w:p>
        </w:tc>
      </w:tr>
      <w:tr>
        <w:trPr>
          <w:trHeight w:val="172"/>
        </w:trPr>
        <w:tc>
          <w:tcPr>
            <w:tcW w:w="61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Common stock repurchased</w:t>
            </w:r>
          </w:p>
        </w:tc>
        <w:tc>
          <w:tcPr>
            <w:tcW w:w="10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(43,348)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(16,155)</w:t>
            </w:r>
          </w:p>
        </w:tc>
      </w:tr>
      <w:tr>
        <w:trPr>
          <w:trHeight w:val="168"/>
        </w:trPr>
        <w:tc>
          <w:tcPr>
            <w:tcW w:w="6100" w:type="dxa"/>
            <w:vAlign w:val="bottom"/>
            <w:gridSpan w:val="2"/>
          </w:tcPr>
          <w:p>
            <w:pPr>
              <w:ind w:left="80"/>
              <w:spacing w:after="0"/>
              <w:rPr>
                <w:sz w:val="20"/>
                <w:szCs w:val="20"/>
                <w:color w:val="auto"/>
              </w:rPr>
            </w:pPr>
            <w:r>
              <w:rPr>
                <w:rFonts w:ascii="Arial" w:cs="Arial" w:eastAsia="Arial" w:hAnsi="Arial"/>
                <w:sz w:val="13"/>
                <w:szCs w:val="13"/>
                <w:color w:val="auto"/>
              </w:rPr>
              <w:t>Cash dividends paid</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(5,452)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(5,018)</w:t>
            </w:r>
          </w:p>
        </w:tc>
      </w:tr>
      <w:tr>
        <w:trPr>
          <w:trHeight w:val="172"/>
        </w:trPr>
        <w:tc>
          <w:tcPr>
            <w:tcW w:w="61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Retired stock</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68"/>
        </w:trPr>
        <w:tc>
          <w:tcPr>
            <w:tcW w:w="61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Exercised stock options</w:t>
            </w: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4,592</w:t>
            </w:r>
          </w:p>
        </w:tc>
      </w:tr>
      <w:tr>
        <w:trPr>
          <w:trHeight w:val="163"/>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361,907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(13,844)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(229,690)</w:t>
            </w:r>
          </w:p>
        </w:tc>
      </w:tr>
      <w:tr>
        <w:trPr>
          <w:trHeight w:val="158"/>
        </w:trPr>
        <w:tc>
          <w:tcPr>
            <w:tcW w:w="610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198,378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54,129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(70,632)</w:t>
            </w:r>
          </w:p>
        </w:tc>
      </w:tr>
      <w:tr>
        <w:trPr>
          <w:trHeight w:val="17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10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50,990</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121,622</w:t>
            </w:r>
          </w:p>
        </w:tc>
      </w:tr>
      <w:tr>
        <w:trPr>
          <w:trHeight w:val="163"/>
        </w:trPr>
        <w:tc>
          <w:tcPr>
            <w:tcW w:w="610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60" w:type="dxa"/>
            <w:vAlign w:val="bottom"/>
          </w:tcPr>
          <w:p>
            <w:pPr>
              <w:jc w:val="right"/>
              <w:ind w:right="92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303,497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49"/>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105,119</w:t>
            </w:r>
          </w:p>
        </w:tc>
        <w:tc>
          <w:tcPr>
            <w:tcW w:w="20" w:type="dxa"/>
            <w:vAlign w:val="bottom"/>
          </w:tcPr>
          <w:p>
            <w:pPr>
              <w:spacing w:after="0"/>
              <w:rPr>
                <w:sz w:val="14"/>
                <w:szCs w:val="14"/>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50,990</w:t>
            </w: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6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8"/>
        </w:trPr>
        <w:tc>
          <w:tcPr>
            <w:tcW w:w="6100" w:type="dxa"/>
            <w:vAlign w:val="bottom"/>
            <w:gridSpan w:val="2"/>
          </w:tcPr>
          <w:p>
            <w:pPr>
              <w:ind w:left="80"/>
              <w:spacing w:after="0"/>
              <w:rPr>
                <w:sz w:val="20"/>
                <w:szCs w:val="20"/>
                <w:color w:val="auto"/>
              </w:rPr>
            </w:pPr>
            <w:r>
              <w:rPr>
                <w:rFonts w:ascii="Arial" w:cs="Arial" w:eastAsia="Arial" w:hAnsi="Arial"/>
                <w:sz w:val="13"/>
                <w:szCs w:val="13"/>
                <w:color w:val="auto"/>
              </w:rPr>
              <w:t>Cash paid during the period for</w:t>
            </w: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2"/>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w:t>
            </w:r>
          </w:p>
        </w:tc>
        <w:tc>
          <w:tcPr>
            <w:tcW w:w="1060" w:type="dxa"/>
            <w:vAlign w:val="bottom"/>
            <w:shd w:val="clear" w:color="auto" w:fill="CCEEFF"/>
          </w:tcPr>
          <w:p>
            <w:pPr>
              <w:jc w:val="right"/>
              <w:ind w:right="94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5,312</w:t>
            </w:r>
          </w:p>
        </w:tc>
        <w:tc>
          <w:tcPr>
            <w:tcW w:w="2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16,446</w:t>
            </w:r>
          </w:p>
        </w:tc>
      </w:tr>
      <w:tr>
        <w:trPr>
          <w:trHeight w:val="168"/>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Income taxes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7,679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684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532</w:t>
            </w:r>
          </w:p>
        </w:tc>
      </w:tr>
      <w:tr>
        <w:trPr>
          <w:trHeight w:val="183"/>
        </w:trPr>
        <w:tc>
          <w:tcPr>
            <w:tcW w:w="61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Noncash transactions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Unrealized loss in value of debt securities available for sale, net of income taxes</w:t>
            </w:r>
          </w:p>
        </w:tc>
        <w:tc>
          <w:tcPr>
            <w:tcW w:w="1060" w:type="dxa"/>
            <w:vAlign w:val="bottom"/>
          </w:tcPr>
          <w:p>
            <w:pPr>
              <w:jc w:val="right"/>
              <w:ind w:right="94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(3,917)</w:t>
            </w:r>
          </w:p>
        </w:tc>
        <w:tc>
          <w:tcPr>
            <w:tcW w:w="20" w:type="dxa"/>
            <w:vAlign w:val="bottom"/>
          </w:tcPr>
          <w:p>
            <w:pPr>
              <w:spacing w:after="0"/>
              <w:rPr>
                <w:sz w:val="14"/>
                <w:szCs w:val="14"/>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(503)</w:t>
            </w:r>
          </w:p>
        </w:tc>
      </w:tr>
      <w:tr>
        <w:trPr>
          <w:trHeight w:val="172"/>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Transfers of loans held for investment to REO</w:t>
            </w:r>
          </w:p>
        </w:tc>
        <w:tc>
          <w:tcPr>
            <w:tcW w:w="10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168"/>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Transfers of loans held for sale to loans held for investment</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18,337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43,083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23,106</w:t>
            </w:r>
          </w:p>
        </w:tc>
      </w:tr>
      <w:tr>
        <w:trPr>
          <w:trHeight w:val="172"/>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Transfers of loans held for investment to loans held for sale</w:t>
            </w:r>
          </w:p>
        </w:tc>
        <w:tc>
          <w:tcPr>
            <w:tcW w:w="10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ROU asset and lease liabilities for operating lease accounting</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5,179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1,186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2,586</w:t>
            </w:r>
          </w:p>
        </w:tc>
      </w:tr>
      <w:tr>
        <w:trPr>
          <w:trHeight w:val="172"/>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ACL due to the adoption of ASU 2016-13</w:t>
            </w:r>
          </w:p>
        </w:tc>
        <w:tc>
          <w:tcPr>
            <w:tcW w:w="10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17,347</w:t>
            </w:r>
          </w:p>
        </w:tc>
      </w:tr>
      <w:tr>
        <w:trPr>
          <w:trHeight w:val="168"/>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Transfer of premises and equipment to assets held for sale (included in other assets)</w:t>
            </w:r>
          </w:p>
        </w:tc>
        <w:tc>
          <w:tcPr>
            <w:tcW w:w="106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3,229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Business combinations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gridSpan w:val="2"/>
          </w:tcPr>
          <w:p>
            <w:pPr>
              <w:ind w:left="220"/>
              <w:spacing w:after="0"/>
              <w:rPr>
                <w:sz w:val="20"/>
                <w:szCs w:val="20"/>
                <w:color w:val="auto"/>
              </w:rPr>
            </w:pPr>
            <w:r>
              <w:rPr>
                <w:rFonts w:ascii="Arial" w:cs="Arial" w:eastAsia="Arial" w:hAnsi="Arial"/>
                <w:sz w:val="13"/>
                <w:szCs w:val="13"/>
                <w:color w:val="auto"/>
              </w:rPr>
              <w:t>Fair value of assets acquired</w:t>
            </w:r>
          </w:p>
        </w:tc>
        <w:tc>
          <w:tcPr>
            <w:tcW w:w="1060" w:type="dxa"/>
            <w:vAlign w:val="bottom"/>
          </w:tcPr>
          <w:p>
            <w:pPr>
              <w:jc w:val="right"/>
              <w:ind w:right="94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665,090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Fair value of liabilities assumed</w:t>
            </w:r>
          </w:p>
        </w:tc>
        <w:tc>
          <w:tcPr>
            <w:tcW w:w="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610,188</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6100" w:type="dxa"/>
            <w:vAlign w:val="bottom"/>
            <w:gridSpan w:val="2"/>
          </w:tcPr>
          <w:p>
            <w:pPr>
              <w:ind w:left="280"/>
              <w:spacing w:after="0"/>
              <w:rPr>
                <w:sz w:val="20"/>
                <w:szCs w:val="20"/>
                <w:color w:val="auto"/>
              </w:rPr>
            </w:pPr>
            <w:r>
              <w:rPr>
                <w:rFonts w:ascii="Arial" w:cs="Arial" w:eastAsia="Arial" w:hAnsi="Arial"/>
                <w:sz w:val="13"/>
                <w:szCs w:val="13"/>
                <w:color w:val="auto"/>
              </w:rPr>
              <w:t>Net assets acquired</w:t>
            </w:r>
          </w:p>
        </w:tc>
        <w:tc>
          <w:tcPr>
            <w:tcW w:w="1060" w:type="dxa"/>
            <w:vAlign w:val="bottom"/>
          </w:tcPr>
          <w:p>
            <w:pPr>
              <w:jc w:val="right"/>
              <w:ind w:right="94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54,902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48" w:name="page49"/>
    <w:bookmarkEnd w:id="4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p>
      <w:pPr>
        <w:ind w:right="8760" w:firstLine="5"/>
        <w:spacing w:after="0" w:line="292" w:lineRule="auto"/>
        <w:tabs>
          <w:tab w:leader="none" w:pos="127"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 xml:space="preserve">Summary of Significant Accounting Policies </w:t>
      </w:r>
      <w:r>
        <w:rPr>
          <w:rFonts w:ascii="Arial" w:cs="Arial" w:eastAsia="Arial" w:hAnsi="Arial"/>
          <w:sz w:val="13"/>
          <w:szCs w:val="13"/>
          <w:b w:val="1"/>
          <w:bCs w:val="1"/>
          <w:color w:val="auto"/>
        </w:rPr>
        <w:t>Nature of Operations</w:t>
      </w:r>
    </w:p>
    <w:p>
      <w:pPr>
        <w:jc w:val="both"/>
        <w:spacing w:after="0" w:line="249" w:lineRule="auto"/>
        <w:rPr>
          <w:rFonts w:ascii="Arial" w:cs="Arial" w:eastAsia="Arial" w:hAnsi="Arial"/>
          <w:sz w:val="13"/>
          <w:szCs w:val="13"/>
          <w:b w:val="1"/>
          <w:bCs w:val="1"/>
          <w:color w:val="auto"/>
        </w:rPr>
      </w:pPr>
      <w:r>
        <w:rPr>
          <w:rFonts w:ascii="Arial" w:cs="Arial" w:eastAsia="Arial" w:hAnsi="Arial"/>
          <w:sz w:val="13"/>
          <w:szCs w:val="13"/>
          <w:color w:val="auto"/>
        </w:rPr>
        <w:t>The consolidated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Upstate South Carolina (Greenville), East Tennessee (Kingsport/Johnson City, Knoxville, and Morristown), Southwest Virginia (the Roanoke Valley), and Georgia (Greater Atlanta). The Bank operates under a single set of corporate policies and procedures and is recognized as a single banking segment for financial reporting purposes.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Principles of Consolidation and Subsidiary Activities</w:t>
      </w:r>
    </w:p>
    <w:p>
      <w:pPr>
        <w:spacing w:after="0" w:line="3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accompanying consolidated financial statements include the accounts of HomeTrust, the Bank, and its wholly-owned subsidiary, WNCSC, at or for the years ended June 30, 2023, 2022, and 2021. WNCSC owns office buildings in Asheville, North Carolina that are leased to the Bank. All intercompany items have been eliminated.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Reclassifications</w:t>
      </w: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To maintain consistency and comparability, certain amounts from prior periods have been reclassified to conform to current period presentation with no effect on net income or stockholders’ equity as previously reported.</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evaluated subsequent events for recognition and disclosure through September 11, 2023, which is the date the financial statements were available to be issued.</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 in Financial Statements</w:t>
      </w:r>
    </w:p>
    <w:p>
      <w:pPr>
        <w:spacing w:after="0" w:line="35"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Cash and cash equivalents include cash and interest-bearing deposits with initial terms to maturity of 90 days or less. Net cash flows are reported for customer loan and deposit transactions, FHLB and FRB stock, SBIC investments at cost, revolving lines of credit, and short-term borrowings.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Commercial Paper</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Commercial paper includes highly liquid short-term debt of investment graded corporations with maturities less than one year. These instruments are typically purchased at a discount based on prevailing interest rates and do not exceed $15,000 per issuer.</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Securities</w:t>
      </w: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Debt securities available for sale are carried at fair value. These securities are used to execute asset/liability management strategies, manage liquidity, and leverage capital, and therefore may be sold prior to maturity.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Adjustments for unrealized gains or losses, net of the income tax effect, are made to accumulated other comprehensive income (loss), a separate component of total stockholders’ equity.</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color w:val="auto"/>
        </w:rPr>
        <w:t>Securities held to maturity are stated at cost, net of unamortized balances of premiums and discounts. When these securities are purchased, the Company intends to and has the ability to hold such securities until maturity.</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Premiums and discounts are amortized or accreted over the life of the security as an adjustment to yield. Dividend and interest income are recognized when earned. Gains or losses on the sale of securities are recognized on the trade date using the specific identification method.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ACL – Available for Sale Securities</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For available for sale debt securities in an unrealized loss position, the Company evaluates the securities to determine whether the decline in the fair value below the amortized cost basis (impairment) is due to credit-related factors or noncredit-related factors. Any impairment that is not credit related is recognized in other comprehensive income, net of applicable taxes. Credit-related impairment is recognized as an ACL on the balance sheet, limited to the amount by which the amortized cost basis exceeds the fair value, with a corresponding adjustment to earnings. Both the ACL and the adjustment to net income may be reversed if conditions change. However, if the Company intends to sell an impaired available for sale debt security, or more likely than not will be required to sell such a security before recovering its amortized cost basis, the entire impairment amount must be recognized in earnings with a corresponding adjustment to the security’s amortized cost basis. Because the security’s amortized cost basis is adjusted to fair value, there is no ACL in such a situation.</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evaluating available for sale debt securities in unrealized loss positions for impairment and the criteria regarding its intent or requirement to sell such securities, the Company considers the extent to which fair value is less than amortized cost, whether the securities are issued by the federal government or its agencies, whether downgrades by bond rating agencies have occurred, and the results of reviews of the issuers’ financial condition, among other factors.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Changes in the ACL are recorded as a provision for (or reversal of) credit loss expense. Losses are charged against the ACL when management believes the uncollectability of an available for sale debt security is confirmed or when either of the criteria regarding intent or requirement to sell is met.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Accrued interest receivable is excluded from the estimate of credit losses.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ACL – Held to Maturity Securities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ACL on held to maturity securities is estimated on a collective basis by major security type. ECLs are estimated using a DCF methodology which considers historical credit loss information that is adjusted for current conditions and reasonable and supportable forecasts.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Accrued interest receivable is excluded from the estimate of credit losses.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FHLB and FRB Stock</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a requirement for membership, the Bank invests in the stock of both the FHLB of Atlanta and the FRB. No ready market exists for these securities so carrying value, or cost, approximates their fair value based on the redemption provisions of the FHLB of Atlanta and the FRB, respectively. Both cash and stock dividends are reported as income.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SBIC Investments, At Cost</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SBIC investments are equity interests in limited partnerships which are investments the Company has classified as VIEs, legal entities that either do not have sufficient equity to finance their activities without the support from other parties or whose equity investors lack a controlling financial interest. A controlling financial interest is defined as a group that has the power to direct the activities that most significantly impact the VIEs' economic performance, the obligation to absorb the expected losses, or the right to receive the expected residual returns. As the Company is not the primary beneficiary, nor does it hold a controlling interest in the VIEs, these investments have not been consolidated.</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SBIC investments do not have readily determinable fair values and are recorded under the equity method of accounting at cost minus impairment, if any, plus or minus changes resulting from observable price changes in orderly transactions for the identical or a similar investment. Adjustments to the cost basis occur as a result of capital contributions, distributions, the Company's share of earnings, or changes in the value of the Company's equity position. The Company's share of earnings is included in interest and dividend income with a one-quarter lag period.</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Loans Held for Sale</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Residential mortgages originated and intended for sale in the secondary market through mandatory delivery contracts are recorded at fair value (fair value option elected). Fair value includes the servicing value of the loans as well as any accrued interest, with changes in value recorded through the gain on sale of loans held for sale. Conversely, residential mortgages originated and intended for sale in the secondary market on a best efforts basis are sold with servicing released and carried at the lower of cost or fair value as determined by outstanding commitments from investors. Net unrealized losses, if any, are recorded as a valuation allowance and charged to earnings.</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originates loans guaranteed by the SBA for the purchase of businesses, business startups, business expansion, equipment, and working capital. All SBA loans are underwritten and documented as prescribed by the SBA. SBA loans are generally fully amortizing and have maturity dates and amortizations of up to 25 years. SBA loans are classified as held for sale and are carried at the lower of cost or fair value. The guaranteed portion of the loan is sold and the servicing rights are retained. A gain is recorded for any premium received in excess of the carrying value of the net assets transferred in the sale and is included in the gain on sale of loans held for sale. The portion of SBA loans that are retained are adjusted to fair value and reclassified to total loans, net of deferred costs (loans held for investment). The net value of the retained loans is included in the appropriate loan classification for disclosure purposes.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HELOCs held for sale are originated through a third party in various states outside the Company's geographic footprint, but are underwritten to the Company's underwriting guidelines. The loans are generally held for sale by the Company over a 90 to 180 day period and are serviced by the third party. The loans are marketed by the third party to investors in pools and once sold the Company recognizes a gain or loss on the sale which is recorded through the gain on sale of loans held for sale.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Loans</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Loans that management has the intent and ability to hold for the foreseeable future or until maturity or payoff are carried at their outstanding principal amount, less unearned income and deferred nonrefundable loan fees, net of certain origination costs. The Company has made a policy election to exclude accrued interest from the amortized cost basis of loans and report accrued interest separately from the related loan balance on the consolidated balance sheets. Interest income is recorded as earned on an accrual basis based on the contractual rate and the outstanding balance, except for nonaccruing loans where interest is recorded as earned on a cash basis. Net deferred loan origination fees/costs are deferred and amortized to interest income over the life of the related loan.</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The Company’s policies related to when loans are placed on nonaccruing status conform to guidelines prescribed by bank regulatory authorities. Generally, the Company suspends the accrual of interest on loans (i) that are maintained on a cash basis because of the deterioration of the financial condition of the borrower, (ii) for which payment in full of principal or interest is not expected (impaired loans), or (iii) on which principal or interest has been in default for a period of 90 days or more, unless the loan is both well secured and in the process of collection. Under the Company’s cost recovery method, interest income is subsequently recognized only to the extent cash payments are received in excess of principal due. Loans are returned to accruing status when all principal and interest amounts contractually due are brought current and concern no longer exists as to the future collectability of principal and interest, which is generally confirmed when the loan demonstrates performance for six consecutive months or payment cycles.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ACL </w:t>
      </w:r>
      <w:r>
        <w:rPr>
          <w:rFonts w:ascii="Arial" w:cs="Arial" w:eastAsia="Arial" w:hAnsi="Arial"/>
          <w:sz w:val="13"/>
          <w:szCs w:val="13"/>
          <w:color w:val="auto"/>
        </w:rPr>
        <w:t>–</w:t>
      </w:r>
      <w:r>
        <w:rPr>
          <w:rFonts w:ascii="Arial" w:cs="Arial" w:eastAsia="Arial" w:hAnsi="Arial"/>
          <w:sz w:val="13"/>
          <w:szCs w:val="13"/>
          <w:b w:val="1"/>
          <w:bCs w:val="1"/>
          <w:color w:val="auto"/>
        </w:rPr>
        <w:t xml:space="preserve"> Loans and Leases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Company adopted the CECL model under ASU 2016-13, </w:t>
      </w:r>
      <w:r>
        <w:rPr>
          <w:rFonts w:ascii="Arial" w:cs="Arial" w:eastAsia="Arial" w:hAnsi="Arial"/>
          <w:sz w:val="12"/>
          <w:szCs w:val="12"/>
          <w:i w:val="1"/>
          <w:iCs w:val="1"/>
          <w:color w:val="auto"/>
        </w:rPr>
        <w:t>“Financial Instruments – Credit Losses (Topic 326): Measurement of Credit Losses on Financial Instruments,”</w:t>
      </w:r>
      <w:r>
        <w:rPr>
          <w:rFonts w:ascii="Arial" w:cs="Arial" w:eastAsia="Arial" w:hAnsi="Arial"/>
          <w:sz w:val="12"/>
          <w:szCs w:val="12"/>
          <w:color w:val="auto"/>
        </w:rPr>
        <w:t xml:space="preserve"> on July 1, 2020 using the modified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retrospective approach. Results for the periods beginning after July 1, 2020 are presented under ASU 2016-13 while prior period amounts are reported in accordance with the incurred loss model previously applicable US GAAP.</w:t>
      </w:r>
    </w:p>
    <w:p>
      <w:pPr>
        <w:spacing w:after="0" w:line="4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 ACL reflects management’s estimate of losses that will result from the inability of its borrowers to make required loan payments. ECLs are reflected in the ACL through a provision for credit losses. Management records loans charged off against the ACL and subsequent recoveries, if any, increase the ACL when they are recognized. Management uses a systematic methodology to determine its ACL for loans held for investment and certain off-balance sheet credit exposures. The ACL is a valuation account that is deducted from the amortized costs basis to present the net amount expected to be collected on the loan portfolio. Management considers the effects of past events, current conditions, and reasonable and supportable forecasts on the collectability of the loan portfolio.</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identified the following loan pools with similar risk characteristics for measuring ECLs: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 xml:space="preserve">Commercial real estate </w:t>
      </w:r>
      <w:r>
        <w:rPr>
          <w:rFonts w:ascii="Arial" w:cs="Arial" w:eastAsia="Arial" w:hAnsi="Arial"/>
          <w:sz w:val="13"/>
          <w:szCs w:val="13"/>
          <w:color w:val="auto"/>
        </w:rPr>
        <w:t>– This category of loans consists of the following loan types:</w:t>
      </w:r>
    </w:p>
    <w:p>
      <w:pPr>
        <w:spacing w:after="0" w:line="31" w:lineRule="exact"/>
        <w:rPr>
          <w:sz w:val="20"/>
          <w:szCs w:val="20"/>
          <w:color w:val="auto"/>
        </w:rPr>
      </w:pPr>
    </w:p>
    <w:p>
      <w:pPr>
        <w:ind w:left="260"/>
        <w:spacing w:after="0" w:line="257" w:lineRule="auto"/>
        <w:rPr>
          <w:sz w:val="20"/>
          <w:szCs w:val="20"/>
          <w:color w:val="auto"/>
        </w:rPr>
      </w:pPr>
      <w:r>
        <w:rPr>
          <w:rFonts w:ascii="Arial" w:cs="Arial" w:eastAsia="Arial" w:hAnsi="Arial"/>
          <w:sz w:val="13"/>
          <w:szCs w:val="13"/>
          <w:i w:val="1"/>
          <w:iCs w:val="1"/>
          <w:color w:val="auto"/>
        </w:rPr>
        <w:t xml:space="preserve">Construction and land development </w:t>
      </w:r>
      <w:r>
        <w:rPr>
          <w:rFonts w:ascii="Arial" w:cs="Arial" w:eastAsia="Arial" w:hAnsi="Arial"/>
          <w:sz w:val="13"/>
          <w:szCs w:val="13"/>
          <w:color w:val="auto"/>
        </w:rPr>
        <w:t>– These loans finance the ground up construction, improvement, carrying for sale, and loans secured by raw or improved land. The repayment of construction loans is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dependent upon the successful completion of the improvements by the builder for the end user, or sale of the property to a third-party.</w:t>
      </w:r>
    </w:p>
    <w:p>
      <w:pPr>
        <w:spacing w:after="0" w:line="9" w:lineRule="exact"/>
        <w:rPr>
          <w:sz w:val="20"/>
          <w:szCs w:val="20"/>
          <w:color w:val="auto"/>
        </w:rPr>
      </w:pPr>
    </w:p>
    <w:p>
      <w:pPr>
        <w:ind w:left="260"/>
        <w:spacing w:after="0" w:line="272" w:lineRule="auto"/>
        <w:rPr>
          <w:sz w:val="20"/>
          <w:szCs w:val="20"/>
          <w:color w:val="auto"/>
        </w:rPr>
      </w:pPr>
      <w:r>
        <w:rPr>
          <w:rFonts w:ascii="Arial" w:cs="Arial" w:eastAsia="Arial" w:hAnsi="Arial"/>
          <w:sz w:val="13"/>
          <w:szCs w:val="13"/>
          <w:i w:val="1"/>
          <w:iCs w:val="1"/>
          <w:color w:val="auto"/>
        </w:rPr>
        <w:t xml:space="preserve">Commercial real estate </w:t>
      </w:r>
      <w:r>
        <w:rPr>
          <w:rFonts w:ascii="Arial" w:cs="Arial" w:eastAsia="Arial" w:hAnsi="Arial"/>
          <w:sz w:val="13"/>
          <w:szCs w:val="13"/>
          <w:color w:val="auto"/>
        </w:rPr>
        <w:t>– owner and non-owner occupied – These loans include real estate loans for a variety of commercial property types and purposes, including those secured by commercial office or industrial</w:t>
      </w:r>
      <w:r>
        <w:rPr>
          <w:rFonts w:ascii="Arial" w:cs="Arial" w:eastAsia="Arial" w:hAnsi="Arial"/>
          <w:sz w:val="13"/>
          <w:szCs w:val="13"/>
          <w:i w:val="1"/>
          <w:iCs w:val="1"/>
          <w:color w:val="auto"/>
        </w:rPr>
        <w:t xml:space="preserve"> </w:t>
      </w:r>
      <w:r>
        <w:rPr>
          <w:rFonts w:ascii="Arial" w:cs="Arial" w:eastAsia="Arial" w:hAnsi="Arial"/>
          <w:sz w:val="13"/>
          <w:szCs w:val="13"/>
          <w:color w:val="auto"/>
        </w:rPr>
        <w:t>buildings, warehouses, retail buildings, and various special purpose properties.</w:t>
      </w:r>
    </w:p>
    <w:p>
      <w:pPr>
        <w:spacing w:after="0" w:line="1" w:lineRule="exact"/>
        <w:rPr>
          <w:sz w:val="20"/>
          <w:szCs w:val="20"/>
          <w:color w:val="auto"/>
        </w:rPr>
      </w:pPr>
    </w:p>
    <w:p>
      <w:pPr>
        <w:ind w:left="260"/>
        <w:spacing w:after="0" w:line="257" w:lineRule="auto"/>
        <w:rPr>
          <w:sz w:val="20"/>
          <w:szCs w:val="20"/>
          <w:color w:val="auto"/>
        </w:rPr>
      </w:pPr>
      <w:r>
        <w:rPr>
          <w:rFonts w:ascii="Arial" w:cs="Arial" w:eastAsia="Arial" w:hAnsi="Arial"/>
          <w:sz w:val="13"/>
          <w:szCs w:val="13"/>
          <w:i w:val="1"/>
          <w:iCs w:val="1"/>
          <w:color w:val="auto"/>
        </w:rPr>
        <w:t xml:space="preserve">Multifamily </w:t>
      </w:r>
      <w:r>
        <w:rPr>
          <w:rFonts w:ascii="Arial" w:cs="Arial" w:eastAsia="Arial" w:hAnsi="Arial"/>
          <w:sz w:val="13"/>
          <w:szCs w:val="13"/>
          <w:color w:val="auto"/>
        </w:rPr>
        <w:t>– These are investment real estate loans, primarily secured by non-owner occupied apartment or multifamily residential buildings. Generally, these types of loans are thought to involve a greater degree of</w:t>
      </w:r>
      <w:r>
        <w:rPr>
          <w:rFonts w:ascii="Arial" w:cs="Arial" w:eastAsia="Arial" w:hAnsi="Arial"/>
          <w:sz w:val="13"/>
          <w:szCs w:val="13"/>
          <w:i w:val="1"/>
          <w:iCs w:val="1"/>
          <w:color w:val="auto"/>
        </w:rPr>
        <w:t xml:space="preserve"> </w:t>
      </w:r>
      <w:r>
        <w:rPr>
          <w:rFonts w:ascii="Arial" w:cs="Arial" w:eastAsia="Arial" w:hAnsi="Arial"/>
          <w:sz w:val="13"/>
          <w:szCs w:val="13"/>
          <w:color w:val="auto"/>
        </w:rPr>
        <w:t>credit risk than owner occupied commercial real estate as they are more sensitive to adverse economic conditions.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 xml:space="preserve">Commercial </w:t>
      </w:r>
      <w:r>
        <w:rPr>
          <w:rFonts w:ascii="Arial" w:cs="Arial" w:eastAsia="Arial" w:hAnsi="Arial"/>
          <w:sz w:val="13"/>
          <w:szCs w:val="13"/>
          <w:color w:val="auto"/>
        </w:rPr>
        <w:t>– This category of loans consists of the following loan types:</w:t>
      </w:r>
    </w:p>
    <w:p>
      <w:pPr>
        <w:spacing w:after="0" w:line="31" w:lineRule="exact"/>
        <w:rPr>
          <w:sz w:val="20"/>
          <w:szCs w:val="20"/>
          <w:color w:val="auto"/>
        </w:rPr>
      </w:pPr>
    </w:p>
    <w:p>
      <w:pPr>
        <w:ind w:left="260"/>
        <w:spacing w:after="0" w:line="295" w:lineRule="auto"/>
        <w:rPr>
          <w:sz w:val="20"/>
          <w:szCs w:val="20"/>
          <w:color w:val="auto"/>
        </w:rPr>
      </w:pPr>
      <w:r>
        <w:rPr>
          <w:rFonts w:ascii="Arial" w:cs="Arial" w:eastAsia="Arial" w:hAnsi="Arial"/>
          <w:sz w:val="12"/>
          <w:szCs w:val="12"/>
          <w:i w:val="1"/>
          <w:iCs w:val="1"/>
          <w:color w:val="auto"/>
        </w:rPr>
        <w:t xml:space="preserve">Commercial and industrial </w:t>
      </w:r>
      <w:r>
        <w:rPr>
          <w:rFonts w:ascii="Arial" w:cs="Arial" w:eastAsia="Arial" w:hAnsi="Arial"/>
          <w:sz w:val="12"/>
          <w:szCs w:val="12"/>
          <w:color w:val="auto"/>
        </w:rPr>
        <w:t>– These loans are for commercial, corporate, and business purposes across a variety of industries. These loans include general commercial and industrial loans, loans to purchase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equipment, and other business loans for working capital and operational purposes. These loans are generally secured by accounts receivable, inventory, and other business assets.</w:t>
      </w:r>
    </w:p>
    <w:p>
      <w:pPr>
        <w:ind w:left="260"/>
        <w:spacing w:after="0" w:line="257" w:lineRule="auto"/>
        <w:rPr>
          <w:sz w:val="20"/>
          <w:szCs w:val="20"/>
          <w:color w:val="auto"/>
        </w:rPr>
      </w:pPr>
      <w:r>
        <w:rPr>
          <w:rFonts w:ascii="Arial" w:cs="Arial" w:eastAsia="Arial" w:hAnsi="Arial"/>
          <w:sz w:val="13"/>
          <w:szCs w:val="13"/>
          <w:i w:val="1"/>
          <w:iCs w:val="1"/>
          <w:color w:val="auto"/>
        </w:rPr>
        <w:t xml:space="preserve">Equipment finance </w:t>
      </w:r>
      <w:r>
        <w:rPr>
          <w:rFonts w:ascii="Arial" w:cs="Arial" w:eastAsia="Arial" w:hAnsi="Arial"/>
          <w:sz w:val="13"/>
          <w:szCs w:val="13"/>
          <w:color w:val="auto"/>
        </w:rPr>
        <w:t>– These loans are primarily made up of commercial finance agreements and commercial leases provided by our Equipment Finance line of business, primarily for transportation, construction,</w:t>
      </w:r>
      <w:r>
        <w:rPr>
          <w:rFonts w:ascii="Arial" w:cs="Arial" w:eastAsia="Arial" w:hAnsi="Arial"/>
          <w:sz w:val="13"/>
          <w:szCs w:val="13"/>
          <w:i w:val="1"/>
          <w:iCs w:val="1"/>
          <w:color w:val="auto"/>
        </w:rPr>
        <w:t xml:space="preserve"> </w:t>
      </w:r>
      <w:r>
        <w:rPr>
          <w:rFonts w:ascii="Arial" w:cs="Arial" w:eastAsia="Arial" w:hAnsi="Arial"/>
          <w:sz w:val="13"/>
          <w:szCs w:val="13"/>
          <w:color w:val="auto"/>
        </w:rPr>
        <w:t>healthcare, and manufacturing equipment. These loans have average terms of five years or less and are secured by the financed equipment.</w:t>
      </w:r>
    </w:p>
    <w:p>
      <w:pPr>
        <w:spacing w:after="0" w:line="9" w:lineRule="exact"/>
        <w:rPr>
          <w:sz w:val="20"/>
          <w:szCs w:val="20"/>
          <w:color w:val="auto"/>
        </w:rPr>
      </w:pPr>
    </w:p>
    <w:p>
      <w:pPr>
        <w:ind w:left="260"/>
        <w:spacing w:after="0" w:line="257" w:lineRule="auto"/>
        <w:rPr>
          <w:sz w:val="20"/>
          <w:szCs w:val="20"/>
          <w:color w:val="auto"/>
        </w:rPr>
      </w:pPr>
      <w:r>
        <w:rPr>
          <w:rFonts w:ascii="Arial" w:cs="Arial" w:eastAsia="Arial" w:hAnsi="Arial"/>
          <w:sz w:val="13"/>
          <w:szCs w:val="13"/>
          <w:i w:val="1"/>
          <w:iCs w:val="1"/>
          <w:color w:val="auto"/>
        </w:rPr>
        <w:t xml:space="preserve">Municipal leases </w:t>
      </w:r>
      <w:r>
        <w:rPr>
          <w:rFonts w:ascii="Arial" w:cs="Arial" w:eastAsia="Arial" w:hAnsi="Arial"/>
          <w:sz w:val="13"/>
          <w:szCs w:val="13"/>
          <w:color w:val="auto"/>
        </w:rPr>
        <w:t>– These loans are primarily made to fire departments and depend on the tax revenues received from the applicable county or municipality. These leases are mainly secured by vehicles, fire stations,</w:t>
      </w:r>
      <w:r>
        <w:rPr>
          <w:rFonts w:ascii="Arial" w:cs="Arial" w:eastAsia="Arial" w:hAnsi="Arial"/>
          <w:sz w:val="13"/>
          <w:szCs w:val="13"/>
          <w:i w:val="1"/>
          <w:iCs w:val="1"/>
          <w:color w:val="auto"/>
        </w:rPr>
        <w:t xml:space="preserve"> </w:t>
      </w:r>
      <w:r>
        <w:rPr>
          <w:rFonts w:ascii="Arial" w:cs="Arial" w:eastAsia="Arial" w:hAnsi="Arial"/>
          <w:sz w:val="13"/>
          <w:szCs w:val="13"/>
          <w:color w:val="auto"/>
        </w:rPr>
        <w:t>land, or equipment.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 xml:space="preserve">Residential real estate </w:t>
      </w:r>
      <w:r>
        <w:rPr>
          <w:rFonts w:ascii="Arial" w:cs="Arial" w:eastAsia="Arial" w:hAnsi="Arial"/>
          <w:sz w:val="13"/>
          <w:szCs w:val="13"/>
          <w:color w:val="auto"/>
        </w:rPr>
        <w:t>– This category of loans consists of the following loan types:</w:t>
      </w:r>
    </w:p>
    <w:p>
      <w:pPr>
        <w:spacing w:after="0" w:line="31" w:lineRule="exact"/>
        <w:rPr>
          <w:sz w:val="20"/>
          <w:szCs w:val="20"/>
          <w:color w:val="auto"/>
        </w:rPr>
      </w:pPr>
    </w:p>
    <w:p>
      <w:pPr>
        <w:ind w:left="260"/>
        <w:spacing w:after="0" w:line="272" w:lineRule="auto"/>
        <w:rPr>
          <w:sz w:val="20"/>
          <w:szCs w:val="20"/>
          <w:color w:val="auto"/>
        </w:rPr>
      </w:pPr>
      <w:r>
        <w:rPr>
          <w:rFonts w:ascii="Arial" w:cs="Arial" w:eastAsia="Arial" w:hAnsi="Arial"/>
          <w:sz w:val="13"/>
          <w:szCs w:val="13"/>
          <w:i w:val="1"/>
          <w:iCs w:val="1"/>
          <w:color w:val="auto"/>
        </w:rPr>
        <w:t xml:space="preserve">Construction and land development </w:t>
      </w:r>
      <w:r>
        <w:rPr>
          <w:rFonts w:ascii="Arial" w:cs="Arial" w:eastAsia="Arial" w:hAnsi="Arial"/>
          <w:sz w:val="13"/>
          <w:szCs w:val="13"/>
          <w:color w:val="auto"/>
        </w:rPr>
        <w:t>– These loans are to individuals and are typically secured by a one-to-four family residential property under construction or undeveloped or partially developed land in anticipation</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construction of a personal residence.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 xml:space="preserve">One-to-four family </w:t>
      </w:r>
      <w:r>
        <w:rPr>
          <w:rFonts w:ascii="Arial" w:cs="Arial" w:eastAsia="Arial" w:hAnsi="Arial"/>
          <w:sz w:val="13"/>
          <w:szCs w:val="13"/>
          <w:color w:val="auto"/>
        </w:rPr>
        <w:t>– These loans are to individuals and are typically secured by one-to-four family residential property.</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 xml:space="preserve">HELOCs </w:t>
      </w:r>
      <w:r>
        <w:rPr>
          <w:rFonts w:ascii="Arial" w:cs="Arial" w:eastAsia="Arial" w:hAnsi="Arial"/>
          <w:sz w:val="13"/>
          <w:szCs w:val="13"/>
          <w:color w:val="auto"/>
        </w:rPr>
        <w:t>– These loans include both loans originated by the Company and those purchased from a third party and are often secured by second liens on residential real estate.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 xml:space="preserve">Consumer </w:t>
      </w:r>
      <w:r>
        <w:rPr>
          <w:rFonts w:ascii="Arial" w:cs="Arial" w:eastAsia="Arial" w:hAnsi="Arial"/>
          <w:sz w:val="13"/>
          <w:szCs w:val="13"/>
          <w:color w:val="auto"/>
        </w:rPr>
        <w:t>– Consumer loans include loans secured by deposit accounts or personal property such as automobiles, boats, and motorcycles, as well as unsecured consumer debt.</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For collectively evaluated loans, the Company uses a DCF method for each loan in a pool, and the results are aggregated at the pool level. A periodic tendency to default and absolute loss given default are applied to a projective model of the pool’s cash flows while considering prepayment and principal curtailment effects. The analysis produces expected cash flows for each instrument in the pool by pairing loan-level term information (maturity date, payment amount, interest rate, etc.) with top-down pool assumptions (default rates and prepayment speeds).</w:t>
      </w:r>
    </w:p>
    <w:p>
      <w:pPr>
        <w:spacing w:after="0" w:line="46"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Management has determined that peer loss experience provides the best basis for its assessment of ECLs to determine the ACL. The Company utilized peer call report data to measure historical credit loss experience with similar risk characteristics within the segments over an economic cycle. Management reviewed the historical loss information to appropriately adjust for differences in current asset specific risk characteristics. Management also considered further adjustments to historical loss information for current conditions and reasonable and supportable forecasts that differ from the conditions that existed for the period over which historical information was evaluated. For collectively evaluated loans, the Company has incorporated a combination of three macroeconomic drivers using a statistical regression modeling methodology: the national unemployment rate, one-year change in the national home price index, and one-year change in national real gross domestic product. The macroeconomic drivers utilized vary by loan segment, although the national unemployment rate is incorporated for the majority of the segments. Due to the low loss rates of municipal leases and the expectation of them remaining low, management has elected to separately pool these loans. Management has elected to use readily available municipal default rates and loss given defaults in order to calculate ECLs.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Management considers forward-looking information in estimating ECLs. The Company uses the Fannie Mae quarterly economic forecast which is a baseline outlook for the United States economy. For the contractual term that extends beyond the reasonable and supportable forecast period, the Company reverts to historical loss information within four quarters using a straight-line approach. Management may apply different reversion techniques depending on the economic environment for the financial asset portfolio and as of the current period has utilized a linear reversion technique.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Included in its systematic methodology to determine its ACL for loans held for investment and certain off-balance sheet credit exposures, management considers the need to qualitatively adjust ECLs for risks not already captured in the loss estimation process. These qualitative adjustments can either increase or decrease the quantitative model estimation (i.e. formulaic model results). Each period the Company considers qualitative factors that are relevant within the qualitative framework consistent with the regulatory interagency policy statement on the ACL.</w:t>
      </w:r>
    </w:p>
    <w:p>
      <w:pPr>
        <w:spacing w:after="0" w:line="4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When a loan no longer shares similar risk characteristics with its segment, the asset is assessed to determine whether it should be included in another pool or should be individually evaluated, which includes consideration of the materiality of the loan. Generally, individually evaluated loans other than TDRs are on nonaccrual status. The ECLs on individually evaluated loans will be estimated based on a DCF analysis unless the loan meets the criteria for use of the fair value of collateral, either by virtue of an expected foreclosure or through meeting the definition of collateral dependent. Financial assets that have been individually evaluated can be returned to a pool for purposes of estimating the ECL insofar as their credit profile improves and that the repayment terms are not considered to be unique to the asset.</w:t>
      </w:r>
    </w:p>
    <w:p>
      <w:pPr>
        <w:spacing w:after="0" w:line="29"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Restructured loans to borrowers who are experiencing financial difficulty, and on which the Company has granted concessions that modify the terms of the loan, are accounted for as TDRs. These loans remain as TDRs until the loan has been paid in full, modified to its original terms, or charged off. The Company may place these loans on accrual or nonaccrual status depending on the individual facts and circumstances of the borrower. Generally, these loans are put on nonaccrual status until there is adequate performance that evidences the ability of the borrower to make the contractual payments. This period of performance is normally at least six months, and may include performance immediately prior to or after the modification, depending on the specific facts and circumstances of the borrower.</w:t>
      </w:r>
    </w:p>
    <w:p>
      <w:pPr>
        <w:spacing w:after="0" w:line="18"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Management measures ECLs over the contractual term of the loans. When determining the contractual term, the Company considers expected prepayments but is precluded from considering expected extensions, renewals, or modifications, unless the Company reasonably expects it will execute a TDR with a borrower. In the event of a reasonably-expected TDR, the Company factors the reasonably-expected TDR into the CECL estimate. The effects of a TDR are recorded when an individual asset is specifically identified as a reasonably-expected TDR. The Company identifies the point at which it offers the modification to the borrower as the point at which the TDR is reasonably expected. The Company uses a DCF methodology to calculate the effect of the concession provided to the borrower within the ACL.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Acquired Loans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Acquired loans are recorded at fair value at the date of acquisition based on a DCF methodology that considers various factors including the type of loan and related collateral, classification status, fixed or variable interest rate, term of loan and whether or not the loan was amortizing, and a discount rate reflecting the Company’s assessment of risk inherent in the cash flow estimates. Certain larger purchased loans are individually evaluated while certain purchased loans are grouped together according to similar risk characteristics and are treated in the aggregate when applying various valuation techniques. These cash flow evaluations are inherently subjective as they require material estimates, all of which may be susceptible to significant change.</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Prior to July 1, 2020, loans acquired in a business combination that had evidence of deterioration of credit quality since origination and for which it was probable, at acquisition, that the Company would be unable to collect all contractually required payments receivable were considered PCI loans. PCI loans were individually evaluated and recorded at fair value at the date of acquisition with no initial valuation allowance based on a DCF methodology that considered various factors including the type of loan and related collateral, classification status, fixed or variable interest rate, term of loan and whether or not the loan was amortizing, and a discount rate reflecting the Company’s assessment of risk inherent in the cash flow estimates. The difference between the undiscounted cash flows expected at acquisition and the investment in the loan, or the “accretable yield,” was recognized as interest income on a level-yield method over the life of the loan. Contractually required payments for interest and principal that exceed the undiscounted cash flows expected at acquisition, or the “nonaccretable difference,” were not recognized on the balance sheet and did not result in any yield adjustments, loss accruals or valuation allowances. Increases in expected cash flows, including prepayments, subsequent to the initial investment were recognized prospectively through adjustment of the yield on the loan over its remaining life. Decreases in expected cash flows were recognized as impairment. Valuation allowances on PCI loans reflected only losses incurred after the acquisition (meaning the present value of all cash flows expected at acquisition that ultimately were not to be received).</w:t>
      </w:r>
    </w:p>
    <w:p>
      <w:pPr>
        <w:spacing w:after="0" w:line="21"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Subsequent to July 1, 2020, loans acquired in a business combination that have experienced more-than-insignificant deterioration in credit quality since origination are considered PCD loans. At the acquisition date, an estimate of ECLs is made for groups of PCD loans with similar risk characteristics and individual PCD loans without similar risk characteristics. This initial ACL is allocated to individual PCD loans and added to the purchase price or acquisition date fair values to establish the initial amortized cost basis of the PCD loans. As the initial ACL is added to the purchase price, there is no credit loss expense recognized upon acquisition of a PCD loan. Any difference between the unpaid principal balance of PCD loans and the amortized cost basis is considered to relate to noncredit factors and results in a discount or premium. Discounts and premiums are recognized through interest income on a level-yield method over the life of the loans. All loans considered to be PCI prior to July 1, 2020 were converted to PCD on that date.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For acquired loans not deemed purchased credit deteriorated at acquisition, the differences between the initial fair value and the unpaid principal balance are recognized as interest income on a level-yield basis over the lives of the related loans. At the acquisition date, an initial ACL is estimated and recorded as credit loss expense.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subsequent measurement of ECLs for all acquired loans is the same as the subsequent measurement of ECLs for originated loans.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Loan Commitments and ACL on Off-Balance Sheet Credit Exposures</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Financial instruments include off-balance sheet credit instruments, such as undisbursed portions of construction loans, commitments to originate loans, unused lines of credit, and standby letters of credit. The Company’s exposure to credit loss in the event of nonperformance by the other party to the financial instrument for off-balance sheet loan commitments is represented by the contractual amount of those instruments. Such financial instruments are recorded when they are funded.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records an ACL on off-balance sheet credit exposures, unless the commitments to extend credit are unconditionally cancellable, through a provision for credit losses charged against earnings. The ACL on these exposures is estimated by loan segment at each balance sheet date under the CECL model using the same methodologies as portfolio loans, taking into consideration the likelihood that funding will occur, and is included in other liabilities on the Company’s consolidated balance sheets.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Premises and Equipment</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Premises and equipment are stated at cost less accumulated depreciation. Depreciation is computed using the straight-line method over the estimated useful lives. Leasehold improvements are amortized over the lives of the respective leases or the estimated useful life of the leasehold improvement, whichever is less. Maintenance and repair costs are expensed as incurred. Obligations under capital leases are amortized using the interest method to allocate payments between principal reduction and interest expense.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Real Estate Owned</w:t>
      </w:r>
    </w:p>
    <w:p>
      <w:pPr>
        <w:spacing w:after="0" w:line="35"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Foreclosed assets are initially recorded at fair value less costs to sell when acquired, establishing a new cost basis. Physical possession of real property collateralizing a loan occurs when legal title is obtained upon completion of foreclosure or when the borrower conveys all interest in the property to satisfy the loan through completion of a deed in lieu of foreclosure or through a similar legal agreement. These assets are subsequently accounted for at lower of cost or fair value less estimated costs to sell. If the fair value declines subsequent to foreclosure, a valuation allowance is recorded through expense. Operating costs after acquisition are expensed.</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Bank Owned Life Insurance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has purchased life insurance policies on certain key executives. BOLI is recorded at the amount that can be realized under the insurance contract at the balance sheet date, which is the cash surrender value adjusted for other charges or other amounts due that are probable at settlement.</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Combinations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uses the acquisition method of accounting for all business combinations. An acquirer must be identified for each business combination, and the acquisition date is the date the acquirer achieves control. The acquisition method of accounting requires the Company as acquirer to recognize the fair value of assets acquired and liabilities assumed at the acquisition date as well as recognize goodwill or a gain from a bargain purchase, if appropriate. Any acquisition-related costs and restructuring costs are recognized as period expenses as incurred.</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35"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Goodwill represents the excess of the purchase price over the sum of the estimated fair values of the tangible and identifiable intangible assets acquired less the estimated fair value of the liabilities assumed in a business combination. Goodwill has an indefinite useful life and is evaluated for impairment annually in the fourth quarter or more frequently if events and circumstances indicate that the asset might be impaired.</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first assesses qualitative factors to determine whether it is more likely than not that the fair value of a reporting unit is less than its carrying amount as a basis for determining the need to perform the test for goodwill impairment (the qualitative method). If the qualitative method cannot be used or if the Company determines, based on the qualitative method, that the fair value is more likely than not less than the carrying amount, the Company compares the estimated fair value of a reporting unit with its carrying amount, including goodwill. If the estimated fair value of a reporting unit exceeds its carrying amount, goodwill of the reporting unit is not considered impaired. If the carrying amount of a reporting unit exceeds its estimated fair value, the Company will record an impairment charge based on that difference. Our annual goodwill impairment test did not identify any impairment for the years ended June 30, 2023 and 2022.</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Core Deposit Intangibles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Core deposit intangibles represent the estimated value of long-term deposit relationships acquired in business combinations. These core deposit premiums are amortized using an accelerated method over the estimated useful lives of the related deposits, typically between five and 10 years. The estimated useful lives are periodically reviewed for reasonableness.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Servicing Rights</w:t>
      </w:r>
    </w:p>
    <w:p>
      <w:pPr>
        <w:spacing w:after="0" w:line="35"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When loans are sold with servicing retained, servicing rights are initially recorded at fair value with the income statement effect recorded in gains on sales of loans. Fair value is based on market prices for comparable mortgage servicing contracts, when available or alternatively, is based on a valuation model that calculates the present value of estimated future net servicing income. All classes of servicing assets are subsequently measured using the amortization method which requires servicing rights to be amortized into noninterest income in proportion to, and over the period of, the estimated future net servicing income of the underlying loans.</w:t>
      </w:r>
    </w:p>
    <w:p>
      <w:pPr>
        <w:spacing w:after="0" w:line="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Servicing rights are evaluated for impairment based upon the fair value of the rights as compared to carrying amount. Impairment is determined by stratifying rights into groupings based on predominant risk characteristics, such as interest rate, loan type and investor type. Impairment is recognized through a valuation allowance for an individual grouping, to the extent that fair value is less than the carrying amount. If the Company later determines that all or a portion of the impairment no longer exists for a particular grouping, a reduction of the allowance may be recorded as an increase to income. Changes in valuation allowances are reported within loan income and fees on the income statement. The fair values of servicing rights are subject to significant fluctuations as a result of changes in estimated and actual prepayment speeds and default rates and losses.</w:t>
      </w:r>
    </w:p>
    <w:p>
      <w:pPr>
        <w:spacing w:after="0" w:line="48" w:lineRule="exact"/>
        <w:rPr>
          <w:sz w:val="20"/>
          <w:szCs w:val="20"/>
          <w:color w:val="auto"/>
        </w:rPr>
      </w:pPr>
    </w:p>
    <w:p>
      <w:pPr>
        <w:jc w:val="both"/>
        <w:spacing w:after="0" w:line="368" w:lineRule="auto"/>
        <w:rPr>
          <w:sz w:val="20"/>
          <w:szCs w:val="20"/>
          <w:color w:val="auto"/>
        </w:rPr>
      </w:pPr>
      <w:r>
        <w:rPr>
          <w:rFonts w:ascii="Arial" w:cs="Arial" w:eastAsia="Arial" w:hAnsi="Arial"/>
          <w:sz w:val="11"/>
          <w:szCs w:val="11"/>
          <w:color w:val="auto"/>
        </w:rPr>
        <w:t>Servicing fee income, which is reported on the income statement as loan income and fees, is recorded for fees earned for servicing loans. The fees are based on a contractual percentage of the outstanding principal or a fixed amount per loan and are recorded as income when earned. The amortization of servicing rights is netted against loan servicing fee income. Late fees and ancillary fees related to loan servicing are not material.</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from Contracts with Customers</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Company records revenue from contracts with customers in accordance with ASC Topic 606, “Revenue from Contracts with Customers”. Under Topic 606, the Company must identify the contract with a customer, identify the performance obligations in the contract, determine the transaction price, allocate the transaction price to the performance obligations in the contract, and recognize revenue when (or as) the Company satisfies a performance obligation. Significant revenue has not been recognized in the current reporting period that results from performance obligations satisfied in previous periods.</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Company’s primary sources of revenue are derived from interest and dividends earned on loans, investment securities, and other financial instruments that are not within the scope of Topic 606. The Company has evaluated the nature of its contracts with customers and determined that further disaggregation of revenue from contracts with customers into more granular categories beyond what is presented in the Consolidated Statements of Income was not necessary. The Company generally fully satisfies its performance obligations on its contracts with customers as services are rendered and the transaction prices are typically fixed, charged either on a periodic basis or based on activity. Since performance obligations are satisfied as services are rendered and the transaction prices are fixed, the Company has made no significant judgments in applying the revenue guidance prescribed in ASC 606 that affect the determination of the amount and timing of revenue from contracts with customers.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Company issues restricted stock, restricted stock units, and stock options under the HomeTrust Bancshares, Inc. 2022 Omnibus Incentive Plan (“2022 Omnibus Incentive Plan”) to key officers and outside directors. In accordance with the requirements of the FASB ASC 718, "Compensation – Stock Compensation," the Company has adopted a fair value based method of accounting for employee stock compensation plans, whereby compensation cost is measured based on the fair value of the award as of the grant date and recognized over the vesting period. The Company accounts for forfeitures as they occur.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Comprehensive Income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Comprehensive income consists of net income and net unrealized gains (losses) on debt securities available for sale and is presented in the Consolidated Statements of Comprehensive Income.</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if necessary, by the amount of such benefits that are not expected to be realized based upon available evidence. See "Note 12 – Income Taxes" for additional information.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recognizes interest and penalties accrued relative to unrecognized tax benefits in its respective federal or state income taxes accounts. As of June 30, 2023 and 2022, there were no accruals for uncertain tax positions. As of June 30, 2023, no interest or penalties were accrued compared to an accrual of $28 as of June 30, 2022.</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 Instruments and Hedging</w:t>
      </w:r>
    </w:p>
    <w:p>
      <w:pPr>
        <w:spacing w:after="0" w:line="35"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The Company holds and issues derivative financial instruments such as IRLCs and other forward sale commitments. IRLCs are subject to pricing risk primarily related to fluctuations in market interest rates. To hedge the interest rate risk on certain IRLCs, the Company uses forward sale commitments such as TBAs or mandatory delivery commitments with investors. Management expects these forward sale commitments to experience changes in fair value opposite to the changes in fair value of the IRLCs, thereby reducing earnings volatility. Forward sale commitments are also used to hedge the interest rate risk on mortgage loans held for sale that are not committed to investors and still subject to price risk. If the mandatory delivery commitments are not fulfilled, the Company pays a pair-off fee. Best effort forward sale commitments are also executed with investors, whereby certain loans are locked with a borrower and simultaneously committed to an investor at a fixed price. If the best effort IRLC does not fund, there is no obligation to fulfill the investor commitment.</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considers various factors and strategies in determining what portion of the IRLCs and uncommitted mortgage loans held for sale to economically hedge. All derivative instruments are recognized as other assets or other liabilities on the consolidated statements of financial condition at their fair value. Changes in the fair value of the derivative instruments and gains and losses resulting from the pairing-out of forward sale commitments are recognized in the gain on sale of loans held for sale on the consolidated statements of income in the period in which they occur. The Company accounts for all derivative instruments as free-standing derivative instruments and does not designate any for hedge accounting.</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 per Share</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Basic EPS is computed by dividing net income by the weighted-average number of common shares outstanding for the year, less the average number of nonvested restricted stock awards. Diluted EPS reflects the potential dilution from the issuance of additional shares of common stock caused by the exercise of stock options and restricted stock awards. In addition, nonvested share-based payment awards that contain nonforfeitable rights to dividends or dividend equivalents are considered participating securities and are included in the computation of EPS pursuant to the two-class method. The two-class method is an earnings allocation formula that determines EPS for each class of common stock and participating security according to dividends declared (or accumulated) and participation rights in undistributed earnings. ESOP shares are considered outstanding for basic and diluted EPS when the shares are committed to be released. Net income is allocated between the common stock and participating securities pursuant to the two-class method, based on their rights to receive dividends, participate in earnings, or absorb losses. See "Note 16 – Net Income per Share" for further discussion on the Company’s EPS.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p>
      <w:pPr>
        <w:jc w:val="both"/>
        <w:ind w:right="9180" w:firstLine="5"/>
        <w:spacing w:after="0" w:line="346" w:lineRule="auto"/>
        <w:tabs>
          <w:tab w:leader="none" w:pos="127" w:val="left"/>
        </w:tabs>
        <w:numPr>
          <w:ilvl w:val="0"/>
          <w:numId w:val="2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 xml:space="preserve">Recent Accounting Pronouncements </w:t>
      </w:r>
      <w:r>
        <w:rPr>
          <w:rFonts w:ascii="Arial" w:cs="Arial" w:eastAsia="Arial" w:hAnsi="Arial"/>
          <w:sz w:val="11"/>
          <w:szCs w:val="11"/>
          <w:b w:val="1"/>
          <w:bCs w:val="1"/>
          <w:i w:val="1"/>
          <w:iCs w:val="1"/>
          <w:color w:val="auto"/>
        </w:rPr>
        <w:t>Adoption of New Accounting Standards</w:t>
      </w:r>
    </w:p>
    <w:p>
      <w:pPr>
        <w:jc w:val="both"/>
        <w:spacing w:after="0" w:line="250" w:lineRule="auto"/>
        <w:rPr>
          <w:rFonts w:ascii="Arial" w:cs="Arial" w:eastAsia="Arial" w:hAnsi="Arial"/>
          <w:sz w:val="11"/>
          <w:szCs w:val="11"/>
          <w:b w:val="1"/>
          <w:bCs w:val="1"/>
          <w:color w:val="auto"/>
        </w:rPr>
      </w:pPr>
      <w:r>
        <w:rPr>
          <w:rFonts w:ascii="Arial" w:cs="Arial" w:eastAsia="Arial" w:hAnsi="Arial"/>
          <w:sz w:val="13"/>
          <w:szCs w:val="13"/>
          <w:i w:val="1"/>
          <w:iCs w:val="1"/>
          <w:color w:val="auto"/>
        </w:rPr>
        <w:t xml:space="preserve">ASU 2016-13, "Financial Instruments—Credit Losses (Topic 326): Measurement of Credit Losses on Financial Instruments." </w:t>
      </w:r>
      <w:r>
        <w:rPr>
          <w:rFonts w:ascii="Arial" w:cs="Arial" w:eastAsia="Arial" w:hAnsi="Arial"/>
          <w:sz w:val="13"/>
          <w:szCs w:val="13"/>
          <w:color w:val="auto"/>
        </w:rPr>
        <w:t>In June 2016, the FASB issued ASU 2016-13 which made significant changes to the ACL on</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instruments presented on an amortized cost basis and disclosures about them. The CECL impairment model requires an estimate of ECLs, measured over the contractual life of an instrument, which considers reasonable and supportable forecasts of future economic conditions in addition to information about past events and current conditions. The standard provides significant flexibility and requires a high degree of judgment with regards to pooling financial assets with similar risk characteristics and adjusting the relevant historical loss information in order to develop an estimate of expected lifetime losses. ASU 2016-13 permits the use of estimation techniques that are practical and relevant to the Company’s circumstances, as long as they are applied consistently over time and faithfully estimate ECLs in accordance with the standard. The ASU lists several common credit loss methods that are acceptable such as a DCF method, loss-rate method and roll-rate method. In addition, ASU 2016-13 amended the ACL on debt securities and purchased financial assets with credit deterioration.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adopted ASU 2016-13 on July 1, 2020 using the modified retrospective approach. Results for the periods beginning after July 1, 2020 are presented under ASC 326 while prior period amounts continue to be reported in accordance with previously applicable US GAAP. The Company recorded a net reduction of retained earnings of $13,358 upon adoption. The transition adjustment included an increase in the ACL on loans of $14,809, an increase in the ACL on off-balance sheet credit exposures of $2,288, and the establishment of an ACL on commercial paper of $250, net of the corresponding increases in deferred tax assets of $3,989. The adoption of this ASU did not have an effect on AFS debt securities.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adopted ASU 2016-13 using the prospective transition approach for PCD financial assets that were previously classified as PCI and accounted for under ASC 310-30. In accordance with the standard, the Company did not reassess whether PCI assets met the criteria of PCD assets as of the date of adoption. The remaining discount on the PCD assets was determined to be related to noncredit factors and will be accreted into interest income on a level-yield method over the life of the loans.</w:t>
      </w:r>
    </w:p>
    <w:p>
      <w:pPr>
        <w:spacing w:after="0" w:line="4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i w:val="1"/>
          <w:iCs w:val="1"/>
          <w:color w:val="auto"/>
        </w:rPr>
        <w:t xml:space="preserve">ASU 2021-05, "Leases (Topic 842): Lessors—Certain Leases with Variable Lease Payments." </w:t>
      </w:r>
      <w:r>
        <w:rPr>
          <w:rFonts w:ascii="Arial" w:cs="Arial" w:eastAsia="Arial" w:hAnsi="Arial"/>
          <w:sz w:val="13"/>
          <w:szCs w:val="13"/>
          <w:color w:val="auto"/>
        </w:rPr>
        <w:t>This ASU amended the lease classification requirements for lessors to classify as an operating lease any lease that would</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be classified as a sales-type or direct financing lease that would result in the recognition of a day-one loss at lease commencement, provided that the lease includes variable lease payments that do not depend on an index or rate. When a lease is classified as operating, the lessor does not recognize a net investment in the lease, does not derecognize the underlying asset and therefore, does not recognize a selling profit or loss. The amendments in this ASU are effective for fiscal years beginning after December 15, 2021, and interim periods within those fiscal years. The adoption of this standard on July 1, 2022, did not have a material impact on the Company's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Newly Issued but Not Yet Effective Accounting Standards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ASU 2022-02, "Financial Instruments—Credit Losses (Topic 326): Troubled Debt Restructurings and Vintage Disclosures." </w:t>
      </w:r>
      <w:r>
        <w:rPr>
          <w:rFonts w:ascii="Arial" w:cs="Arial" w:eastAsia="Arial" w:hAnsi="Arial"/>
          <w:sz w:val="11"/>
          <w:szCs w:val="11"/>
          <w:color w:val="auto"/>
        </w:rPr>
        <w:t>This ASU eliminates the TDR recognition and measurement guidance and requires that an entity</w:t>
      </w:r>
    </w:p>
    <w:p>
      <w:pPr>
        <w:spacing w:after="0" w:line="35" w:lineRule="exact"/>
        <w:rPr>
          <w:sz w:val="20"/>
          <w:szCs w:val="20"/>
          <w:color w:val="auto"/>
        </w:rPr>
      </w:pPr>
    </w:p>
    <w:p>
      <w:pPr>
        <w:jc w:val="both"/>
        <w:spacing w:after="0" w:line="285" w:lineRule="auto"/>
        <w:rPr>
          <w:sz w:val="20"/>
          <w:szCs w:val="20"/>
          <w:color w:val="auto"/>
        </w:rPr>
      </w:pPr>
      <w:r>
        <w:rPr>
          <w:rFonts w:ascii="Arial" w:cs="Arial" w:eastAsia="Arial" w:hAnsi="Arial"/>
          <w:sz w:val="12"/>
          <w:szCs w:val="12"/>
          <w:color w:val="auto"/>
        </w:rPr>
        <w:t>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 The amendments in this ASU are effective for fiscal years beginning after December 15, 2022, and interim periods within those fiscal years and early adoption is permitted. The adoption of ASU 2022-02 is not expected to have a material impact on the Company's consolidated financial statements.</w:t>
      </w:r>
    </w:p>
    <w:p>
      <w:pPr>
        <w:spacing w:after="0" w:line="75" w:lineRule="exact"/>
        <w:rPr>
          <w:sz w:val="20"/>
          <w:szCs w:val="20"/>
          <w:color w:val="auto"/>
        </w:rPr>
      </w:pPr>
    </w:p>
    <w:p>
      <w:pPr>
        <w:ind w:left="140" w:hanging="135"/>
        <w:spacing w:after="0"/>
        <w:tabs>
          <w:tab w:leader="none" w:pos="14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Merger with Quantum</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On February 12, 2023, the Company merged with Quantum which operated two locations in the Atlanta metro area. The aggregate amount of consideration to be paid per the purchase agreement of approximately $70,771, inclusive of consideration of common stock, other cash consideration, and cash in lieu of fractional shares, included $15,869 of cash consideration paid by Quantum to its stockholders in advance of the closing date as is further described below. These distributions reduced Quantum's stockholders' equity by an equal amount prior to the transaction closing date.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The following table provides a summary of the assets acquired, liabilities assumed, associated preliminary fair value adjustments, and provisional period adjustments by the Company as of the merger date. As provided for under US GAAP, management has up to 12 months following the date of merger to finalize the fair value adjustments.</w:t>
      </w:r>
    </w:p>
    <w:tbl>
      <w:tblPr>
        <w:tblLayout w:type="fixed"/>
        <w:tblInd w:w="0" w:type="dxa"/>
        <w:tblCellMar>
          <w:top w:w="0" w:type="dxa"/>
          <w:left w:w="0" w:type="dxa"/>
          <w:bottom w:w="0" w:type="dxa"/>
          <w:right w:w="0" w:type="dxa"/>
        </w:tblCellMar>
      </w:tblPr>
      <w:tr>
        <w:trPr>
          <w:trHeight w:val="128"/>
        </w:trPr>
        <w:tc>
          <w:tcPr>
            <w:tcW w:w="5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Quantum</w:t>
            </w:r>
          </w:p>
        </w:tc>
        <w:tc>
          <w:tcPr>
            <w:tcW w:w="20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93"/>
              </w:rPr>
              <w:t>Fair Value</w:t>
            </w:r>
          </w:p>
        </w:tc>
        <w:tc>
          <w:tcPr>
            <w:tcW w:w="120" w:type="dxa"/>
            <w:vAlign w:val="bottom"/>
          </w:tcPr>
          <w:p>
            <w:pPr>
              <w:spacing w:after="0"/>
              <w:rPr>
                <w:sz w:val="11"/>
                <w:szCs w:val="11"/>
                <w:color w:val="auto"/>
              </w:rPr>
            </w:pPr>
          </w:p>
        </w:tc>
        <w:tc>
          <w:tcPr>
            <w:tcW w:w="128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7"/>
              </w:rPr>
              <w:t>Provisional Period</w:t>
            </w:r>
          </w:p>
        </w:tc>
        <w:tc>
          <w:tcPr>
            <w:tcW w:w="160" w:type="dxa"/>
            <w:vAlign w:val="bottom"/>
          </w:tcPr>
          <w:p>
            <w:pPr>
              <w:spacing w:after="0"/>
              <w:rPr>
                <w:sz w:val="11"/>
                <w:szCs w:val="11"/>
                <w:color w:val="auto"/>
              </w:rPr>
            </w:pPr>
          </w:p>
        </w:tc>
        <w:tc>
          <w:tcPr>
            <w:tcW w:w="1160" w:type="dxa"/>
            <w:vAlign w:val="bottom"/>
          </w:tcPr>
          <w:p>
            <w:pPr>
              <w:jc w:val="right"/>
              <w:ind w:right="156"/>
              <w:spacing w:after="0" w:line="128" w:lineRule="exact"/>
              <w:rPr>
                <w:sz w:val="20"/>
                <w:szCs w:val="20"/>
                <w:color w:val="auto"/>
              </w:rPr>
            </w:pPr>
            <w:r>
              <w:rPr>
                <w:rFonts w:ascii="Arial" w:cs="Arial" w:eastAsia="Arial" w:hAnsi="Arial"/>
                <w:sz w:val="13"/>
                <w:szCs w:val="13"/>
                <w:b w:val="1"/>
                <w:bCs w:val="1"/>
                <w:color w:val="auto"/>
                <w:w w:val="92"/>
              </w:rPr>
              <w:t>As Recorded by</w:t>
            </w: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Adjustments</w:t>
            </w:r>
          </w:p>
        </w:tc>
        <w:tc>
          <w:tcPr>
            <w:tcW w:w="1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3"/>
                <w:szCs w:val="13"/>
                <w:b w:val="1"/>
                <w:bCs w:val="1"/>
                <w:color w:val="auto"/>
              </w:rPr>
              <w:t>HomeTrust</w:t>
            </w:r>
          </w:p>
        </w:tc>
        <w:tc>
          <w:tcPr>
            <w:tcW w:w="0" w:type="dxa"/>
            <w:vAlign w:val="bottom"/>
          </w:tcPr>
          <w:p>
            <w:pPr>
              <w:spacing w:after="0"/>
              <w:rPr>
                <w:sz w:val="1"/>
                <w:szCs w:val="1"/>
                <w:color w:val="auto"/>
              </w:rPr>
            </w:pPr>
          </w:p>
        </w:tc>
      </w:tr>
      <w:tr>
        <w:trPr>
          <w:trHeight w:val="152"/>
        </w:trPr>
        <w:tc>
          <w:tcPr>
            <w:tcW w:w="57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 acquired</w:t>
            </w: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47,769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47,769</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Debt securities available for sale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FHLB and FRB stock</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Loans</w:t>
            </w:r>
            <w:r>
              <w:rPr>
                <w:rFonts w:ascii="Arial" w:cs="Arial" w:eastAsia="Arial" w:hAnsi="Arial"/>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561,933</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Premises and equipment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9,083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interest receivable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BOLI</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9,066</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Core deposit intangibles</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12,210</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3,117</w:t>
            </w:r>
          </w:p>
        </w:tc>
        <w:tc>
          <w:tcPr>
            <w:tcW w:w="0" w:type="dxa"/>
            <w:vAlign w:val="bottom"/>
          </w:tcPr>
          <w:p>
            <w:pPr>
              <w:spacing w:after="0"/>
              <w:rPr>
                <w:sz w:val="1"/>
                <w:szCs w:val="1"/>
                <w:color w:val="auto"/>
              </w:rPr>
            </w:pPr>
          </w:p>
        </w:tc>
      </w:tr>
      <w:tr>
        <w:trPr>
          <w:trHeight w:val="188"/>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 assets acquired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644,556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12,240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656,617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assumed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76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Deposits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570,419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570,602</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9,933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borrowings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70"/>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liabilities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w:t>
            </w:r>
          </w:p>
        </w:tc>
        <w:tc>
          <w:tcPr>
            <w:tcW w:w="0" w:type="dxa"/>
            <w:vAlign w:val="bottom"/>
          </w:tcPr>
          <w:p>
            <w:pPr>
              <w:spacing w:after="0"/>
              <w:rPr>
                <w:sz w:val="1"/>
                <w:szCs w:val="1"/>
                <w:color w:val="auto"/>
              </w:rPr>
            </w:pPr>
          </w:p>
        </w:tc>
      </w:tr>
      <w:tr>
        <w:trPr>
          <w:trHeight w:val="163"/>
        </w:trPr>
        <w:tc>
          <w:tcPr>
            <w:tcW w:w="5760" w:type="dxa"/>
            <w:vAlign w:val="bottom"/>
          </w:tcPr>
          <w:p>
            <w:pPr>
              <w:ind w:left="140"/>
              <w:spacing w:after="0"/>
              <w:rPr>
                <w:sz w:val="20"/>
                <w:szCs w:val="20"/>
                <w:color w:val="auto"/>
              </w:rPr>
            </w:pPr>
            <w:r>
              <w:rPr>
                <w:rFonts w:ascii="Arial" w:cs="Arial" w:eastAsia="Arial" w:hAnsi="Arial"/>
                <w:sz w:val="13"/>
                <w:szCs w:val="13"/>
                <w:b w:val="1"/>
                <w:bCs w:val="1"/>
                <w:color w:val="auto"/>
              </w:rPr>
              <w:t>Total liabilities assumed</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609,822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610,188</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assets acquired</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46,429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Consideration paid</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Common stock consideration</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140"/>
              <w:spacing w:after="0"/>
              <w:rPr>
                <w:sz w:val="20"/>
                <w:szCs w:val="20"/>
                <w:color w:val="auto"/>
              </w:rPr>
            </w:pPr>
            <w:r>
              <w:rPr>
                <w:rFonts w:ascii="Arial" w:cs="Arial" w:eastAsia="Arial" w:hAnsi="Arial"/>
                <w:sz w:val="13"/>
                <w:szCs w:val="13"/>
                <w:color w:val="auto"/>
              </w:rPr>
              <w:t>Shares of Quantum</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574,157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Exchange ratio</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2.3942</w:t>
            </w:r>
          </w:p>
        </w:tc>
        <w:tc>
          <w:tcPr>
            <w:tcW w:w="0" w:type="dxa"/>
            <w:vAlign w:val="bottom"/>
          </w:tcPr>
          <w:p>
            <w:pPr>
              <w:spacing w:after="0"/>
              <w:rPr>
                <w:sz w:val="1"/>
                <w:szCs w:val="1"/>
                <w:color w:val="auto"/>
              </w:rPr>
            </w:pPr>
          </w:p>
        </w:tc>
      </w:tr>
      <w:tr>
        <w:trPr>
          <w:trHeight w:val="158"/>
        </w:trPr>
        <w:tc>
          <w:tcPr>
            <w:tcW w:w="5760" w:type="dxa"/>
            <w:vAlign w:val="bottom"/>
          </w:tcPr>
          <w:p>
            <w:pPr>
              <w:ind w:left="140"/>
              <w:spacing w:after="0"/>
              <w:rPr>
                <w:sz w:val="20"/>
                <w:szCs w:val="20"/>
                <w:color w:val="auto"/>
              </w:rPr>
            </w:pPr>
            <w:r>
              <w:rPr>
                <w:rFonts w:ascii="Arial" w:cs="Arial" w:eastAsia="Arial" w:hAnsi="Arial"/>
                <w:sz w:val="13"/>
                <w:szCs w:val="13"/>
                <w:color w:val="auto"/>
              </w:rPr>
              <w:t>HomeTrust common stock issued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1,374,647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Price per share of HomeTrust common stock on February 10, 2023</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27.45</w:t>
            </w:r>
          </w:p>
        </w:tc>
        <w:tc>
          <w:tcPr>
            <w:tcW w:w="0" w:type="dxa"/>
            <w:vAlign w:val="bottom"/>
          </w:tcPr>
          <w:p>
            <w:pPr>
              <w:spacing w:after="0"/>
              <w:rPr>
                <w:sz w:val="1"/>
                <w:szCs w:val="1"/>
                <w:color w:val="auto"/>
              </w:rPr>
            </w:pPr>
          </w:p>
        </w:tc>
      </w:tr>
      <w:tr>
        <w:trPr>
          <w:trHeight w:val="158"/>
        </w:trPr>
        <w:tc>
          <w:tcPr>
            <w:tcW w:w="5760" w:type="dxa"/>
            <w:vAlign w:val="bottom"/>
          </w:tcPr>
          <w:p>
            <w:pPr>
              <w:ind w:left="220"/>
              <w:spacing w:after="0"/>
              <w:rPr>
                <w:sz w:val="20"/>
                <w:szCs w:val="20"/>
                <w:color w:val="auto"/>
              </w:rPr>
            </w:pPr>
            <w:r>
              <w:rPr>
                <w:rFonts w:ascii="Arial" w:cs="Arial" w:eastAsia="Arial" w:hAnsi="Arial"/>
                <w:sz w:val="13"/>
                <w:szCs w:val="13"/>
                <w:color w:val="auto"/>
              </w:rPr>
              <w:t>HomeTrust common stock consideration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37,734</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Cash consideration</w:t>
            </w:r>
            <w:r>
              <w:rPr>
                <w:rFonts w:ascii="Arial" w:cs="Arial" w:eastAsia="Arial" w:hAnsi="Arial"/>
                <w:sz w:val="16"/>
                <w:szCs w:val="16"/>
                <w:color w:val="auto"/>
                <w:vertAlign w:val="superscript"/>
              </w:rPr>
              <w:t>(2)</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17,168</w:t>
            </w:r>
          </w:p>
        </w:tc>
        <w:tc>
          <w:tcPr>
            <w:tcW w:w="0" w:type="dxa"/>
            <w:vAlign w:val="bottom"/>
          </w:tcPr>
          <w:p>
            <w:pPr>
              <w:spacing w:after="0"/>
              <w:rPr>
                <w:sz w:val="1"/>
                <w:szCs w:val="1"/>
                <w:color w:val="auto"/>
              </w:rPr>
            </w:pPr>
          </w:p>
        </w:tc>
      </w:tr>
      <w:tr>
        <w:trPr>
          <w:trHeight w:val="160"/>
        </w:trPr>
        <w:tc>
          <w:tcPr>
            <w:tcW w:w="5760" w:type="dxa"/>
            <w:vAlign w:val="bottom"/>
          </w:tcPr>
          <w:p>
            <w:pPr>
              <w:ind w:left="140"/>
              <w:spacing w:after="0"/>
              <w:rPr>
                <w:sz w:val="20"/>
                <w:szCs w:val="20"/>
                <w:color w:val="auto"/>
              </w:rPr>
            </w:pPr>
            <w:r>
              <w:rPr>
                <w:rFonts w:ascii="Arial" w:cs="Arial" w:eastAsia="Arial" w:hAnsi="Arial"/>
                <w:sz w:val="13"/>
                <w:szCs w:val="13"/>
                <w:b w:val="1"/>
                <w:bCs w:val="1"/>
                <w:color w:val="auto"/>
              </w:rPr>
              <w:t>Total consideration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54,902</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Goodwill</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20" w:hanging="315"/>
        <w:spacing w:after="0" w:line="281" w:lineRule="auto"/>
        <w:tabs>
          <w:tab w:leader="none" w:pos="314" w:val="left"/>
        </w:tabs>
        <w:numPr>
          <w:ilvl w:val="0"/>
          <w:numId w:val="26"/>
        </w:numPr>
        <w:rPr>
          <w:rFonts w:ascii="Arial" w:cs="Arial" w:eastAsia="Arial" w:hAnsi="Arial"/>
          <w:sz w:val="11"/>
          <w:szCs w:val="11"/>
          <w:color w:val="auto"/>
        </w:rPr>
      </w:pPr>
      <w:r>
        <w:rPr>
          <w:rFonts w:ascii="Arial" w:cs="Arial" w:eastAsia="Arial" w:hAnsi="Arial"/>
          <w:sz w:val="11"/>
          <w:szCs w:val="11"/>
          <w:color w:val="auto"/>
        </w:rPr>
        <w:t>Adjustments to Quantum's total loans include the elimination of Quantum's existing allowance for loan losses of $5,972, the recognition of an ACL at close on PCD loans of $369, and adjustments to reflect the estimated credit fair value mark on the non-PCD loan portfolio of $2,932 and the estimated interest rate fair value adjustment on the loan portfolio as a whole (non-PCD and PCD) of $7,878.</w:t>
      </w:r>
    </w:p>
    <w:p>
      <w:pPr>
        <w:jc w:val="both"/>
        <w:ind w:left="320" w:hanging="315"/>
        <w:spacing w:after="0" w:line="318" w:lineRule="auto"/>
        <w:tabs>
          <w:tab w:leader="none" w:pos="314" w:val="left"/>
        </w:tabs>
        <w:numPr>
          <w:ilvl w:val="0"/>
          <w:numId w:val="26"/>
        </w:numPr>
        <w:rPr>
          <w:rFonts w:ascii="Arial" w:cs="Arial" w:eastAsia="Arial" w:hAnsi="Arial"/>
          <w:sz w:val="10"/>
          <w:szCs w:val="10"/>
          <w:color w:val="auto"/>
        </w:rPr>
      </w:pPr>
      <w:r>
        <w:rPr>
          <w:rFonts w:ascii="Arial" w:cs="Arial" w:eastAsia="Arial" w:hAnsi="Arial"/>
          <w:sz w:val="10"/>
          <w:szCs w:val="10"/>
          <w:color w:val="auto"/>
        </w:rPr>
        <w:t>As indicated in the Current Report on Form 8-K/A filed with the SEC on March 30, 2023, the amount of cash consideration paid at closing differs from the $57.54 per share, or $33,037, reported in the Current Report on Form 8-K filed on February 13, 2023, which announced the closing of the merger. Consistent with the merger agreement, between the execution of the merger agreement and the transaction closing date, Quantum's principal stockholders had the option to withdraw some or all of the amount of cash consideration to eventually be paid at closing in advance of the closing date. The amount of cash consideration paid at closing was reduced by the amount withdrawn during this time period.</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Goodwill of $8,473 arising from the merger consisted largely of synergies and the cost saves resulting from the combining of operations of the companies, and is not expected to be deductible for income tax purposes.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summary of PCD loans purchased as part of the Quantum merger as of the merger date: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Commercial Real</w:t>
            </w:r>
          </w:p>
        </w:tc>
        <w:tc>
          <w:tcPr>
            <w:tcW w:w="160" w:type="dxa"/>
            <w:vAlign w:val="bottom"/>
          </w:tcPr>
          <w:p>
            <w:pPr>
              <w:spacing w:after="0"/>
              <w:rPr>
                <w:sz w:val="12"/>
                <w:szCs w:val="12"/>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w w:val="99"/>
              </w:rPr>
              <w:t>Commercial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rPr>
              <w:t>Residential Real</w:t>
            </w:r>
          </w:p>
        </w:tc>
        <w:tc>
          <w:tcPr>
            <w:tcW w:w="200" w:type="dxa"/>
            <w:vAlign w:val="bottom"/>
          </w:tcPr>
          <w:p>
            <w:pPr>
              <w:spacing w:after="0"/>
              <w:rPr>
                <w:sz w:val="12"/>
                <w:szCs w:val="12"/>
                <w:color w:val="auto"/>
              </w:rPr>
            </w:pPr>
          </w:p>
        </w:tc>
        <w:tc>
          <w:tcPr>
            <w:tcW w:w="98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Consumer</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Unpaid principal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14,496</w:t>
            </w: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ACL</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Non-credit premium (discount)</w:t>
            </w: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(1,634)</w:t>
            </w:r>
          </w:p>
        </w:tc>
        <w:tc>
          <w:tcPr>
            <w:tcW w:w="0" w:type="dxa"/>
            <w:vAlign w:val="bottom"/>
          </w:tcPr>
          <w:p>
            <w:pPr>
              <w:spacing w:after="0"/>
              <w:rPr>
                <w:sz w:val="1"/>
                <w:szCs w:val="1"/>
                <w:color w:val="auto"/>
              </w:rPr>
            </w:pPr>
          </w:p>
        </w:tc>
      </w:tr>
      <w:tr>
        <w:trPr>
          <w:trHeight w:val="158"/>
        </w:trPr>
        <w:tc>
          <w:tcPr>
            <w:tcW w:w="5080" w:type="dxa"/>
            <w:vAlign w:val="bottom"/>
          </w:tcPr>
          <w:p>
            <w:pPr>
              <w:ind w:left="80"/>
              <w:spacing w:after="0"/>
              <w:rPr>
                <w:sz w:val="20"/>
                <w:szCs w:val="20"/>
                <w:color w:val="auto"/>
              </w:rPr>
            </w:pPr>
            <w:r>
              <w:rPr>
                <w:rFonts w:ascii="Arial" w:cs="Arial" w:eastAsia="Arial" w:hAnsi="Arial"/>
                <w:sz w:val="13"/>
                <w:szCs w:val="13"/>
                <w:b w:val="1"/>
                <w:bCs w:val="1"/>
                <w:color w:val="auto"/>
              </w:rPr>
              <w:t>Fair value of PCD loans at merger date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2,732</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9,369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392</w:t>
            </w:r>
          </w:p>
        </w:tc>
        <w:tc>
          <w:tcPr>
            <w:tcW w:w="10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12,493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The following unaudited pro forma combined condensed consolidated financial information presents the results of operations of the Company, including the effects of purchase accounting adjustments and acquisition expenses, had the merger taken place at July 1, 2021. The schedule excludes merger-related credit loss and merger-related expenses.</w:t>
      </w: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480"/>
              <w:spacing w:after="0"/>
              <w:rPr>
                <w:sz w:val="20"/>
                <w:szCs w:val="20"/>
                <w:color w:val="auto"/>
              </w:rPr>
            </w:pPr>
            <w:r>
              <w:rPr>
                <w:rFonts w:ascii="Arial" w:cs="Arial" w:eastAsia="Arial" w:hAnsi="Arial"/>
                <w:sz w:val="13"/>
                <w:szCs w:val="13"/>
                <w:b w:val="1"/>
                <w:bCs w:val="1"/>
                <w:color w:val="auto"/>
              </w:rPr>
              <w:t>Year Ended June 30,</w:t>
            </w:r>
          </w:p>
        </w:tc>
        <w:tc>
          <w:tcPr>
            <w:tcW w:w="0" w:type="dxa"/>
            <w:vAlign w:val="bottom"/>
          </w:tcPr>
          <w:p>
            <w:pPr>
              <w:spacing w:after="0"/>
              <w:rPr>
                <w:sz w:val="1"/>
                <w:szCs w:val="1"/>
                <w:color w:val="auto"/>
              </w:rPr>
            </w:pPr>
          </w:p>
        </w:tc>
      </w:tr>
      <w:tr>
        <w:trPr>
          <w:trHeight w:val="160"/>
        </w:trPr>
        <w:tc>
          <w:tcPr>
            <w:tcW w:w="1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47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Interest and dividend income</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214,703</w:t>
            </w:r>
          </w:p>
        </w:tc>
        <w:tc>
          <w:tcPr>
            <w:tcW w:w="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151,427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Interest expense</w:t>
            </w:r>
          </w:p>
        </w:tc>
        <w:tc>
          <w:tcPr>
            <w:tcW w:w="8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32,866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interest income</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181,837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144,665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Provision (benefit) for credit losses</w:t>
            </w:r>
          </w:p>
        </w:tc>
        <w:tc>
          <w:tcPr>
            <w:tcW w:w="8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10,122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interest income after provision (benefit) for credit losses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171,715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140,302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20" w:type="dxa"/>
            <w:vAlign w:val="bottom"/>
            <w:gridSpan w:val="3"/>
          </w:tcPr>
          <w:p>
            <w:pPr>
              <w:ind w:left="20"/>
              <w:spacing w:after="0"/>
              <w:rPr>
                <w:sz w:val="20"/>
                <w:szCs w:val="20"/>
                <w:color w:val="auto"/>
              </w:rPr>
            </w:pPr>
            <w:r>
              <w:rPr>
                <w:rFonts w:ascii="Arial" w:cs="Arial" w:eastAsia="Arial" w:hAnsi="Arial"/>
                <w:sz w:val="13"/>
                <w:szCs w:val="13"/>
                <w:color w:val="auto"/>
              </w:rPr>
              <w:t>Noninterest income</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32,950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44,608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Noninterest expense</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121,430</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130,040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20" w:type="dxa"/>
            <w:vAlign w:val="bottom"/>
            <w:gridSpan w:val="3"/>
          </w:tcPr>
          <w:p>
            <w:pPr>
              <w:ind w:left="20"/>
              <w:spacing w:after="0"/>
              <w:rPr>
                <w:sz w:val="20"/>
                <w:szCs w:val="20"/>
                <w:color w:val="auto"/>
              </w:rPr>
            </w:pPr>
            <w:r>
              <w:rPr>
                <w:rFonts w:ascii="Arial" w:cs="Arial" w:eastAsia="Arial" w:hAnsi="Arial"/>
                <w:sz w:val="13"/>
                <w:szCs w:val="13"/>
                <w:color w:val="auto"/>
              </w:rPr>
              <w:t>Net income before income taxes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83,235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54,870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18,556</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20" w:type="dxa"/>
            <w:vAlign w:val="bottom"/>
            <w:gridSpan w:val="3"/>
          </w:tcPr>
          <w:p>
            <w:pPr>
              <w:ind w:left="20"/>
              <w:spacing w:after="0"/>
              <w:rPr>
                <w:sz w:val="20"/>
                <w:szCs w:val="20"/>
                <w:color w:val="auto"/>
              </w:rPr>
            </w:pPr>
            <w:r>
              <w:rPr>
                <w:rFonts w:ascii="Arial" w:cs="Arial" w:eastAsia="Arial" w:hAnsi="Arial"/>
                <w:sz w:val="13"/>
                <w:szCs w:val="13"/>
                <w:color w:val="auto"/>
              </w:rPr>
              <w:t>Net income</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64,679</w:t>
            </w:r>
          </w:p>
        </w:tc>
        <w:tc>
          <w:tcPr>
            <w:tcW w:w="20" w:type="dxa"/>
            <w:vAlign w:val="bottom"/>
          </w:tcPr>
          <w:p>
            <w:pPr>
              <w:spacing w:after="0"/>
              <w:rPr>
                <w:sz w:val="14"/>
                <w:szCs w:val="14"/>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47,278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720" w:type="dxa"/>
            <w:vAlign w:val="bottom"/>
            <w:gridSpan w:val="3"/>
            <w:shd w:val="clear" w:color="auto" w:fill="CCEEFF"/>
          </w:tcPr>
          <w:p>
            <w:pPr>
              <w:ind w:left="20"/>
              <w:spacing w:after="0" w:line="131" w:lineRule="exact"/>
              <w:rPr>
                <w:sz w:val="20"/>
                <w:szCs w:val="20"/>
                <w:color w:val="auto"/>
              </w:rPr>
            </w:pPr>
            <w:r>
              <w:rPr>
                <w:rFonts w:ascii="Arial" w:cs="Arial" w:eastAsia="Arial" w:hAnsi="Arial"/>
                <w:sz w:val="13"/>
                <w:szCs w:val="13"/>
                <w:color w:val="auto"/>
              </w:rPr>
              <w:t>Per share data</w:t>
            </w: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720" w:type="dxa"/>
            <w:vAlign w:val="bottom"/>
            <w:gridSpan w:val="3"/>
          </w:tcPr>
          <w:p>
            <w:pPr>
              <w:ind w:left="100"/>
              <w:spacing w:after="0"/>
              <w:rPr>
                <w:sz w:val="20"/>
                <w:szCs w:val="20"/>
                <w:color w:val="auto"/>
              </w:rPr>
            </w:pPr>
            <w:r>
              <w:rPr>
                <w:rFonts w:ascii="Arial" w:cs="Arial" w:eastAsia="Arial" w:hAnsi="Arial"/>
                <w:sz w:val="13"/>
                <w:szCs w:val="13"/>
                <w:color w:val="auto"/>
              </w:rPr>
              <w:t>Net income per common share</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Basic</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5580" w:type="dxa"/>
            <w:vAlign w:val="bottom"/>
            <w:gridSpan w:val="2"/>
          </w:tcPr>
          <w:p>
            <w:pPr>
              <w:ind w:left="40"/>
              <w:spacing w:after="0"/>
              <w:rPr>
                <w:sz w:val="20"/>
                <w:szCs w:val="20"/>
                <w:color w:val="auto"/>
              </w:rPr>
            </w:pPr>
            <w:r>
              <w:rPr>
                <w:rFonts w:ascii="Arial" w:cs="Arial" w:eastAsia="Arial" w:hAnsi="Arial"/>
                <w:sz w:val="13"/>
                <w:szCs w:val="13"/>
                <w:color w:val="auto"/>
              </w:rPr>
              <w:t>Diluted</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3.74</w:t>
            </w:r>
          </w:p>
        </w:tc>
        <w:tc>
          <w:tcPr>
            <w:tcW w:w="20" w:type="dxa"/>
            <w:vAlign w:val="bottom"/>
          </w:tcPr>
          <w:p>
            <w:pPr>
              <w:spacing w:after="0"/>
              <w:rPr>
                <w:sz w:val="14"/>
                <w:szCs w:val="14"/>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Average shares outstanding</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5580" w:type="dxa"/>
            <w:vAlign w:val="bottom"/>
            <w:gridSpan w:val="2"/>
          </w:tcPr>
          <w:p>
            <w:pPr>
              <w:ind w:left="40"/>
              <w:spacing w:after="0"/>
              <w:rPr>
                <w:sz w:val="20"/>
                <w:szCs w:val="20"/>
                <w:color w:val="auto"/>
              </w:rPr>
            </w:pPr>
            <w:r>
              <w:rPr>
                <w:rFonts w:ascii="Arial" w:cs="Arial" w:eastAsia="Arial" w:hAnsi="Arial"/>
                <w:sz w:val="13"/>
                <w:szCs w:val="13"/>
                <w:color w:val="auto"/>
              </w:rPr>
              <w:t>Basic</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17,073,264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16,890,819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Diluted</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17,156,152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17,185,055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5720" w:type="dxa"/>
            <w:vAlign w:val="bottom"/>
            <w:gridSpan w:val="3"/>
          </w:tcPr>
          <w:p>
            <w:pPr>
              <w:spacing w:after="0"/>
              <w:rPr>
                <w:sz w:val="20"/>
                <w:szCs w:val="20"/>
                <w:color w:val="auto"/>
              </w:rPr>
            </w:pPr>
            <w:r>
              <w:rPr>
                <w:rFonts w:ascii="Arial" w:cs="Arial" w:eastAsia="Arial" w:hAnsi="Arial"/>
                <w:sz w:val="13"/>
                <w:szCs w:val="13"/>
                <w:b w:val="1"/>
                <w:bCs w:val="1"/>
                <w:color w:val="auto"/>
              </w:rPr>
              <w:t>4. Debt Securities</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20" w:type="dxa"/>
            <w:vAlign w:val="bottom"/>
            <w:gridSpan w:val="3"/>
          </w:tcPr>
          <w:p>
            <w:pPr>
              <w:spacing w:after="0"/>
              <w:rPr>
                <w:sz w:val="20"/>
                <w:szCs w:val="20"/>
                <w:color w:val="auto"/>
              </w:rPr>
            </w:pPr>
            <w:r>
              <w:rPr>
                <w:rFonts w:ascii="Arial" w:cs="Arial" w:eastAsia="Arial" w:hAnsi="Arial"/>
                <w:sz w:val="13"/>
                <w:szCs w:val="13"/>
                <w:color w:val="auto"/>
              </w:rPr>
              <w:t>Debt securities available for sale consist of the following at the dates indicated:</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w w:val="87"/>
              </w:rPr>
              <w:t>June 30, 2023</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1"/>
              </w:rPr>
              <w:t>Amortized</w:t>
            </w:r>
          </w:p>
        </w:tc>
        <w:tc>
          <w:tcPr>
            <w:tcW w:w="980" w:type="dxa"/>
            <w:vAlign w:val="bottom"/>
          </w:tcPr>
          <w:p>
            <w:pPr>
              <w:jc w:val="center"/>
              <w:ind w:left="276"/>
              <w:spacing w:after="0" w:line="120" w:lineRule="exact"/>
              <w:rPr>
                <w:sz w:val="20"/>
                <w:szCs w:val="20"/>
                <w:color w:val="auto"/>
              </w:rPr>
            </w:pPr>
            <w:r>
              <w:rPr>
                <w:rFonts w:ascii="Arial" w:cs="Arial" w:eastAsia="Arial" w:hAnsi="Arial"/>
                <w:sz w:val="13"/>
                <w:szCs w:val="13"/>
                <w:b w:val="1"/>
                <w:bCs w:val="1"/>
                <w:color w:val="auto"/>
                <w:w w:val="8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jc w:val="center"/>
              <w:ind w:right="360"/>
              <w:spacing w:after="0" w:line="120" w:lineRule="exact"/>
              <w:rPr>
                <w:sz w:val="20"/>
                <w:szCs w:val="20"/>
                <w:color w:val="auto"/>
              </w:rPr>
            </w:pPr>
            <w:r>
              <w:rPr>
                <w:rFonts w:ascii="Arial" w:cs="Arial" w:eastAsia="Arial" w:hAnsi="Arial"/>
                <w:sz w:val="13"/>
                <w:szCs w:val="13"/>
                <w:b w:val="1"/>
                <w:bCs w:val="1"/>
                <w:color w:val="auto"/>
                <w:w w:val="85"/>
              </w:rPr>
              <w:t>Gross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right="196"/>
              <w:spacing w:after="0" w:line="120" w:lineRule="exact"/>
              <w:rPr>
                <w:sz w:val="20"/>
                <w:szCs w:val="20"/>
                <w:color w:val="auto"/>
              </w:rPr>
            </w:pPr>
            <w:r>
              <w:rPr>
                <w:rFonts w:ascii="Arial" w:cs="Arial" w:eastAsia="Arial" w:hAnsi="Arial"/>
                <w:sz w:val="13"/>
                <w:szCs w:val="13"/>
                <w:b w:val="1"/>
                <w:bCs w:val="1"/>
                <w:color w:val="auto"/>
                <w:w w:val="90"/>
              </w:rPr>
              <w:t>Estimated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98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1"/>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8"/>
        </w:trPr>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ind w:left="436"/>
              <w:spacing w:after="0"/>
              <w:rPr>
                <w:sz w:val="20"/>
                <w:szCs w:val="20"/>
                <w:color w:val="auto"/>
              </w:rPr>
            </w:pPr>
            <w:r>
              <w:rPr>
                <w:rFonts w:ascii="Arial" w:cs="Arial" w:eastAsia="Arial" w:hAnsi="Arial"/>
                <w:sz w:val="13"/>
                <w:szCs w:val="13"/>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w w:val="88"/>
              </w:rPr>
              <w:t>Gains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6"/>
              <w:spacing w:after="0"/>
              <w:rPr>
                <w:sz w:val="20"/>
                <w:szCs w:val="20"/>
                <w:color w:val="auto"/>
              </w:rPr>
            </w:pPr>
            <w:r>
              <w:rPr>
                <w:rFonts w:ascii="Arial" w:cs="Arial" w:eastAsia="Arial" w:hAnsi="Arial"/>
                <w:sz w:val="13"/>
                <w:szCs w:val="13"/>
                <w:b w:val="1"/>
                <w:bCs w:val="1"/>
                <w:color w:val="auto"/>
                <w:w w:val="75"/>
              </w:rPr>
              <w:t>Losses</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20" w:type="dxa"/>
            <w:vAlign w:val="bottom"/>
            <w:gridSpan w:val="3"/>
          </w:tcPr>
          <w:p>
            <w:pPr>
              <w:ind w:left="20"/>
              <w:spacing w:after="0"/>
              <w:rPr>
                <w:sz w:val="20"/>
                <w:szCs w:val="20"/>
                <w:color w:val="auto"/>
              </w:rPr>
            </w:pPr>
            <w:r>
              <w:rPr>
                <w:rFonts w:ascii="Arial" w:cs="Arial" w:eastAsia="Arial" w:hAnsi="Arial"/>
                <w:sz w:val="13"/>
                <w:szCs w:val="13"/>
                <w:color w:val="auto"/>
              </w:rPr>
              <w:t>MBS, residential</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110,865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(3,451)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107,414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Corporate bonds</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27,881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7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157,251</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151,926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w w:val="87"/>
              </w:rPr>
              <w:t>June 30, 2022</w:t>
            </w: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1"/>
              </w:rPr>
              <w:t>Amortized</w:t>
            </w:r>
          </w:p>
        </w:tc>
        <w:tc>
          <w:tcPr>
            <w:tcW w:w="980" w:type="dxa"/>
            <w:vAlign w:val="bottom"/>
          </w:tcPr>
          <w:p>
            <w:pPr>
              <w:jc w:val="center"/>
              <w:ind w:left="276"/>
              <w:spacing w:after="0" w:line="120" w:lineRule="exact"/>
              <w:rPr>
                <w:sz w:val="20"/>
                <w:szCs w:val="20"/>
                <w:color w:val="auto"/>
              </w:rPr>
            </w:pPr>
            <w:r>
              <w:rPr>
                <w:rFonts w:ascii="Arial" w:cs="Arial" w:eastAsia="Arial" w:hAnsi="Arial"/>
                <w:sz w:val="13"/>
                <w:szCs w:val="13"/>
                <w:b w:val="1"/>
                <w:bCs w:val="1"/>
                <w:color w:val="auto"/>
                <w:w w:val="8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jc w:val="center"/>
              <w:ind w:right="360"/>
              <w:spacing w:after="0" w:line="120" w:lineRule="exact"/>
              <w:rPr>
                <w:sz w:val="20"/>
                <w:szCs w:val="20"/>
                <w:color w:val="auto"/>
              </w:rPr>
            </w:pPr>
            <w:r>
              <w:rPr>
                <w:rFonts w:ascii="Arial" w:cs="Arial" w:eastAsia="Arial" w:hAnsi="Arial"/>
                <w:sz w:val="13"/>
                <w:szCs w:val="13"/>
                <w:b w:val="1"/>
                <w:bCs w:val="1"/>
                <w:color w:val="auto"/>
                <w:w w:val="85"/>
              </w:rPr>
              <w:t>Gross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right="196"/>
              <w:spacing w:after="0" w:line="120" w:lineRule="exact"/>
              <w:rPr>
                <w:sz w:val="20"/>
                <w:szCs w:val="20"/>
                <w:color w:val="auto"/>
              </w:rPr>
            </w:pPr>
            <w:r>
              <w:rPr>
                <w:rFonts w:ascii="Arial" w:cs="Arial" w:eastAsia="Arial" w:hAnsi="Arial"/>
                <w:sz w:val="13"/>
                <w:szCs w:val="13"/>
                <w:b w:val="1"/>
                <w:bCs w:val="1"/>
                <w:color w:val="auto"/>
                <w:w w:val="90"/>
              </w:rPr>
              <w:t>Estimated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98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1"/>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8"/>
        </w:trPr>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ind w:left="436"/>
              <w:spacing w:after="0"/>
              <w:rPr>
                <w:sz w:val="20"/>
                <w:szCs w:val="20"/>
                <w:color w:val="auto"/>
              </w:rPr>
            </w:pPr>
            <w:r>
              <w:rPr>
                <w:rFonts w:ascii="Arial" w:cs="Arial" w:eastAsia="Arial" w:hAnsi="Arial"/>
                <w:sz w:val="13"/>
                <w:szCs w:val="13"/>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w w:val="88"/>
              </w:rPr>
              <w:t>Gains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6"/>
              <w:spacing w:after="0"/>
              <w:rPr>
                <w:sz w:val="20"/>
                <w:szCs w:val="20"/>
                <w:color w:val="auto"/>
              </w:rPr>
            </w:pPr>
            <w:r>
              <w:rPr>
                <w:rFonts w:ascii="Arial" w:cs="Arial" w:eastAsia="Arial" w:hAnsi="Arial"/>
                <w:sz w:val="13"/>
                <w:szCs w:val="13"/>
                <w:b w:val="1"/>
                <w:bCs w:val="1"/>
                <w:color w:val="auto"/>
                <w:w w:val="75"/>
              </w:rPr>
              <w:t>Losses</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20" w:type="dxa"/>
            <w:vAlign w:val="bottom"/>
            <w:gridSpan w:val="3"/>
          </w:tcPr>
          <w:p>
            <w:pPr>
              <w:ind w:left="20"/>
              <w:spacing w:after="0"/>
              <w:rPr>
                <w:sz w:val="20"/>
                <w:szCs w:val="20"/>
                <w:color w:val="auto"/>
              </w:rPr>
            </w:pPr>
            <w:r>
              <w:rPr>
                <w:rFonts w:ascii="Arial" w:cs="Arial" w:eastAsia="Arial" w:hAnsi="Arial"/>
                <w:sz w:val="13"/>
                <w:szCs w:val="13"/>
                <w:color w:val="auto"/>
              </w:rPr>
              <w:t>MBS, residential</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48,377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(1,147)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47,233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Corporate bonds</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57,184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72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130,099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(3,161)</w:t>
            </w:r>
          </w:p>
        </w:tc>
        <w:tc>
          <w:tcPr>
            <w:tcW w:w="2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Debt securities available for sale by contractual maturity at June 30, 2023 and 2022 are shown below. MBS are not included in the maturity categories because the borrowers in the underlying pools may prepay without penalty; therefore, it is unlikely that the securities will pay at their stated maturity schedule.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June 30, 2023</w:t>
            </w:r>
          </w:p>
        </w:tc>
        <w:tc>
          <w:tcPr>
            <w:tcW w:w="1220" w:type="dxa"/>
            <w:vAlign w:val="bottom"/>
            <w:tcBorders>
              <w:bottom w:val="single" w:sz="8" w:color="auto"/>
            </w:tcBorders>
          </w:tcPr>
          <w:p>
            <w:pPr>
              <w:spacing w:after="0"/>
              <w:rPr>
                <w:sz w:val="14"/>
                <w:szCs w:val="14"/>
                <w:color w:val="auto"/>
              </w:rPr>
            </w:pPr>
          </w:p>
        </w:tc>
      </w:tr>
      <w:tr>
        <w:trPr>
          <w:trHeight w:val="120"/>
        </w:trPr>
        <w:tc>
          <w:tcPr>
            <w:tcW w:w="7840" w:type="dxa"/>
            <w:vAlign w:val="bottom"/>
          </w:tcPr>
          <w:p>
            <w:pPr>
              <w:spacing w:after="0"/>
              <w:rPr>
                <w:sz w:val="10"/>
                <w:szCs w:val="10"/>
                <w:color w:val="auto"/>
              </w:rPr>
            </w:pPr>
          </w:p>
        </w:tc>
        <w:tc>
          <w:tcPr>
            <w:tcW w:w="1140" w:type="dxa"/>
            <w:vAlign w:val="bottom"/>
          </w:tcPr>
          <w:p>
            <w:pPr>
              <w:jc w:val="right"/>
              <w:spacing w:after="0" w:line="120" w:lineRule="exact"/>
              <w:rPr>
                <w:sz w:val="20"/>
                <w:szCs w:val="20"/>
                <w:color w:val="auto"/>
              </w:rPr>
            </w:pPr>
            <w:r>
              <w:rPr>
                <w:rFonts w:ascii="Arial" w:cs="Arial" w:eastAsia="Arial" w:hAnsi="Arial"/>
                <w:sz w:val="13"/>
                <w:szCs w:val="13"/>
                <w:b w:val="1"/>
                <w:bCs w:val="1"/>
                <w:color w:val="auto"/>
              </w:rPr>
              <w:t>Amortized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jc w:val="right"/>
              <w:ind w:right="496"/>
              <w:spacing w:after="0" w:line="120" w:lineRule="exact"/>
              <w:rPr>
                <w:sz w:val="20"/>
                <w:szCs w:val="20"/>
                <w:color w:val="auto"/>
              </w:rPr>
            </w:pPr>
            <w:r>
              <w:rPr>
                <w:rFonts w:ascii="Arial" w:cs="Arial" w:eastAsia="Arial" w:hAnsi="Arial"/>
                <w:sz w:val="13"/>
                <w:szCs w:val="13"/>
                <w:b w:val="1"/>
                <w:bCs w:val="1"/>
                <w:color w:val="auto"/>
              </w:rPr>
              <w:t>Estimated</w:t>
            </w:r>
          </w:p>
        </w:tc>
      </w:tr>
      <w:tr>
        <w:trPr>
          <w:trHeight w:val="168"/>
        </w:trPr>
        <w:tc>
          <w:tcPr>
            <w:tcW w:w="78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Cost</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Fair Value</w:t>
            </w: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within one year</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37,881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37,060</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2,994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2,903</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4,549</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1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MBS, residential</w:t>
            </w:r>
          </w:p>
        </w:tc>
        <w:tc>
          <w:tcPr>
            <w:tcW w:w="1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110,865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107,414</w:t>
            </w:r>
          </w:p>
        </w:tc>
      </w:tr>
      <w:tr>
        <w:trPr>
          <w:trHeight w:val="163"/>
        </w:trPr>
        <w:tc>
          <w:tcPr>
            <w:tcW w:w="784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157,251</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151,926</w:t>
            </w:r>
          </w:p>
        </w:tc>
      </w:tr>
      <w:tr>
        <w:trPr>
          <w:trHeight w:val="20"/>
        </w:trPr>
        <w:tc>
          <w:tcPr>
            <w:tcW w:w="7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June 30, 2022</w:t>
            </w:r>
          </w:p>
        </w:tc>
        <w:tc>
          <w:tcPr>
            <w:tcW w:w="1220" w:type="dxa"/>
            <w:vAlign w:val="bottom"/>
            <w:tcBorders>
              <w:bottom w:val="single" w:sz="8" w:color="auto"/>
            </w:tcBorders>
          </w:tcPr>
          <w:p>
            <w:pPr>
              <w:spacing w:after="0"/>
              <w:rPr>
                <w:sz w:val="14"/>
                <w:szCs w:val="14"/>
                <w:color w:val="auto"/>
              </w:rPr>
            </w:pPr>
          </w:p>
        </w:tc>
      </w:tr>
      <w:tr>
        <w:trPr>
          <w:trHeight w:val="120"/>
        </w:trPr>
        <w:tc>
          <w:tcPr>
            <w:tcW w:w="7840" w:type="dxa"/>
            <w:vAlign w:val="bottom"/>
          </w:tcPr>
          <w:p>
            <w:pPr>
              <w:spacing w:after="0"/>
              <w:rPr>
                <w:sz w:val="10"/>
                <w:szCs w:val="10"/>
                <w:color w:val="auto"/>
              </w:rPr>
            </w:pPr>
          </w:p>
        </w:tc>
        <w:tc>
          <w:tcPr>
            <w:tcW w:w="1140" w:type="dxa"/>
            <w:vAlign w:val="bottom"/>
          </w:tcPr>
          <w:p>
            <w:pPr>
              <w:jc w:val="right"/>
              <w:spacing w:after="0" w:line="120" w:lineRule="exact"/>
              <w:rPr>
                <w:sz w:val="20"/>
                <w:szCs w:val="20"/>
                <w:color w:val="auto"/>
              </w:rPr>
            </w:pPr>
            <w:r>
              <w:rPr>
                <w:rFonts w:ascii="Arial" w:cs="Arial" w:eastAsia="Arial" w:hAnsi="Arial"/>
                <w:sz w:val="13"/>
                <w:szCs w:val="13"/>
                <w:b w:val="1"/>
                <w:bCs w:val="1"/>
                <w:color w:val="auto"/>
              </w:rPr>
              <w:t>Amortized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jc w:val="right"/>
              <w:ind w:right="496"/>
              <w:spacing w:after="0" w:line="120" w:lineRule="exact"/>
              <w:rPr>
                <w:sz w:val="20"/>
                <w:szCs w:val="20"/>
                <w:color w:val="auto"/>
              </w:rPr>
            </w:pPr>
            <w:r>
              <w:rPr>
                <w:rFonts w:ascii="Arial" w:cs="Arial" w:eastAsia="Arial" w:hAnsi="Arial"/>
                <w:sz w:val="13"/>
                <w:szCs w:val="13"/>
                <w:b w:val="1"/>
                <w:bCs w:val="1"/>
                <w:color w:val="auto"/>
              </w:rPr>
              <w:t>Estimated</w:t>
            </w:r>
          </w:p>
        </w:tc>
      </w:tr>
      <w:tr>
        <w:trPr>
          <w:trHeight w:val="168"/>
        </w:trPr>
        <w:tc>
          <w:tcPr>
            <w:tcW w:w="78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Cost</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Fair Value</w:t>
            </w: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within one year</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34,956</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40,325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39,018</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5,771</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1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MBS, residential</w:t>
            </w:r>
          </w:p>
        </w:tc>
        <w:tc>
          <w:tcPr>
            <w:tcW w:w="1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48,377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47,233</w:t>
            </w:r>
          </w:p>
        </w:tc>
      </w:tr>
      <w:tr>
        <w:trPr>
          <w:trHeight w:val="163"/>
        </w:trPr>
        <w:tc>
          <w:tcPr>
            <w:tcW w:w="784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130,099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126,978</w:t>
            </w:r>
          </w:p>
        </w:tc>
      </w:tr>
      <w:tr>
        <w:trPr>
          <w:trHeight w:val="20"/>
        </w:trPr>
        <w:tc>
          <w:tcPr>
            <w:tcW w:w="7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During the year ended June 30, 2022, the Company received proceeds of $1,895 from the sale of seven trust preferred securities, recognizing gross gains of $1,895. These securities had previously been written down to zero through purchase accounting adjustments from a merger in a prior period and continued to be carried at this amount as there was no active market, therefore the full amount of the proceeds received were recognized as a gain. The Company had no sales of debt securities available for sale and no gross realized gains or losses were recognized during the years ended June 30, 2023 and 2021.</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Debt securities available for sale with amortized costs totaling $42,329 and $43,187 and market values of $40,475 and $41,876 at June 30, 2023 and June 30, 2022, respectively, were pledged as collateral to secure various public deposits and other borrowings.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The gross unrealized losses and the fair value for debt securities available for sale aggregated by the length of time that individual securities have been in a continuous unrealized loss position as of June 30, 2023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June 30, 2022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7"/>
              </w:rPr>
              <w:t>June 30, 2023</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0"/>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320"/>
              <w:spacing w:after="0"/>
              <w:rPr>
                <w:sz w:val="20"/>
                <w:szCs w:val="20"/>
                <w:color w:val="auto"/>
              </w:rPr>
            </w:pPr>
            <w:r>
              <w:rPr>
                <w:rFonts w:ascii="Arial" w:cs="Arial" w:eastAsia="Arial" w:hAnsi="Arial"/>
                <w:sz w:val="13"/>
                <w:szCs w:val="13"/>
                <w:b w:val="1"/>
                <w:bCs w:val="1"/>
                <w:color w:val="auto"/>
              </w:rPr>
              <w:t>Less than 12 Months</w:t>
            </w:r>
          </w:p>
        </w:tc>
        <w:tc>
          <w:tcPr>
            <w:tcW w:w="220" w:type="dxa"/>
            <w:vAlign w:val="bottom"/>
          </w:tcPr>
          <w:p>
            <w:pPr>
              <w:spacing w:after="0"/>
              <w:rPr>
                <w:sz w:val="13"/>
                <w:szCs w:val="13"/>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12 Months or More</w:t>
            </w:r>
          </w:p>
        </w:tc>
        <w:tc>
          <w:tcPr>
            <w:tcW w:w="220" w:type="dxa"/>
            <w:vAlign w:val="bottom"/>
          </w:tcPr>
          <w:p>
            <w:pPr>
              <w:spacing w:after="0"/>
              <w:rPr>
                <w:sz w:val="13"/>
                <w:szCs w:val="13"/>
                <w:color w:val="auto"/>
              </w:rPr>
            </w:pPr>
          </w:p>
        </w:tc>
        <w:tc>
          <w:tcPr>
            <w:tcW w:w="110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spacing w:after="0"/>
              <w:rPr>
                <w:sz w:val="13"/>
                <w:szCs w:val="13"/>
                <w:color w:val="auto"/>
              </w:rPr>
            </w:pPr>
          </w:p>
        </w:tc>
      </w:tr>
      <w:tr>
        <w:trPr>
          <w:trHeight w:val="120"/>
        </w:trPr>
        <w:tc>
          <w:tcPr>
            <w:tcW w:w="4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88"/>
              </w:rPr>
              <w:t>Unrealized</w:t>
            </w:r>
          </w:p>
        </w:tc>
      </w:tr>
      <w:tr>
        <w:trPr>
          <w:trHeight w:val="168"/>
        </w:trPr>
        <w:tc>
          <w:tcPr>
            <w:tcW w:w="4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2"/>
              </w:rPr>
              <w:t>Value</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75"/>
              </w:rPr>
              <w:t>Losses</w:t>
            </w:r>
          </w:p>
        </w:tc>
      </w:tr>
      <w:tr>
        <w:trPr>
          <w:trHeight w:val="16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83,281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(1,674)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24,133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107,414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(3,451)</w:t>
            </w:r>
          </w:p>
        </w:tc>
      </w:tr>
      <w:tr>
        <w:trPr>
          <w:trHeight w:val="172"/>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68"/>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25,053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w:t>
            </w:r>
          </w:p>
        </w:tc>
      </w:tr>
      <w:tr>
        <w:trPr>
          <w:trHeight w:val="188"/>
        </w:trPr>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86,308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151,176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57"/>
        </w:trPr>
        <w:tc>
          <w:tcPr>
            <w:tcW w:w="4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7"/>
              </w:rPr>
              <w:t>June 30, 2022</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160"/>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320"/>
              <w:spacing w:after="0"/>
              <w:rPr>
                <w:sz w:val="20"/>
                <w:szCs w:val="20"/>
                <w:color w:val="auto"/>
              </w:rPr>
            </w:pPr>
            <w:r>
              <w:rPr>
                <w:rFonts w:ascii="Arial" w:cs="Arial" w:eastAsia="Arial" w:hAnsi="Arial"/>
                <w:sz w:val="13"/>
                <w:szCs w:val="13"/>
                <w:b w:val="1"/>
                <w:bCs w:val="1"/>
                <w:color w:val="auto"/>
              </w:rPr>
              <w:t>Less than 12 Months</w:t>
            </w:r>
          </w:p>
        </w:tc>
        <w:tc>
          <w:tcPr>
            <w:tcW w:w="220" w:type="dxa"/>
            <w:vAlign w:val="bottom"/>
          </w:tcPr>
          <w:p>
            <w:pPr>
              <w:spacing w:after="0"/>
              <w:rPr>
                <w:sz w:val="13"/>
                <w:szCs w:val="13"/>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12 Months or More</w:t>
            </w:r>
          </w:p>
        </w:tc>
        <w:tc>
          <w:tcPr>
            <w:tcW w:w="220" w:type="dxa"/>
            <w:vAlign w:val="bottom"/>
          </w:tcPr>
          <w:p>
            <w:pPr>
              <w:spacing w:after="0"/>
              <w:rPr>
                <w:sz w:val="13"/>
                <w:szCs w:val="13"/>
                <w:color w:val="auto"/>
              </w:rPr>
            </w:pPr>
          </w:p>
        </w:tc>
        <w:tc>
          <w:tcPr>
            <w:tcW w:w="110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spacing w:after="0"/>
              <w:rPr>
                <w:sz w:val="13"/>
                <w:szCs w:val="13"/>
                <w:color w:val="auto"/>
              </w:rPr>
            </w:pPr>
          </w:p>
        </w:tc>
      </w:tr>
      <w:tr>
        <w:trPr>
          <w:trHeight w:val="120"/>
        </w:trPr>
        <w:tc>
          <w:tcPr>
            <w:tcW w:w="4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88"/>
              </w:rPr>
              <w:t>Unrealized</w:t>
            </w:r>
          </w:p>
        </w:tc>
      </w:tr>
      <w:tr>
        <w:trPr>
          <w:trHeight w:val="168"/>
        </w:trPr>
        <w:tc>
          <w:tcPr>
            <w:tcW w:w="4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2"/>
              </w:rPr>
              <w:t>Value</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75"/>
              </w:rPr>
              <w:t>Losses</w:t>
            </w:r>
          </w:p>
        </w:tc>
      </w:tr>
      <w:tr>
        <w:trPr>
          <w:trHeight w:val="16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41,658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46,927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(1,147)</w:t>
            </w:r>
          </w:p>
        </w:tc>
      </w:tr>
      <w:tr>
        <w:trPr>
          <w:trHeight w:val="172"/>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8"/>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39,454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14,273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53,727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w:t>
            </w:r>
          </w:p>
        </w:tc>
      </w:tr>
      <w:tr>
        <w:trPr>
          <w:trHeight w:val="188"/>
        </w:trPr>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97,543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securities with unrealized losses at June 30, 2023 and June 30, 2022 were 205 and 177, respectively.</w:t>
      </w:r>
    </w:p>
    <w:p>
      <w:pPr>
        <w:spacing w:after="0" w:line="52"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June 30, 2023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 Policies" for further discussion.</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Management excludes the accrued interest receivable balance from the amortized cost basis in measuring ECLs on investment securities and does not record an ACL on accrued interest receivable. As of June 30, 2023 and June 30, 2022, the accrued interest receivable for debt securities available for sale was $532 and $533,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gridSpan w:val="3"/>
          </w:tcPr>
          <w:p>
            <w:pPr>
              <w:spacing w:after="0"/>
              <w:rPr>
                <w:sz w:val="20"/>
                <w:szCs w:val="20"/>
                <w:color w:val="auto"/>
              </w:rPr>
            </w:pPr>
            <w:r>
              <w:rPr>
                <w:rFonts w:ascii="Arial" w:cs="Arial" w:eastAsia="Arial" w:hAnsi="Arial"/>
                <w:sz w:val="13"/>
                <w:szCs w:val="13"/>
                <w:b w:val="1"/>
                <w:bCs w:val="1"/>
                <w:color w:val="auto"/>
              </w:rPr>
              <w:t>5.  Loans Held For Sale</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8"/>
        </w:trPr>
        <w:tc>
          <w:tcPr>
            <w:tcW w:w="8200" w:type="dxa"/>
            <w:vAlign w:val="bottom"/>
            <w:gridSpan w:val="3"/>
          </w:tcPr>
          <w:p>
            <w:pPr>
              <w:spacing w:after="0"/>
              <w:rPr>
                <w:sz w:val="20"/>
                <w:szCs w:val="20"/>
                <w:color w:val="auto"/>
              </w:rPr>
            </w:pPr>
            <w:r>
              <w:rPr>
                <w:rFonts w:ascii="Arial" w:cs="Arial" w:eastAsia="Arial" w:hAnsi="Arial"/>
                <w:sz w:val="13"/>
                <w:szCs w:val="13"/>
                <w:color w:val="auto"/>
              </w:rPr>
              <w:t>Loans held for sale, at the lower of cost or fair value, consist of the following as of the dates indicated: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6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June 30, 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June 30, 2022</w:t>
            </w:r>
          </w:p>
        </w:tc>
      </w:tr>
      <w:tr>
        <w:trPr>
          <w:trHeight w:val="163"/>
        </w:trPr>
        <w:tc>
          <w:tcPr>
            <w:tcW w:w="8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One-to-four family</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4,176</w:t>
            </w:r>
          </w:p>
        </w:tc>
      </w:tr>
      <w:tr>
        <w:trPr>
          <w:trHeight w:val="168"/>
        </w:trPr>
        <w:tc>
          <w:tcPr>
            <w:tcW w:w="8200" w:type="dxa"/>
            <w:vAlign w:val="bottom"/>
            <w:gridSpan w:val="3"/>
          </w:tcPr>
          <w:p>
            <w:pPr>
              <w:ind w:left="20"/>
              <w:spacing w:after="0"/>
              <w:rPr>
                <w:sz w:val="20"/>
                <w:szCs w:val="20"/>
                <w:color w:val="auto"/>
              </w:rPr>
            </w:pPr>
            <w:r>
              <w:rPr>
                <w:rFonts w:ascii="Arial" w:cs="Arial" w:eastAsia="Arial" w:hAnsi="Arial"/>
                <w:sz w:val="13"/>
                <w:szCs w:val="13"/>
                <w:color w:val="auto"/>
              </w:rPr>
              <w:t>SBA</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28,804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14,774</w:t>
            </w:r>
          </w:p>
        </w:tc>
      </w:tr>
      <w:tr>
        <w:trPr>
          <w:trHeight w:val="170"/>
        </w:trPr>
        <w:tc>
          <w:tcPr>
            <w:tcW w:w="8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HELOCs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132,899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60,357</w:t>
            </w:r>
          </w:p>
        </w:tc>
      </w:tr>
      <w:tr>
        <w:trPr>
          <w:trHeight w:val="163"/>
        </w:trPr>
        <w:tc>
          <w:tcPr>
            <w:tcW w:w="820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 loans held for sale, at the lower of cost or fair value</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161,703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79,307</w:t>
            </w:r>
          </w:p>
        </w:tc>
      </w:tr>
      <w:tr>
        <w:trPr>
          <w:trHeight w:val="20"/>
        </w:trPr>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The carrying balance of loans held for sale, at fair value, was $6,947 and $0 at June 30, 2023 and June 30, 2022, respectively, while the amortized cost of these loans was $6,902 and $0 at the same dates.</w:t>
      </w:r>
    </w:p>
    <w:p>
      <w:pPr>
        <w:spacing w:after="0" w:line="123" w:lineRule="exact"/>
        <w:rPr>
          <w:sz w:val="20"/>
          <w:szCs w:val="20"/>
          <w:color w:val="auto"/>
        </w:rPr>
      </w:pPr>
    </w:p>
    <w:p>
      <w:pPr>
        <w:ind w:right="8480" w:firstLine="5"/>
        <w:spacing w:after="0" w:line="342" w:lineRule="auto"/>
        <w:tabs>
          <w:tab w:leader="none" w:pos="127" w:val="left"/>
        </w:tabs>
        <w:numPr>
          <w:ilvl w:val="0"/>
          <w:numId w:val="2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 xml:space="preserve">Loans and Allowance for Credit Losses on Loans </w:t>
      </w:r>
      <w:r>
        <w:rPr>
          <w:rFonts w:ascii="Arial" w:cs="Arial" w:eastAsia="Arial" w:hAnsi="Arial"/>
          <w:sz w:val="11"/>
          <w:szCs w:val="11"/>
          <w:color w:val="auto"/>
        </w:rPr>
        <w:t>Loans consist of the following at the dates indicated:</w:t>
      </w:r>
    </w:p>
    <w:tbl>
      <w:tblPr>
        <w:tblLayout w:type="fixed"/>
        <w:tblInd w:w="0" w:type="dxa"/>
        <w:tblCellMar>
          <w:top w:w="0" w:type="dxa"/>
          <w:left w:w="0" w:type="dxa"/>
          <w:bottom w:w="0" w:type="dxa"/>
          <w:right w:w="0" w:type="dxa"/>
        </w:tblCellMar>
      </w:tblPr>
      <w:tr>
        <w:trPr>
          <w:trHeight w:val="168"/>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2023</w:t>
            </w:r>
          </w:p>
        </w:tc>
        <w:tc>
          <w:tcPr>
            <w:tcW w:w="240" w:type="dxa"/>
            <w:vAlign w:val="bottom"/>
          </w:tcPr>
          <w:p>
            <w:pPr>
              <w:spacing w:after="0"/>
              <w:rPr>
                <w:sz w:val="14"/>
                <w:szCs w:val="14"/>
                <w:color w:val="auto"/>
              </w:rPr>
            </w:pPr>
          </w:p>
        </w:tc>
        <w:tc>
          <w:tcPr>
            <w:tcW w:w="1260" w:type="dxa"/>
            <w:vAlign w:val="bottom"/>
          </w:tcPr>
          <w:p>
            <w:pPr>
              <w:jc w:val="right"/>
              <w:ind w:right="316"/>
              <w:spacing w:after="0"/>
              <w:rPr>
                <w:sz w:val="20"/>
                <w:szCs w:val="20"/>
                <w:color w:val="auto"/>
              </w:rPr>
            </w:pPr>
            <w:r>
              <w:rPr>
                <w:rFonts w:ascii="Arial" w:cs="Arial" w:eastAsia="Arial" w:hAnsi="Arial"/>
                <w:sz w:val="13"/>
                <w:szCs w:val="13"/>
                <w:b w:val="1"/>
                <w:bCs w:val="1"/>
                <w:color w:val="auto"/>
              </w:rPr>
              <w:t>June 30, 2022</w:t>
            </w:r>
          </w:p>
        </w:tc>
      </w:tr>
      <w:tr>
        <w:trPr>
          <w:trHeight w:val="152"/>
        </w:trPr>
        <w:tc>
          <w:tcPr>
            <w:tcW w:w="82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 loans</w:t>
            </w: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r>
      <w:tr>
        <w:trPr>
          <w:trHeight w:val="168"/>
        </w:trPr>
        <w:tc>
          <w:tcPr>
            <w:tcW w:w="820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356,674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291,202</w:t>
            </w:r>
          </w:p>
        </w:tc>
      </w:tr>
      <w:tr>
        <w:trPr>
          <w:trHeight w:val="172"/>
        </w:trPr>
        <w:tc>
          <w:tcPr>
            <w:tcW w:w="8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r>
      <w:tr>
        <w:trPr>
          <w:trHeight w:val="168"/>
        </w:trPr>
        <w:tc>
          <w:tcPr>
            <w:tcW w:w="820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901,685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662,159</w:t>
            </w:r>
          </w:p>
        </w:tc>
      </w:tr>
      <w:tr>
        <w:trPr>
          <w:trHeight w:val="172"/>
        </w:trPr>
        <w:tc>
          <w:tcPr>
            <w:tcW w:w="8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r>
      <w:tr>
        <w:trPr>
          <w:trHeight w:val="158"/>
        </w:trPr>
        <w:tc>
          <w:tcPr>
            <w:tcW w:w="8200" w:type="dxa"/>
            <w:vAlign w:val="bottom"/>
          </w:tcPr>
          <w:p>
            <w:pPr>
              <w:ind w:left="140"/>
              <w:spacing w:after="0"/>
              <w:rPr>
                <w:sz w:val="20"/>
                <w:szCs w:val="20"/>
                <w:color w:val="auto"/>
              </w:rPr>
            </w:pPr>
            <w:r>
              <w:rPr>
                <w:rFonts w:ascii="Arial" w:cs="Arial" w:eastAsia="Arial" w:hAnsi="Arial"/>
                <w:sz w:val="13"/>
                <w:szCs w:val="13"/>
                <w:color w:val="auto"/>
              </w:rPr>
              <w:t>Total commercial real estate loans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1,869,907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1,370,105</w:t>
            </w:r>
          </w:p>
        </w:tc>
      </w:tr>
      <w:tr>
        <w:trPr>
          <w:trHeight w:val="172"/>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820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245,428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193,313</w:t>
            </w:r>
          </w:p>
        </w:tc>
      </w:tr>
      <w:tr>
        <w:trPr>
          <w:trHeight w:val="172"/>
        </w:trPr>
        <w:tc>
          <w:tcPr>
            <w:tcW w:w="8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r>
      <w:tr>
        <w:trPr>
          <w:trHeight w:val="168"/>
        </w:trPr>
        <w:tc>
          <w:tcPr>
            <w:tcW w:w="82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129,766</w:t>
            </w:r>
          </w:p>
        </w:tc>
      </w:tr>
      <w:tr>
        <w:trPr>
          <w:trHeight w:val="163"/>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 loans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717,620</w:t>
            </w:r>
          </w:p>
        </w:tc>
      </w:tr>
      <w:tr>
        <w:trPr>
          <w:trHeight w:val="168"/>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8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r>
      <w:tr>
        <w:trPr>
          <w:trHeight w:val="168"/>
        </w:trPr>
        <w:tc>
          <w:tcPr>
            <w:tcW w:w="820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529,703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354,203</w:t>
            </w:r>
          </w:p>
        </w:tc>
      </w:tr>
      <w:tr>
        <w:trPr>
          <w:trHeight w:val="172"/>
        </w:trPr>
        <w:tc>
          <w:tcPr>
            <w:tcW w:w="8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160,137</w:t>
            </w:r>
          </w:p>
        </w:tc>
      </w:tr>
      <w:tr>
        <w:trPr>
          <w:trHeight w:val="158"/>
        </w:trPr>
        <w:tc>
          <w:tcPr>
            <w:tcW w:w="8200" w:type="dxa"/>
            <w:vAlign w:val="bottom"/>
          </w:tcPr>
          <w:p>
            <w:pPr>
              <w:ind w:left="140"/>
              <w:spacing w:after="0"/>
              <w:rPr>
                <w:sz w:val="20"/>
                <w:szCs w:val="20"/>
                <w:color w:val="auto"/>
              </w:rPr>
            </w:pPr>
            <w:r>
              <w:rPr>
                <w:rFonts w:ascii="Arial" w:cs="Arial" w:eastAsia="Arial" w:hAnsi="Arial"/>
                <w:sz w:val="13"/>
                <w:szCs w:val="13"/>
                <w:color w:val="auto"/>
              </w:rPr>
              <w:t>Total residential real estate loans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826,970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596,187</w:t>
            </w:r>
          </w:p>
        </w:tc>
      </w:tr>
      <w:tr>
        <w:trPr>
          <w:trHeight w:val="172"/>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 loans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85,383</w:t>
            </w:r>
          </w:p>
        </w:tc>
      </w:tr>
      <w:tr>
        <w:trPr>
          <w:trHeight w:val="158"/>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Total loans, net of deferred loan fees and costs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3,658,823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2,769,295</w:t>
            </w: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Allowance for credit losses </w:t>
            </w:r>
            <w:r>
              <w:rPr>
                <w:rFonts w:ascii="Arial" w:cs="Arial" w:eastAsia="Arial" w:hAnsi="Arial"/>
                <w:sz w:val="13"/>
                <w:szCs w:val="13"/>
                <w:b w:val="1"/>
                <w:bCs w:val="1"/>
                <w:color w:val="auto"/>
              </w:rPr>
              <w:t>–</w:t>
            </w:r>
            <w:r>
              <w:rPr>
                <w:rFonts w:ascii="Arial" w:cs="Arial" w:eastAsia="Arial" w:hAnsi="Arial"/>
                <w:sz w:val="13"/>
                <w:szCs w:val="13"/>
                <w:color w:val="auto"/>
              </w:rPr>
              <w:t xml:space="preserve"> loans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(47,193)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(34,690)</w:t>
            </w:r>
          </w:p>
        </w:tc>
      </w:tr>
      <w:tr>
        <w:trPr>
          <w:trHeight w:val="163"/>
        </w:trPr>
        <w:tc>
          <w:tcPr>
            <w:tcW w:w="8200" w:type="dxa"/>
            <w:vAlign w:val="bottom"/>
          </w:tcPr>
          <w:p>
            <w:pPr>
              <w:ind w:left="140"/>
              <w:spacing w:after="0"/>
              <w:rPr>
                <w:sz w:val="20"/>
                <w:szCs w:val="20"/>
                <w:color w:val="auto"/>
              </w:rPr>
            </w:pPr>
            <w:r>
              <w:rPr>
                <w:rFonts w:ascii="Arial" w:cs="Arial" w:eastAsia="Arial" w:hAnsi="Arial"/>
                <w:sz w:val="13"/>
                <w:szCs w:val="13"/>
                <w:b w:val="1"/>
                <w:bCs w:val="1"/>
                <w:color w:val="auto"/>
              </w:rPr>
              <w:t>Loans, net</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3,611,630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2,734,605</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(1) June 30, 2023 and 2022 accrued interest receivable of $14,101 and $7,969 was accounted for separately from the amortized cost basis.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As a result of HomeTrust's merger with Quantum on February 12, 2023, $561,933 in loans (net of purchase accounting adjustments) were added to the portfolio.</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All qualifying one-to-four family loans, HELOCs, commercial real estate loans, and FHLB of Atlanta stock are pledged as collateral by a blanket pledge to secure outstanding FHLB advances.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Loans are made to the Company's executive officers, directors and their associates during the ordinary course of business. The aggregate amount of loans to related parties totaled approximately $215 and $231 at June 30, 2023 and 2022, respectively. In relation to these loans are unfunded commitments that totaled approximately $264 and $14 at June 30, 2023 and 2022, respectively.</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3"/>
          <w:szCs w:val="13"/>
          <w:u w:val="single" w:color="auto"/>
          <w:color w:val="auto"/>
        </w:rPr>
        <w:t>Pass</w:t>
      </w:r>
      <w:r>
        <w:rPr>
          <w:rFonts w:ascii="Arial" w:cs="Arial" w:eastAsia="Arial" w:hAnsi="Arial"/>
          <w:sz w:val="13"/>
          <w:szCs w:val="13"/>
          <w:color w:val="auto"/>
        </w:rPr>
        <w:t xml:space="preserve"> – A pass rated loan is not adversely classified because it does not display any of the characteristics for adverse classification.</w:t>
      </w:r>
    </w:p>
    <w:p>
      <w:pPr>
        <w:spacing w:after="0" w:line="31" w:lineRule="exact"/>
        <w:rPr>
          <w:sz w:val="20"/>
          <w:szCs w:val="20"/>
          <w:color w:val="auto"/>
        </w:rPr>
      </w:pPr>
    </w:p>
    <w:p>
      <w:pPr>
        <w:ind w:left="140"/>
        <w:spacing w:after="0" w:line="257" w:lineRule="auto"/>
        <w:rPr>
          <w:sz w:val="20"/>
          <w:szCs w:val="20"/>
          <w:color w:val="auto"/>
        </w:rPr>
      </w:pPr>
      <w:r>
        <w:rPr>
          <w:rFonts w:ascii="Arial" w:cs="Arial" w:eastAsia="Arial" w:hAnsi="Arial"/>
          <w:sz w:val="13"/>
          <w:szCs w:val="13"/>
          <w:u w:val="single" w:color="auto"/>
          <w:color w:val="auto"/>
        </w:rPr>
        <w:t>Special Mention</w:t>
      </w:r>
      <w:r>
        <w:rPr>
          <w:rFonts w:ascii="Arial" w:cs="Arial" w:eastAsia="Arial" w:hAnsi="Arial"/>
          <w:sz w:val="13"/>
          <w:szCs w:val="13"/>
          <w:color w:val="auto"/>
        </w:rPr>
        <w:t xml:space="preserve"> –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spacing w:after="0" w:line="9" w:lineRule="exact"/>
        <w:rPr>
          <w:sz w:val="20"/>
          <w:szCs w:val="20"/>
          <w:color w:val="auto"/>
        </w:rPr>
      </w:pPr>
    </w:p>
    <w:p>
      <w:pPr>
        <w:ind w:left="140"/>
        <w:spacing w:after="0" w:line="295" w:lineRule="auto"/>
        <w:rPr>
          <w:sz w:val="20"/>
          <w:szCs w:val="20"/>
          <w:color w:val="auto"/>
        </w:rPr>
      </w:pPr>
      <w:r>
        <w:rPr>
          <w:rFonts w:ascii="Arial" w:cs="Arial" w:eastAsia="Arial" w:hAnsi="Arial"/>
          <w:sz w:val="12"/>
          <w:szCs w:val="12"/>
          <w:u w:val="single" w:color="auto"/>
          <w:color w:val="auto"/>
        </w:rPr>
        <w:t>Substandard</w:t>
      </w:r>
      <w:r>
        <w:rPr>
          <w:rFonts w:ascii="Arial" w:cs="Arial" w:eastAsia="Arial" w:hAnsi="Arial"/>
          <w:sz w:val="12"/>
          <w:szCs w:val="12"/>
          <w:color w:val="auto"/>
        </w:rPr>
        <w:t xml:space="preserve"> –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ind w:left="140"/>
        <w:spacing w:after="0" w:line="257" w:lineRule="auto"/>
        <w:rPr>
          <w:sz w:val="20"/>
          <w:szCs w:val="20"/>
          <w:color w:val="auto"/>
        </w:rPr>
      </w:pPr>
      <w:r>
        <w:rPr>
          <w:rFonts w:ascii="Arial" w:cs="Arial" w:eastAsia="Arial" w:hAnsi="Arial"/>
          <w:sz w:val="13"/>
          <w:szCs w:val="13"/>
          <w:u w:val="single" w:color="auto"/>
          <w:color w:val="auto"/>
        </w:rPr>
        <w:t>Doubtful</w:t>
      </w:r>
      <w:r>
        <w:rPr>
          <w:rFonts w:ascii="Arial" w:cs="Arial" w:eastAsia="Arial" w:hAnsi="Arial"/>
          <w:sz w:val="13"/>
          <w:szCs w:val="13"/>
          <w:color w:val="auto"/>
        </w:rPr>
        <w:t xml:space="preserve"> –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ind w:left="140"/>
        <w:spacing w:after="0" w:line="274" w:lineRule="auto"/>
        <w:rPr>
          <w:sz w:val="20"/>
          <w:szCs w:val="20"/>
          <w:color w:val="auto"/>
        </w:rPr>
      </w:pPr>
      <w:r>
        <w:rPr>
          <w:rFonts w:ascii="Arial" w:cs="Arial" w:eastAsia="Arial" w:hAnsi="Arial"/>
          <w:sz w:val="13"/>
          <w:szCs w:val="13"/>
          <w:u w:val="single" w:color="auto"/>
          <w:color w:val="auto"/>
        </w:rPr>
        <w:t>Loss</w:t>
      </w:r>
      <w:r>
        <w:rPr>
          <w:rFonts w:ascii="Arial" w:cs="Arial" w:eastAsia="Arial" w:hAnsi="Arial"/>
          <w:sz w:val="13"/>
          <w:szCs w:val="13"/>
          <w:color w:val="auto"/>
        </w:rPr>
        <w:t xml:space="preserve"> –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credit risk profile by risk grade for commercial real estate, commercial, residential real estate, and consumer loans by origination year as of June 30,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27,234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26,157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287,615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356,097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construction and land development</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27,234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26,711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5,469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1,560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5,859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287,615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356,674</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106,738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91,575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68,054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115,425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518,623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909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6,901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commercial real estate - owner occupied</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58,671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106,915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92,560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70,414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54,936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122,241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23,984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529,721</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non-owner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156,244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137,659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265,099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889,320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4,047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5,301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9,348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commercial real estate - non-owner occupied</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85,574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156,244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137,659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99,442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68,794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272,163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81,809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901,685</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Multifamily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16,410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21,867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81,443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multifamily</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3,850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16,410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21,867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10,172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5,871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22,677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81,827</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175,329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305,549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256,570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179,894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130,373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408,681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389,087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1,845,483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909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5,301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16,411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commercial real estate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175,329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306,280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257,555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182,254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131,161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422,940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394,388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1,869,907</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57,377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72,662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18,845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238,728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1,089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commercial and industrial</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57,377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73,011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19,348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14,633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7,549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21,667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51,843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245,428</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200,054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136,226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456,666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140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2,538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2,648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equipment finance</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201,201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138,317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74,555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37,241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10,641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462,211</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31,462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27,910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14,292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142,212</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municipal leases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31,462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27,910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14,292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8,212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43,251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7,247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142,212</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288,893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236,798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106,500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65,127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837,606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1,135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3,627</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5,551</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3,059</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commercial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290,040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239,238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108,195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60,086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28,028</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65,174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59,090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849,851</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109,934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construction and land development</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850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1,410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107,096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110,074</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One-to-four 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122,091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109,669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120,331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524,205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one-to-four family</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78,759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122,216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109,669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52,131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31,546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125,260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10,122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529,703</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HELOCs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168,311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186,526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HELOCs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8,966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571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7,774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168,445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187,193</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residential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88,211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123,502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109,789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128,852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285,529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820,665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residential real estate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88,396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123,637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109,789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52,549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32,492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134,444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285,663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826,970</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June 30, 2023</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Revolving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consumer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6"/>
              </w:rPr>
              <w:t>473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110,847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63,163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18,124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12,869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9,201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5,227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3,001</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6"/>
              </w:rPr>
              <w:t>510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112,095</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credit risk profile by risk grade for commercial real estate, commercial, residential real estate, and consumer loans by origination year as of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21,988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248,189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285,490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4,774</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construction and land development</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22,859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5,686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627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2,089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1,092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5,983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252,866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291,202</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55,167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71,429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45,665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329,226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3,230</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3,202</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commercial real estate - owner occupied</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55,167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71,429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46,061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44,204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22,297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79,245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17,255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335,658</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non-owner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97,885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122,975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95,268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182,664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643,889</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18,265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commercial real estate - non-owner occupied</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97,885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122,975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95,268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56,846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94,881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187,090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7,214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662,159</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Multifamily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15,881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80,493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246</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multifamily</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10,135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19,985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15,881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8,643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2,796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21,151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2,495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81,086</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185,175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220,075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157,441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111,335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283,672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274,755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1,339,098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7,151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26,515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4,492</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commercial real estate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186,046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220,075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157,837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111,782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121,066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293,469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279,830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1,370,105</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21,434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183,634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2,927</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6,654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commercial and industrial</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70,863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22,648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12,250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10,893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20,908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49,413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193,313</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186,139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392,124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1,002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2,080</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equipment finance</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186,371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113,817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65,420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27,178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1,755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394,541</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19,425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129,729</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municipal leases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19,425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24,517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8,962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11,034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13,584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39,529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12,715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129,766</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276,427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159,277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705,487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1,262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5,044</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6,954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135</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commercial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276,659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160,982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86,632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49,105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21,677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60,437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62,128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717,620</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81,475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construction and land development</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2,155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78,775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81,847</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One-to-four family</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74,035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47,364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346,523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one-to-four family</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55,543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74,035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48,366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29,615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23,680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118,887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4,077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354,203</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HELOCs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148,526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159,181</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HELOCs</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458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8,348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148,575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160,137</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residential real estate</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74,493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47,699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122,531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587,179</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7,990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183</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residential real estate</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57,873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74,493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48,701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30,516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23,787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129,390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231,427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596,187</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consumer</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20,443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15,849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84,466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57"/>
        </w:trPr>
        <w:tc>
          <w:tcPr>
            <w:tcW w:w="3240" w:type="dxa"/>
            <w:vAlign w:val="bottom"/>
          </w:tcPr>
          <w:p>
            <w:pPr>
              <w:ind w:left="140"/>
              <w:spacing w:after="0"/>
              <w:rPr>
                <w:sz w:val="20"/>
                <w:szCs w:val="20"/>
                <w:color w:val="auto"/>
              </w:rPr>
            </w:pPr>
            <w:r>
              <w:rPr>
                <w:rFonts w:ascii="Arial" w:cs="Arial" w:eastAsia="Arial" w:hAnsi="Arial"/>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26,007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20,612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16,123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11,416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8,417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2,498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85,383</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7"/>
          </w:tcPr>
          <w:p>
            <w:pPr>
              <w:spacing w:after="0"/>
              <w:rPr>
                <w:sz w:val="20"/>
                <w:szCs w:val="20"/>
                <w:color w:val="auto"/>
              </w:rPr>
            </w:pPr>
            <w:r>
              <w:rPr>
                <w:rFonts w:ascii="Arial" w:cs="Arial" w:eastAsia="Arial" w:hAnsi="Arial"/>
                <w:sz w:val="13"/>
                <w:szCs w:val="13"/>
                <w:color w:val="auto"/>
                <w:w w:val="94"/>
              </w:rPr>
              <w:t>The following tables present aging analyses of past due loans (including nonaccrual loans) by segment and class for the periods indicated: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5"/>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Past Due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Arial" w:cs="Arial" w:eastAsia="Arial" w:hAnsi="Arial"/>
                <w:sz w:val="13"/>
                <w:szCs w:val="13"/>
                <w:b w:val="1"/>
                <w:bCs w:val="1"/>
                <w:color w:val="auto"/>
              </w:rPr>
              <w:t>Total</w:t>
            </w:r>
          </w:p>
        </w:tc>
      </w:tr>
      <w:tr>
        <w:trPr>
          <w:trHeight w:val="158"/>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30-89 Days</w:t>
            </w:r>
          </w:p>
        </w:tc>
        <w:tc>
          <w:tcPr>
            <w:tcW w:w="20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90 Days+</w:t>
            </w:r>
          </w:p>
        </w:tc>
        <w:tc>
          <w:tcPr>
            <w:tcW w:w="2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3"/>
                <w:szCs w:val="13"/>
                <w:color w:val="auto"/>
              </w:rPr>
            </w:pPr>
          </w:p>
        </w:tc>
        <w:tc>
          <w:tcPr>
            <w:tcW w:w="960" w:type="dxa"/>
            <w:vAlign w:val="bottom"/>
          </w:tcPr>
          <w:p>
            <w:pPr>
              <w:jc w:val="right"/>
              <w:ind w:right="376"/>
              <w:spacing w:after="0"/>
              <w:rPr>
                <w:sz w:val="20"/>
                <w:szCs w:val="20"/>
                <w:color w:val="auto"/>
              </w:rPr>
            </w:pPr>
            <w:r>
              <w:rPr>
                <w:rFonts w:ascii="Arial" w:cs="Arial" w:eastAsia="Arial" w:hAnsi="Arial"/>
                <w:sz w:val="13"/>
                <w:szCs w:val="13"/>
                <w:b w:val="1"/>
                <w:bCs w:val="1"/>
                <w:color w:val="auto"/>
              </w:rPr>
              <w:t>Loans</w:t>
            </w:r>
          </w:p>
        </w:tc>
      </w:tr>
      <w:tr>
        <w:trPr>
          <w:trHeight w:val="152"/>
        </w:trPr>
        <w:tc>
          <w:tcPr>
            <w:tcW w:w="51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2023</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356,674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356,674</w:t>
            </w:r>
          </w:p>
        </w:tc>
      </w:tr>
      <w:tr>
        <w:trPr>
          <w:trHeight w:val="168"/>
        </w:trPr>
        <w:tc>
          <w:tcPr>
            <w:tcW w:w="5160" w:type="dxa"/>
            <w:vAlign w:val="bottom"/>
          </w:tcPr>
          <w:p>
            <w:pPr>
              <w:ind w:left="80"/>
              <w:spacing w:after="0"/>
              <w:rPr>
                <w:sz w:val="20"/>
                <w:szCs w:val="20"/>
                <w:color w:val="auto"/>
              </w:rPr>
            </w:pPr>
            <w:r>
              <w:rPr>
                <w:rFonts w:ascii="Arial" w:cs="Arial" w:eastAsia="Arial" w:hAnsi="Arial"/>
                <w:sz w:val="13"/>
                <w:szCs w:val="13"/>
                <w:color w:val="auto"/>
              </w:rPr>
              <w:t>Commercial real estate - owner occupied</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528,131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529,721</w:t>
            </w: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901,685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901,685</w:t>
            </w:r>
          </w:p>
        </w:tc>
      </w:tr>
      <w:tr>
        <w:trPr>
          <w:trHeight w:val="168"/>
        </w:trPr>
        <w:tc>
          <w:tcPr>
            <w:tcW w:w="5160" w:type="dxa"/>
            <w:vAlign w:val="bottom"/>
          </w:tcPr>
          <w:p>
            <w:pPr>
              <w:ind w:left="80"/>
              <w:spacing w:after="0"/>
              <w:rPr>
                <w:sz w:val="20"/>
                <w:szCs w:val="20"/>
                <w:color w:val="auto"/>
              </w:rPr>
            </w:pPr>
            <w:r>
              <w:rPr>
                <w:rFonts w:ascii="Arial" w:cs="Arial" w:eastAsia="Arial" w:hAnsi="Arial"/>
                <w:sz w:val="13"/>
                <w:szCs w:val="13"/>
                <w:color w:val="auto"/>
              </w:rPr>
              <w:t>Multifamily</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81,827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81,827</w:t>
            </w:r>
          </w:p>
        </w:tc>
      </w:tr>
      <w:tr>
        <w:trPr>
          <w:trHeight w:val="163"/>
        </w:trPr>
        <w:tc>
          <w:tcPr>
            <w:tcW w:w="5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commercial real estate</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1,868,317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1,869,907</w:t>
            </w:r>
          </w:p>
        </w:tc>
      </w:tr>
      <w:tr>
        <w:trPr>
          <w:trHeight w:val="168"/>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244,152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245,428</w:t>
            </w:r>
          </w:p>
        </w:tc>
      </w:tr>
      <w:tr>
        <w:trPr>
          <w:trHeight w:val="168"/>
        </w:trPr>
        <w:tc>
          <w:tcPr>
            <w:tcW w:w="5160" w:type="dxa"/>
            <w:vAlign w:val="bottom"/>
          </w:tcPr>
          <w:p>
            <w:pPr>
              <w:ind w:left="80"/>
              <w:spacing w:after="0"/>
              <w:rPr>
                <w:sz w:val="20"/>
                <w:szCs w:val="20"/>
                <w:color w:val="auto"/>
              </w:rPr>
            </w:pPr>
            <w:r>
              <w:rPr>
                <w:rFonts w:ascii="Arial" w:cs="Arial" w:eastAsia="Arial" w:hAnsi="Arial"/>
                <w:sz w:val="13"/>
                <w:szCs w:val="13"/>
                <w:color w:val="auto"/>
              </w:rPr>
              <w:t>Equipment finance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459,548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462,211</w:t>
            </w: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Municipal leases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142,212</w:t>
            </w:r>
          </w:p>
        </w:tc>
      </w:tr>
      <w:tr>
        <w:trPr>
          <w:trHeight w:val="158"/>
        </w:trPr>
        <w:tc>
          <w:tcPr>
            <w:tcW w:w="5160" w:type="dxa"/>
            <w:vAlign w:val="bottom"/>
          </w:tcPr>
          <w:p>
            <w:pPr>
              <w:ind w:left="140"/>
              <w:spacing w:after="0"/>
              <w:rPr>
                <w:sz w:val="20"/>
                <w:szCs w:val="20"/>
                <w:color w:val="auto"/>
              </w:rPr>
            </w:pPr>
            <w:r>
              <w:rPr>
                <w:rFonts w:ascii="Arial" w:cs="Arial" w:eastAsia="Arial" w:hAnsi="Arial"/>
                <w:sz w:val="13"/>
                <w:szCs w:val="13"/>
                <w:color w:val="auto"/>
              </w:rPr>
              <w:t>Total commercial</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1,699</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2,240</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3,939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845,912</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849,851</w:t>
            </w:r>
          </w:p>
        </w:tc>
      </w:tr>
      <w:tr>
        <w:trPr>
          <w:trHeight w:val="172"/>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516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109,942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110,074</w:t>
            </w: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One-to-four family</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526,945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529,703</w:t>
            </w:r>
          </w:p>
        </w:tc>
      </w:tr>
      <w:tr>
        <w:trPr>
          <w:trHeight w:val="168"/>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HELOCs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186,045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187,193</w:t>
            </w:r>
          </w:p>
        </w:tc>
      </w:tr>
      <w:tr>
        <w:trPr>
          <w:trHeight w:val="16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822,932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826,970</w:t>
            </w:r>
          </w:p>
        </w:tc>
      </w:tr>
      <w:tr>
        <w:trPr>
          <w:trHeight w:val="16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111,487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112,095</w:t>
            </w:r>
          </w:p>
        </w:tc>
      </w:tr>
      <w:tr>
        <w:trPr>
          <w:trHeight w:val="18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loans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3,648,648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3,658,823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Past Due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Arial" w:cs="Arial" w:eastAsia="Arial" w:hAnsi="Arial"/>
                <w:sz w:val="13"/>
                <w:szCs w:val="13"/>
                <w:b w:val="1"/>
                <w:bCs w:val="1"/>
                <w:color w:val="auto"/>
              </w:rPr>
              <w:t>Total</w:t>
            </w:r>
          </w:p>
        </w:tc>
      </w:tr>
      <w:tr>
        <w:trPr>
          <w:trHeight w:val="158"/>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30-89 Days</w:t>
            </w:r>
          </w:p>
        </w:tc>
        <w:tc>
          <w:tcPr>
            <w:tcW w:w="20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90 Days+</w:t>
            </w:r>
          </w:p>
        </w:tc>
        <w:tc>
          <w:tcPr>
            <w:tcW w:w="2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3"/>
                <w:szCs w:val="13"/>
                <w:color w:val="auto"/>
              </w:rPr>
            </w:pPr>
          </w:p>
        </w:tc>
        <w:tc>
          <w:tcPr>
            <w:tcW w:w="960" w:type="dxa"/>
            <w:vAlign w:val="bottom"/>
          </w:tcPr>
          <w:p>
            <w:pPr>
              <w:jc w:val="right"/>
              <w:ind w:right="376"/>
              <w:spacing w:after="0"/>
              <w:rPr>
                <w:sz w:val="20"/>
                <w:szCs w:val="20"/>
                <w:color w:val="auto"/>
              </w:rPr>
            </w:pPr>
            <w:r>
              <w:rPr>
                <w:rFonts w:ascii="Arial" w:cs="Arial" w:eastAsia="Arial" w:hAnsi="Arial"/>
                <w:sz w:val="13"/>
                <w:szCs w:val="13"/>
                <w:b w:val="1"/>
                <w:bCs w:val="1"/>
                <w:color w:val="auto"/>
              </w:rPr>
              <w:t>Loans</w:t>
            </w:r>
          </w:p>
        </w:tc>
      </w:tr>
      <w:tr>
        <w:trPr>
          <w:trHeight w:val="152"/>
        </w:trPr>
        <w:tc>
          <w:tcPr>
            <w:tcW w:w="51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2022</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291,202</w:t>
            </w:r>
          </w:p>
        </w:tc>
      </w:tr>
      <w:tr>
        <w:trPr>
          <w:trHeight w:val="168"/>
        </w:trPr>
        <w:tc>
          <w:tcPr>
            <w:tcW w:w="5160" w:type="dxa"/>
            <w:vAlign w:val="bottom"/>
          </w:tcPr>
          <w:p>
            <w:pPr>
              <w:ind w:left="80"/>
              <w:spacing w:after="0"/>
              <w:rPr>
                <w:sz w:val="20"/>
                <w:szCs w:val="20"/>
                <w:color w:val="auto"/>
              </w:rPr>
            </w:pPr>
            <w:r>
              <w:rPr>
                <w:rFonts w:ascii="Arial" w:cs="Arial" w:eastAsia="Arial" w:hAnsi="Arial"/>
                <w:sz w:val="13"/>
                <w:szCs w:val="13"/>
                <w:color w:val="auto"/>
              </w:rPr>
              <w:t>Commercial real estate - owner occupied</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335,606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335,658</w:t>
            </w: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662,159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662,159</w:t>
            </w:r>
          </w:p>
        </w:tc>
      </w:tr>
      <w:tr>
        <w:trPr>
          <w:trHeight w:val="168"/>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Multifamily</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81,086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81,086</w:t>
            </w:r>
          </w:p>
        </w:tc>
      </w:tr>
      <w:tr>
        <w:trPr>
          <w:trHeight w:val="16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 real estate</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1,370,053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1,370,105</w:t>
            </w:r>
          </w:p>
        </w:tc>
      </w:tr>
      <w:tr>
        <w:trPr>
          <w:trHeight w:val="168"/>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193,313</w:t>
            </w:r>
          </w:p>
        </w:tc>
      </w:tr>
      <w:tr>
        <w:trPr>
          <w:trHeight w:val="168"/>
        </w:trPr>
        <w:tc>
          <w:tcPr>
            <w:tcW w:w="5160" w:type="dxa"/>
            <w:vAlign w:val="bottom"/>
          </w:tcPr>
          <w:p>
            <w:pPr>
              <w:ind w:left="80"/>
              <w:spacing w:after="0"/>
              <w:rPr>
                <w:sz w:val="20"/>
                <w:szCs w:val="20"/>
                <w:color w:val="auto"/>
              </w:rPr>
            </w:pPr>
            <w:r>
              <w:rPr>
                <w:rFonts w:ascii="Arial" w:cs="Arial" w:eastAsia="Arial" w:hAnsi="Arial"/>
                <w:sz w:val="13"/>
                <w:szCs w:val="13"/>
                <w:color w:val="auto"/>
              </w:rPr>
              <w:t>Equipment finance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394,299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394,541</w:t>
            </w: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Municipal leases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129,766</w:t>
            </w:r>
          </w:p>
        </w:tc>
      </w:tr>
      <w:tr>
        <w:trPr>
          <w:trHeight w:val="158"/>
        </w:trPr>
        <w:tc>
          <w:tcPr>
            <w:tcW w:w="5160" w:type="dxa"/>
            <w:vAlign w:val="bottom"/>
          </w:tcPr>
          <w:p>
            <w:pPr>
              <w:ind w:left="140"/>
              <w:spacing w:after="0"/>
              <w:rPr>
                <w:sz w:val="20"/>
                <w:szCs w:val="20"/>
                <w:color w:val="auto"/>
              </w:rPr>
            </w:pPr>
            <w:r>
              <w:rPr>
                <w:rFonts w:ascii="Arial" w:cs="Arial" w:eastAsia="Arial" w:hAnsi="Arial"/>
                <w:sz w:val="13"/>
                <w:szCs w:val="13"/>
                <w:color w:val="auto"/>
              </w:rPr>
              <w:t>Total commercial</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497</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717,123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717,620</w:t>
            </w:r>
          </w:p>
        </w:tc>
      </w:tr>
      <w:tr>
        <w:trPr>
          <w:trHeight w:val="172"/>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516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81,710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81,847</w:t>
            </w:r>
          </w:p>
        </w:tc>
      </w:tr>
      <w:tr>
        <w:trPr>
          <w:trHeight w:val="172"/>
        </w:trPr>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One-to-four family</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351,899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354,203</w:t>
            </w:r>
          </w:p>
        </w:tc>
      </w:tr>
      <w:tr>
        <w:trPr>
          <w:trHeight w:val="168"/>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HELOCs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159,732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160,137</w:t>
            </w:r>
          </w:p>
        </w:tc>
      </w:tr>
      <w:tr>
        <w:trPr>
          <w:trHeight w:val="16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593,341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596,187</w:t>
            </w:r>
          </w:p>
        </w:tc>
      </w:tr>
      <w:tr>
        <w:trPr>
          <w:trHeight w:val="16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84,876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85,383</w:t>
            </w:r>
          </w:p>
        </w:tc>
      </w:tr>
      <w:tr>
        <w:trPr>
          <w:trHeight w:val="18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loans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2,765,393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2,769,295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following table presents recorded investment in loans on nonaccrual status, by segment and class, including restructured loans. It also includes interest income recognized on nonaccrual loans for the year ended June 30, 2023.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90 Days + &amp;</w:t>
            </w:r>
          </w:p>
        </w:tc>
        <w:tc>
          <w:tcPr>
            <w:tcW w:w="158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w w:val="93"/>
              </w:rPr>
              <w:t>Nonaccrual with No ACL</w:t>
            </w:r>
          </w:p>
        </w:tc>
        <w:tc>
          <w:tcPr>
            <w:tcW w:w="160" w:type="dxa"/>
            <w:vAlign w:val="bottom"/>
          </w:tcPr>
          <w:p>
            <w:pPr>
              <w:spacing w:after="0"/>
              <w:rPr>
                <w:sz w:val="13"/>
                <w:szCs w:val="13"/>
                <w:color w:val="auto"/>
              </w:rPr>
            </w:pPr>
          </w:p>
        </w:tc>
        <w:tc>
          <w:tcPr>
            <w:tcW w:w="11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w w:val="93"/>
              </w:rPr>
              <w:t>Interest Income</w:t>
            </w:r>
          </w:p>
        </w:tc>
        <w:tc>
          <w:tcPr>
            <w:tcW w:w="0" w:type="dxa"/>
            <w:vAlign w:val="bottom"/>
          </w:tcPr>
          <w:p>
            <w:pPr>
              <w:spacing w:after="0"/>
              <w:rPr>
                <w:sz w:val="1"/>
                <w:szCs w:val="1"/>
                <w:color w:val="auto"/>
              </w:rPr>
            </w:pPr>
          </w:p>
        </w:tc>
      </w:tr>
      <w:tr>
        <w:trPr>
          <w:trHeight w:val="127"/>
        </w:trPr>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June 30, 2022</w:t>
            </w:r>
          </w:p>
        </w:tc>
        <w:tc>
          <w:tcPr>
            <w:tcW w:w="1660" w:type="dxa"/>
            <w:vAlign w:val="bottom"/>
            <w:gridSpan w:val="3"/>
          </w:tcPr>
          <w:p>
            <w:pPr>
              <w:ind w:left="20"/>
              <w:spacing w:after="0" w:line="128" w:lineRule="exact"/>
              <w:rPr>
                <w:sz w:val="20"/>
                <w:szCs w:val="20"/>
                <w:color w:val="auto"/>
              </w:rPr>
            </w:pPr>
            <w:r>
              <w:rPr>
                <w:rFonts w:ascii="Arial" w:cs="Arial" w:eastAsia="Arial" w:hAnsi="Arial"/>
                <w:sz w:val="13"/>
                <w:szCs w:val="13"/>
                <w:b w:val="1"/>
                <w:bCs w:val="1"/>
                <w:color w:val="auto"/>
                <w:w w:val="93"/>
              </w:rPr>
              <w:t>Still Accruing as of June 30,</w:t>
            </w:r>
          </w:p>
        </w:tc>
        <w:tc>
          <w:tcPr>
            <w:tcW w:w="15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ind w:left="40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as of June 30, 2023</w:t>
            </w:r>
          </w:p>
        </w:tc>
        <w:tc>
          <w:tcPr>
            <w:tcW w:w="16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3"/>
                <w:szCs w:val="13"/>
                <w:b w:val="1"/>
                <w:bCs w:val="1"/>
                <w:color w:val="auto"/>
              </w:rPr>
              <w:t>Recognized</w:t>
            </w:r>
          </w:p>
        </w:tc>
        <w:tc>
          <w:tcPr>
            <w:tcW w:w="0" w:type="dxa"/>
            <w:vAlign w:val="bottom"/>
          </w:tcPr>
          <w:p>
            <w:pPr>
              <w:spacing w:after="0"/>
              <w:rPr>
                <w:sz w:val="1"/>
                <w:szCs w:val="1"/>
                <w:color w:val="auto"/>
              </w:rPr>
            </w:pPr>
          </w:p>
        </w:tc>
      </w:tr>
      <w:tr>
        <w:trPr>
          <w:trHeight w:val="152"/>
        </w:trPr>
        <w:tc>
          <w:tcPr>
            <w:tcW w:w="42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8"/>
        </w:trPr>
        <w:tc>
          <w:tcPr>
            <w:tcW w:w="4240" w:type="dxa"/>
            <w:vAlign w:val="bottom"/>
          </w:tcPr>
          <w:p>
            <w:pPr>
              <w:ind w:left="180"/>
              <w:spacing w:after="0"/>
              <w:rPr>
                <w:sz w:val="20"/>
                <w:szCs w:val="20"/>
                <w:color w:val="auto"/>
              </w:rPr>
            </w:pPr>
            <w:r>
              <w:rPr>
                <w:rFonts w:ascii="Arial" w:cs="Arial" w:eastAsia="Arial" w:hAnsi="Arial"/>
                <w:sz w:val="13"/>
                <w:szCs w:val="13"/>
                <w:color w:val="auto"/>
              </w:rPr>
              <w:t>Total commercial real estate</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8"/>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Municipal leases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One-to-four family</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HELOCs</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8"/>
        </w:trPr>
        <w:tc>
          <w:tcPr>
            <w:tcW w:w="4240" w:type="dxa"/>
            <w:vAlign w:val="bottom"/>
          </w:tcPr>
          <w:p>
            <w:pPr>
              <w:ind w:left="180"/>
              <w:spacing w:after="0"/>
              <w:rPr>
                <w:sz w:val="20"/>
                <w:szCs w:val="20"/>
                <w:color w:val="auto"/>
              </w:rPr>
            </w:pPr>
            <w:r>
              <w:rPr>
                <w:rFonts w:ascii="Arial" w:cs="Arial" w:eastAsia="Arial" w:hAnsi="Arial"/>
                <w:sz w:val="13"/>
                <w:szCs w:val="13"/>
                <w:color w:val="auto"/>
              </w:rPr>
              <w:t>Total residential real estate</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3"/>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Total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8,315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6,120</w:t>
            </w:r>
          </w:p>
        </w:tc>
        <w:tc>
          <w:tcPr>
            <w:tcW w:w="10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TDRs are loans which have renegotiated loan terms to assist borrowers who are unable to meet the original terms of their loans. Such modifications to loan terms may include a lower interest rate, a reduction in principal, or a longer term to maturity. The above table excludes $8,231 and $9,818 of TDRs that were performing under their restructured payment terms as of June 30, 2023 and June 30, 2022, respectively.</w:t>
      </w:r>
    </w:p>
    <w:p>
      <w:pPr>
        <w:spacing w:after="0" w:line="17"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The following tables present analyses of the ACL on loans by segment for the period indicated below. In addition to the provision (benefit) for credit losses on loans presented below, provisions (benefits) of $253 and $981 for off-balance sheet credit exposures and $(250) and $(100) for commercial paper were recorded during the fiscal years ended June 30, 2023 and June 30, 2022, respectively. For the year ended June 30, 2023, $4,921 and $369 of the provision for credit losses were recognized to establish ACLs on Quantum's loan portfolio and off-balance-sheet credit exposure,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0"/>
              </w:rPr>
              <w:t>Year Ended June 30, 2023</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60"/>
              <w:spacing w:after="0" w:line="120" w:lineRule="exact"/>
              <w:rPr>
                <w:sz w:val="20"/>
                <w:szCs w:val="20"/>
                <w:color w:val="auto"/>
              </w:rPr>
            </w:pPr>
            <w:r>
              <w:rPr>
                <w:rFonts w:ascii="Arial" w:cs="Arial" w:eastAsia="Arial" w:hAnsi="Arial"/>
                <w:sz w:val="13"/>
                <w:szCs w:val="13"/>
                <w:b w:val="1"/>
                <w:bCs w:val="1"/>
                <w:color w:val="auto"/>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8"/>
              </w:rPr>
              <w:t>Residential Real Estate</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Consumer</w:t>
            </w:r>
          </w:p>
        </w:tc>
        <w:tc>
          <w:tcPr>
            <w:tcW w:w="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12,036</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34,690</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Arial" w:cs="Arial" w:eastAsia="Arial" w:hAnsi="Arial"/>
                <w:sz w:val="13"/>
                <w:szCs w:val="13"/>
                <w:color w:val="auto"/>
              </w:rPr>
              <w:t>Provision for credit losses</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6,981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6,397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15,389</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Initial ACL on PCD loans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Arial" w:cs="Arial" w:eastAsia="Arial" w:hAnsi="Arial"/>
                <w:sz w:val="13"/>
                <w:szCs w:val="13"/>
                <w:color w:val="auto"/>
              </w:rPr>
              <w:t>Charge-offs</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(3,796)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(4,505)</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Recoveries</w:t>
            </w: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58"/>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recoveries (charge-offs)</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(3,289)</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(3,255)</w:t>
            </w: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15,216</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47,193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0"/>
              </w:rPr>
              <w:t>Year Ended June 30, 2022</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60"/>
              <w:spacing w:after="0" w:line="120" w:lineRule="exact"/>
              <w:rPr>
                <w:sz w:val="20"/>
                <w:szCs w:val="20"/>
                <w:color w:val="auto"/>
              </w:rPr>
            </w:pPr>
            <w:r>
              <w:rPr>
                <w:rFonts w:ascii="Arial" w:cs="Arial" w:eastAsia="Arial" w:hAnsi="Arial"/>
                <w:sz w:val="13"/>
                <w:szCs w:val="13"/>
                <w:b w:val="1"/>
                <w:bCs w:val="1"/>
                <w:color w:val="auto"/>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8"/>
              </w:rPr>
              <w:t>Residential Real Estate</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Consumer</w:t>
            </w:r>
          </w:p>
        </w:tc>
        <w:tc>
          <w:tcPr>
            <w:tcW w:w="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35,468</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Arial" w:cs="Arial" w:eastAsia="Arial" w:hAnsi="Arial"/>
                <w:sz w:val="13"/>
                <w:szCs w:val="13"/>
                <w:color w:val="auto"/>
              </w:rPr>
              <w:t>Provision (benefit) for credit losses</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3,110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(1,472)</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Charge-offs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(2,512)</w:t>
            </w:r>
          </w:p>
        </w:tc>
        <w:tc>
          <w:tcPr>
            <w:tcW w:w="0" w:type="dxa"/>
            <w:vAlign w:val="bottom"/>
          </w:tcPr>
          <w:p>
            <w:pPr>
              <w:spacing w:after="0"/>
              <w:rPr>
                <w:sz w:val="1"/>
                <w:szCs w:val="1"/>
                <w:color w:val="auto"/>
              </w:rPr>
            </w:pPr>
          </w:p>
        </w:tc>
      </w:tr>
      <w:tr>
        <w:trPr>
          <w:trHeight w:val="168"/>
        </w:trPr>
        <w:tc>
          <w:tcPr>
            <w:tcW w:w="4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Recoveries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3,206</w:t>
            </w:r>
          </w:p>
        </w:tc>
        <w:tc>
          <w:tcPr>
            <w:tcW w:w="0" w:type="dxa"/>
            <w:vAlign w:val="bottom"/>
          </w:tcPr>
          <w:p>
            <w:pPr>
              <w:spacing w:after="0"/>
              <w:rPr>
                <w:sz w:val="1"/>
                <w:szCs w:val="1"/>
                <w:color w:val="auto"/>
              </w:rPr>
            </w:pPr>
          </w:p>
        </w:tc>
      </w:tr>
      <w:tr>
        <w:trPr>
          <w:trHeight w:val="160"/>
        </w:trPr>
        <w:tc>
          <w:tcPr>
            <w:tcW w:w="4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recoveries (charge-offs)</w:t>
            </w:r>
          </w:p>
        </w:tc>
        <w:tc>
          <w:tcPr>
            <w:tcW w:w="1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63"/>
        </w:trPr>
        <w:tc>
          <w:tcPr>
            <w:tcW w:w="4340" w:type="dxa"/>
            <w:vAlign w:val="bottom"/>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13,414</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12,036</w:t>
            </w:r>
          </w:p>
        </w:tc>
        <w:tc>
          <w:tcPr>
            <w:tcW w:w="5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7,611</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1,629</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34,690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0"/>
              </w:rPr>
              <w:t>Year Ended June 30, 2021</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60"/>
              <w:spacing w:after="0" w:line="120" w:lineRule="exact"/>
              <w:rPr>
                <w:sz w:val="20"/>
                <w:szCs w:val="20"/>
                <w:color w:val="auto"/>
              </w:rPr>
            </w:pPr>
            <w:r>
              <w:rPr>
                <w:rFonts w:ascii="Arial" w:cs="Arial" w:eastAsia="Arial" w:hAnsi="Arial"/>
                <w:sz w:val="13"/>
                <w:szCs w:val="13"/>
                <w:b w:val="1"/>
                <w:bCs w:val="1"/>
                <w:color w:val="auto"/>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8"/>
              </w:rPr>
              <w:t>Residential Real Estate</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Consumer</w:t>
            </w:r>
          </w:p>
        </w:tc>
        <w:tc>
          <w:tcPr>
            <w:tcW w:w="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5,703</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28,072</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Arial" w:cs="Arial" w:eastAsia="Arial" w:hAnsi="Arial"/>
                <w:sz w:val="13"/>
                <w:szCs w:val="13"/>
                <w:color w:val="auto"/>
              </w:rPr>
              <w:t>Impact of adoption ASU 2016-13</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3,240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14,809</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Benefit for credit losses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(7,270)</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Arial" w:cs="Arial" w:eastAsia="Arial" w:hAnsi="Arial"/>
                <w:sz w:val="13"/>
                <w:szCs w:val="13"/>
                <w:color w:val="auto"/>
              </w:rPr>
              <w:t>Charge-offs</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(977)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(3,533)</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Recoveries</w:t>
            </w: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3,390</w:t>
            </w:r>
          </w:p>
        </w:tc>
        <w:tc>
          <w:tcPr>
            <w:tcW w:w="0" w:type="dxa"/>
            <w:vAlign w:val="bottom"/>
          </w:tcPr>
          <w:p>
            <w:pPr>
              <w:spacing w:after="0"/>
              <w:rPr>
                <w:sz w:val="1"/>
                <w:szCs w:val="1"/>
                <w:color w:val="auto"/>
              </w:rPr>
            </w:pPr>
          </w:p>
        </w:tc>
      </w:tr>
      <w:tr>
        <w:trPr>
          <w:trHeight w:val="158"/>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recoveries (charge-offs)</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1,166</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35,468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estimating ECL, ASC 326 prescribes that if foreclosure is expected, a CDA is required to be measured at the fair value of collateral, but as a practical expedient, if foreclosure is not probable, fair value measurement is optional.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w w:val="93"/>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7"/>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June 30, 2023</w:t>
            </w: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Residential Property</w:t>
            </w:r>
          </w:p>
        </w:tc>
        <w:tc>
          <w:tcPr>
            <w:tcW w:w="1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Investment Property</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Commercial Property</w:t>
            </w:r>
          </w:p>
        </w:tc>
        <w:tc>
          <w:tcPr>
            <w:tcW w:w="1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b w:val="1"/>
                <w:bCs w:val="1"/>
                <w:color w:val="auto"/>
                <w:w w:val="80"/>
              </w:rPr>
              <w:t>Business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Non-CDAs</w:t>
            </w:r>
          </w:p>
        </w:tc>
        <w:tc>
          <w:tcPr>
            <w:tcW w:w="240" w:type="dxa"/>
            <w:vAlign w:val="bottom"/>
          </w:tcPr>
          <w:p>
            <w:pPr>
              <w:spacing w:after="0"/>
              <w:rPr>
                <w:sz w:val="24"/>
                <w:szCs w:val="24"/>
                <w:color w:val="auto"/>
              </w:rPr>
            </w:pPr>
          </w:p>
        </w:tc>
        <w:tc>
          <w:tcPr>
            <w:tcW w:w="84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r>
      <w:tr>
        <w:trPr>
          <w:trHeight w:val="152"/>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4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356,674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356,674</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528,676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529,721</w:t>
            </w: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898,667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901,685</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commercial real estate</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1,865,844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1,869,907</w:t>
            </w: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244,617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245,428</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461,869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462,211</w:t>
            </w:r>
          </w:p>
        </w:tc>
      </w:tr>
      <w:tr>
        <w:trPr>
          <w:trHeight w:val="168"/>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Municipal leases</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r>
      <w:tr>
        <w:trPr>
          <w:trHeight w:val="163"/>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848,698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849,851</w:t>
            </w:r>
          </w:p>
        </w:tc>
      </w:tr>
      <w:tr>
        <w:trPr>
          <w:trHeight w:val="168"/>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One-to-four family</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528,951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529,703</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HELOCs</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residential real estate</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826,218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826,970</w:t>
            </w:r>
          </w:p>
        </w:tc>
      </w:tr>
      <w:tr>
        <w:trPr>
          <w:trHeight w:val="170"/>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r>
      <w:tr>
        <w:trPr>
          <w:trHeight w:val="163"/>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752</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4,063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1,153</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3,652,855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3,658,823</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collateral value</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w w:val="93"/>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7"/>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June 30, 2022</w:t>
            </w: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Residential Property</w:t>
            </w:r>
          </w:p>
        </w:tc>
        <w:tc>
          <w:tcPr>
            <w:tcW w:w="1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Investment Property</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Commercial Property</w:t>
            </w:r>
          </w:p>
        </w:tc>
        <w:tc>
          <w:tcPr>
            <w:tcW w:w="1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b w:val="1"/>
                <w:bCs w:val="1"/>
                <w:color w:val="auto"/>
                <w:w w:val="80"/>
              </w:rPr>
              <w:t>Business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Non-CDAs</w:t>
            </w:r>
          </w:p>
        </w:tc>
        <w:tc>
          <w:tcPr>
            <w:tcW w:w="240" w:type="dxa"/>
            <w:vAlign w:val="bottom"/>
          </w:tcPr>
          <w:p>
            <w:pPr>
              <w:spacing w:after="0"/>
              <w:rPr>
                <w:sz w:val="24"/>
                <w:szCs w:val="24"/>
                <w:color w:val="auto"/>
              </w:rPr>
            </w:pPr>
          </w:p>
        </w:tc>
        <w:tc>
          <w:tcPr>
            <w:tcW w:w="84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r>
      <w:tr>
        <w:trPr>
          <w:trHeight w:val="152"/>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4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291,202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291,202</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662,159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662,159</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commercial real estate</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1,370,105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1,370,105</w:t>
            </w: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190,719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193,313</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r>
      <w:tr>
        <w:trPr>
          <w:trHeight w:val="168"/>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Municipal leases</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129,766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129,766</w:t>
            </w:r>
          </w:p>
        </w:tc>
      </w:tr>
      <w:tr>
        <w:trPr>
          <w:trHeight w:val="163"/>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715,026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717,620</w:t>
            </w:r>
          </w:p>
        </w:tc>
      </w:tr>
      <w:tr>
        <w:trPr>
          <w:trHeight w:val="168"/>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One-to-four family</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1,318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352,885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354,203</w:t>
            </w: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HELOCs</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160,137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160,137</w:t>
            </w: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residential real estate</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1,318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594,869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596,187</w:t>
            </w:r>
          </w:p>
        </w:tc>
      </w:tr>
      <w:tr>
        <w:trPr>
          <w:trHeight w:val="170"/>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85,383</w:t>
            </w:r>
          </w:p>
        </w:tc>
      </w:tr>
      <w:tr>
        <w:trPr>
          <w:trHeight w:val="163"/>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1,318</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2,594</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2,765,383</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2,769,295</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collateral value</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breakdown of the types of concessions made on TDRs by loan class for the periods indicated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June 30,</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w w:val="95"/>
              </w:rPr>
              <w:t>Pre Modification</w:t>
            </w:r>
          </w:p>
        </w:tc>
        <w:tc>
          <w:tcPr>
            <w:tcW w:w="80" w:type="dxa"/>
            <w:vAlign w:val="bottom"/>
          </w:tcPr>
          <w:p>
            <w:pPr>
              <w:spacing w:after="0"/>
              <w:rPr>
                <w:sz w:val="8"/>
                <w:szCs w:val="8"/>
                <w:color w:val="auto"/>
              </w:rPr>
            </w:pPr>
          </w:p>
        </w:tc>
        <w:tc>
          <w:tcPr>
            <w:tcW w:w="1000" w:type="dxa"/>
            <w:vAlign w:val="bottom"/>
          </w:tcPr>
          <w:p>
            <w:pPr>
              <w:jc w:val="center"/>
              <w:ind w:right="3"/>
              <w:spacing w:after="0" w:line="103" w:lineRule="exact"/>
              <w:rPr>
                <w:sz w:val="20"/>
                <w:szCs w:val="20"/>
                <w:color w:val="auto"/>
              </w:rPr>
            </w:pPr>
            <w:r>
              <w:rPr>
                <w:rFonts w:ascii="Arial" w:cs="Arial" w:eastAsia="Arial" w:hAnsi="Arial"/>
                <w:sz w:val="11"/>
                <w:szCs w:val="11"/>
                <w:b w:val="1"/>
                <w:bCs w:val="1"/>
                <w:color w:val="auto"/>
                <w:w w:val="93"/>
              </w:rPr>
              <w:t>Post Modification</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w w:val="95"/>
              </w:rPr>
              <w:t>Pre Modification</w:t>
            </w:r>
          </w:p>
        </w:tc>
        <w:tc>
          <w:tcPr>
            <w:tcW w:w="120" w:type="dxa"/>
            <w:vAlign w:val="bottom"/>
          </w:tcPr>
          <w:p>
            <w:pPr>
              <w:spacing w:after="0"/>
              <w:rPr>
                <w:sz w:val="8"/>
                <w:szCs w:val="8"/>
                <w:color w:val="auto"/>
              </w:rPr>
            </w:pPr>
          </w:p>
        </w:tc>
        <w:tc>
          <w:tcPr>
            <w:tcW w:w="980" w:type="dxa"/>
            <w:vAlign w:val="bottom"/>
          </w:tcPr>
          <w:p>
            <w:pPr>
              <w:jc w:val="center"/>
              <w:ind w:right="63"/>
              <w:spacing w:after="0" w:line="103" w:lineRule="exact"/>
              <w:rPr>
                <w:sz w:val="20"/>
                <w:szCs w:val="20"/>
                <w:color w:val="auto"/>
              </w:rPr>
            </w:pPr>
            <w:r>
              <w:rPr>
                <w:rFonts w:ascii="Arial" w:cs="Arial" w:eastAsia="Arial" w:hAnsi="Arial"/>
                <w:sz w:val="11"/>
                <w:szCs w:val="11"/>
                <w:b w:val="1"/>
                <w:bCs w:val="1"/>
                <w:color w:val="auto"/>
                <w:w w:val="93"/>
              </w:rPr>
              <w:t>Post Modification</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5"/>
              </w:rPr>
              <w:t>Pre Modification</w:t>
            </w:r>
          </w:p>
        </w:tc>
        <w:tc>
          <w:tcPr>
            <w:tcW w:w="100" w:type="dxa"/>
            <w:vAlign w:val="bottom"/>
          </w:tcPr>
          <w:p>
            <w:pPr>
              <w:spacing w:after="0"/>
              <w:rPr>
                <w:sz w:val="8"/>
                <w:szCs w:val="8"/>
                <w:color w:val="auto"/>
              </w:rPr>
            </w:pPr>
          </w:p>
        </w:tc>
        <w:tc>
          <w:tcPr>
            <w:tcW w:w="1000" w:type="dxa"/>
            <w:vAlign w:val="bottom"/>
          </w:tcPr>
          <w:p>
            <w:pPr>
              <w:jc w:val="center"/>
              <w:ind w:right="43"/>
              <w:spacing w:after="0" w:line="103" w:lineRule="exact"/>
              <w:rPr>
                <w:sz w:val="20"/>
                <w:szCs w:val="20"/>
                <w:color w:val="auto"/>
              </w:rPr>
            </w:pPr>
            <w:r>
              <w:rPr>
                <w:rFonts w:ascii="Arial" w:cs="Arial" w:eastAsia="Arial" w:hAnsi="Arial"/>
                <w:sz w:val="11"/>
                <w:szCs w:val="11"/>
                <w:b w:val="1"/>
                <w:bCs w:val="1"/>
                <w:color w:val="auto"/>
                <w:w w:val="93"/>
              </w:rPr>
              <w:t>Post Modification</w:t>
            </w: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 of Loans</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10" w:lineRule="exact"/>
              <w:rPr>
                <w:sz w:val="20"/>
                <w:szCs w:val="20"/>
                <w:color w:val="auto"/>
              </w:rPr>
            </w:pPr>
            <w:r>
              <w:rPr>
                <w:rFonts w:ascii="Arial" w:cs="Arial" w:eastAsia="Arial" w:hAnsi="Arial"/>
                <w:sz w:val="11"/>
                <w:szCs w:val="11"/>
                <w:b w:val="1"/>
                <w:bCs w:val="1"/>
                <w:color w:val="auto"/>
                <w:w w:val="92"/>
              </w:rPr>
              <w:t>Outstanding</w:t>
            </w:r>
          </w:p>
        </w:tc>
        <w:tc>
          <w:tcPr>
            <w:tcW w:w="80" w:type="dxa"/>
            <w:vAlign w:val="bottom"/>
          </w:tcPr>
          <w:p>
            <w:pPr>
              <w:spacing w:after="0"/>
              <w:rPr>
                <w:sz w:val="9"/>
                <w:szCs w:val="9"/>
                <w:color w:val="auto"/>
              </w:rPr>
            </w:pPr>
          </w:p>
        </w:tc>
        <w:tc>
          <w:tcPr>
            <w:tcW w:w="1100" w:type="dxa"/>
            <w:vAlign w:val="bottom"/>
            <w:gridSpan w:val="2"/>
          </w:tcPr>
          <w:p>
            <w:pPr>
              <w:jc w:val="center"/>
              <w:ind w:right="180"/>
              <w:spacing w:after="0" w:line="110" w:lineRule="exact"/>
              <w:rPr>
                <w:sz w:val="20"/>
                <w:szCs w:val="20"/>
                <w:color w:val="auto"/>
              </w:rPr>
            </w:pPr>
            <w:r>
              <w:rPr>
                <w:rFonts w:ascii="Arial" w:cs="Arial" w:eastAsia="Arial" w:hAnsi="Arial"/>
                <w:sz w:val="11"/>
                <w:szCs w:val="11"/>
                <w:b w:val="1"/>
                <w:bCs w:val="1"/>
                <w:color w:val="auto"/>
                <w:w w:val="92"/>
              </w:rPr>
              <w:t>Outstanding</w:t>
            </w: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 of Loans</w:t>
            </w:r>
          </w:p>
        </w:tc>
        <w:tc>
          <w:tcPr>
            <w:tcW w:w="100" w:type="dxa"/>
            <w:vAlign w:val="bottom"/>
          </w:tcPr>
          <w:p>
            <w:pPr>
              <w:spacing w:after="0"/>
              <w:rPr>
                <w:sz w:val="9"/>
                <w:szCs w:val="9"/>
                <w:color w:val="auto"/>
              </w:rPr>
            </w:pPr>
          </w:p>
        </w:tc>
        <w:tc>
          <w:tcPr>
            <w:tcW w:w="1080" w:type="dxa"/>
            <w:vAlign w:val="bottom"/>
            <w:gridSpan w:val="2"/>
          </w:tcPr>
          <w:p>
            <w:pPr>
              <w:jc w:val="center"/>
              <w:ind w:right="200"/>
              <w:spacing w:after="0" w:line="110" w:lineRule="exact"/>
              <w:rPr>
                <w:sz w:val="20"/>
                <w:szCs w:val="20"/>
                <w:color w:val="auto"/>
              </w:rPr>
            </w:pPr>
            <w:r>
              <w:rPr>
                <w:rFonts w:ascii="Arial" w:cs="Arial" w:eastAsia="Arial" w:hAnsi="Arial"/>
                <w:sz w:val="11"/>
                <w:szCs w:val="11"/>
                <w:b w:val="1"/>
                <w:bCs w:val="1"/>
                <w:color w:val="auto"/>
                <w:w w:val="92"/>
              </w:rPr>
              <w:t>Outstanding</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10" w:lineRule="exact"/>
              <w:rPr>
                <w:sz w:val="20"/>
                <w:szCs w:val="20"/>
                <w:color w:val="auto"/>
              </w:rPr>
            </w:pPr>
            <w:r>
              <w:rPr>
                <w:rFonts w:ascii="Arial" w:cs="Arial" w:eastAsia="Arial" w:hAnsi="Arial"/>
                <w:sz w:val="11"/>
                <w:szCs w:val="11"/>
                <w:b w:val="1"/>
                <w:bCs w:val="1"/>
                <w:color w:val="auto"/>
                <w:w w:val="92"/>
              </w:rPr>
              <w:t>Outstanding</w:t>
            </w: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 of Loans</w:t>
            </w:r>
          </w:p>
        </w:tc>
        <w:tc>
          <w:tcPr>
            <w:tcW w:w="100" w:type="dxa"/>
            <w:vAlign w:val="bottom"/>
          </w:tcPr>
          <w:p>
            <w:pPr>
              <w:spacing w:after="0"/>
              <w:rPr>
                <w:sz w:val="9"/>
                <w:szCs w:val="9"/>
                <w:color w:val="auto"/>
              </w:rPr>
            </w:pPr>
          </w:p>
        </w:tc>
        <w:tc>
          <w:tcPr>
            <w:tcW w:w="1100" w:type="dxa"/>
            <w:vAlign w:val="bottom"/>
            <w:gridSpan w:val="2"/>
          </w:tcPr>
          <w:p>
            <w:pPr>
              <w:jc w:val="center"/>
              <w:ind w:right="180"/>
              <w:spacing w:after="0" w:line="110" w:lineRule="exact"/>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9"/>
                <w:szCs w:val="9"/>
                <w:color w:val="auto"/>
              </w:rPr>
            </w:pPr>
          </w:p>
        </w:tc>
        <w:tc>
          <w:tcPr>
            <w:tcW w:w="1000" w:type="dxa"/>
            <w:vAlign w:val="bottom"/>
          </w:tcPr>
          <w:p>
            <w:pPr>
              <w:jc w:val="center"/>
              <w:ind w:right="43"/>
              <w:spacing w:after="0" w:line="110" w:lineRule="exact"/>
              <w:rPr>
                <w:sz w:val="20"/>
                <w:szCs w:val="20"/>
                <w:color w:val="auto"/>
              </w:rPr>
            </w:pPr>
            <w:r>
              <w:rPr>
                <w:rFonts w:ascii="Arial" w:cs="Arial" w:eastAsia="Arial" w:hAnsi="Arial"/>
                <w:sz w:val="11"/>
                <w:szCs w:val="11"/>
                <w:b w:val="1"/>
                <w:bCs w:val="1"/>
                <w:color w:val="auto"/>
                <w:w w:val="95"/>
              </w:rPr>
              <w:t>Outstanding</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Recorded Investment</w:t>
            </w:r>
          </w:p>
        </w:tc>
        <w:tc>
          <w:tcPr>
            <w:tcW w:w="11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2"/>
              </w:rPr>
              <w:t>Recorded Investment</w:t>
            </w:r>
          </w:p>
        </w:tc>
        <w:tc>
          <w:tcPr>
            <w:tcW w:w="700" w:type="dxa"/>
            <w:vAlign w:val="bottom"/>
            <w:gridSpan w:val="2"/>
            <w:vMerge w:val="continue"/>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Recorded Investment</w:t>
            </w:r>
          </w:p>
        </w:tc>
        <w:tc>
          <w:tcPr>
            <w:tcW w:w="12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Recorded Investment</w:t>
            </w:r>
          </w:p>
        </w:tc>
        <w:tc>
          <w:tcPr>
            <w:tcW w:w="700" w:type="dxa"/>
            <w:vAlign w:val="bottom"/>
            <w:gridSpan w:val="2"/>
            <w:vMerge w:val="continue"/>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Recorded Investment</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Recorded Investment</w:t>
            </w:r>
          </w:p>
        </w:tc>
        <w:tc>
          <w:tcPr>
            <w:tcW w:w="0" w:type="dxa"/>
            <w:vAlign w:val="bottom"/>
          </w:tcPr>
          <w:p>
            <w:pPr>
              <w:spacing w:after="0"/>
              <w:rPr>
                <w:sz w:val="1"/>
                <w:szCs w:val="1"/>
                <w:color w:val="auto"/>
              </w:rPr>
            </w:pPr>
          </w:p>
        </w:tc>
      </w:tr>
      <w:tr>
        <w:trPr>
          <w:trHeight w:val="149"/>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Below market interest rate</w:t>
            </w: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Commercial</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Commercial and industrial</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Residential real estate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80"/>
              <w:spacing w:after="0"/>
              <w:rPr>
                <w:sz w:val="20"/>
                <w:szCs w:val="20"/>
                <w:color w:val="auto"/>
              </w:rPr>
            </w:pPr>
            <w:r>
              <w:rPr>
                <w:rFonts w:ascii="Arial" w:cs="Arial" w:eastAsia="Arial" w:hAnsi="Arial"/>
                <w:sz w:val="11"/>
                <w:szCs w:val="11"/>
                <w:color w:val="auto"/>
              </w:rPr>
              <w:t>One-to-four family</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Consumer</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below market interest rate</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591</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Extended payment terms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Residential real estate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120" w:type="dxa"/>
            <w:vAlign w:val="bottom"/>
          </w:tcPr>
          <w:p>
            <w:pPr>
              <w:ind w:left="80"/>
              <w:spacing w:after="0"/>
              <w:rPr>
                <w:sz w:val="20"/>
                <w:szCs w:val="20"/>
                <w:color w:val="auto"/>
              </w:rPr>
            </w:pPr>
            <w:r>
              <w:rPr>
                <w:rFonts w:ascii="Arial" w:cs="Arial" w:eastAsia="Arial" w:hAnsi="Arial"/>
                <w:sz w:val="11"/>
                <w:szCs w:val="11"/>
                <w:color w:val="auto"/>
              </w:rPr>
              <w:t>One-to-four family</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Consumer</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3"/>
        </w:trPr>
        <w:tc>
          <w:tcPr>
            <w:tcW w:w="2120" w:type="dxa"/>
            <w:vAlign w:val="bottom"/>
          </w:tcPr>
          <w:p>
            <w:pPr>
              <w:ind w:left="140"/>
              <w:spacing w:after="0"/>
              <w:rPr>
                <w:sz w:val="20"/>
                <w:szCs w:val="20"/>
                <w:color w:val="auto"/>
              </w:rPr>
            </w:pPr>
            <w:r>
              <w:rPr>
                <w:rFonts w:ascii="Arial" w:cs="Arial" w:eastAsia="Arial" w:hAnsi="Arial"/>
                <w:sz w:val="11"/>
                <w:szCs w:val="11"/>
                <w:color w:val="auto"/>
              </w:rPr>
              <w:t>Total extended payment terms</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TDRs</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80"/>
              <w:spacing w:after="0"/>
              <w:rPr>
                <w:sz w:val="20"/>
                <w:szCs w:val="20"/>
                <w:color w:val="auto"/>
              </w:rPr>
            </w:pPr>
            <w:r>
              <w:rPr>
                <w:rFonts w:ascii="Arial" w:cs="Arial" w:eastAsia="Arial" w:hAnsi="Arial"/>
                <w:sz w:val="11"/>
                <w:szCs w:val="11"/>
                <w:color w:val="auto"/>
              </w:rPr>
              <w:t>Multifamily</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3,421</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Commercial</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Commercial and industrial</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Residential real estate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Construction and land development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w:t>
            </w:r>
          </w:p>
        </w:tc>
        <w:tc>
          <w:tcPr>
            <w:tcW w:w="0" w:type="dxa"/>
            <w:vAlign w:val="bottom"/>
          </w:tcPr>
          <w:p>
            <w:pPr>
              <w:spacing w:after="0"/>
              <w:rPr>
                <w:sz w:val="1"/>
                <w:szCs w:val="1"/>
                <w:color w:val="auto"/>
              </w:rPr>
            </w:pPr>
          </w:p>
        </w:tc>
      </w:tr>
      <w:tr>
        <w:trPr>
          <w:trHeight w:val="152"/>
        </w:trPr>
        <w:tc>
          <w:tcPr>
            <w:tcW w:w="2120" w:type="dxa"/>
            <w:vAlign w:val="bottom"/>
          </w:tcPr>
          <w:p>
            <w:pPr>
              <w:ind w:left="80"/>
              <w:spacing w:after="0"/>
              <w:rPr>
                <w:sz w:val="20"/>
                <w:szCs w:val="20"/>
                <w:color w:val="auto"/>
              </w:rPr>
            </w:pPr>
            <w:r>
              <w:rPr>
                <w:rFonts w:ascii="Arial" w:cs="Arial" w:eastAsia="Arial" w:hAnsi="Arial"/>
                <w:sz w:val="11"/>
                <w:szCs w:val="11"/>
                <w:color w:val="auto"/>
              </w:rPr>
              <w:t>One-to-four family</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256</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ind w:left="80"/>
              <w:spacing w:after="0"/>
              <w:rPr>
                <w:sz w:val="20"/>
                <w:szCs w:val="20"/>
                <w:color w:val="auto"/>
              </w:rPr>
            </w:pPr>
            <w:r>
              <w:rPr>
                <w:rFonts w:ascii="Arial" w:cs="Arial" w:eastAsia="Arial" w:hAnsi="Arial"/>
                <w:sz w:val="11"/>
                <w:szCs w:val="11"/>
                <w:color w:val="auto"/>
              </w:rPr>
              <w:t>HELOCs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53"/>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Consumer</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other TDRs</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5,162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4,108</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623</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1,461</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loans that were modified as TDRs within the previous 12 months and for which there was a payment default during the periods indicated:</w:t>
      </w:r>
    </w:p>
    <w:p>
      <w:pPr>
        <w:spacing w:after="0" w:line="37" w:lineRule="exact"/>
        <w:rPr>
          <w:sz w:val="20"/>
          <w:szCs w:val="20"/>
          <w:color w:val="auto"/>
        </w:rPr>
      </w:pPr>
    </w:p>
    <w:p>
      <w:pPr>
        <w:ind w:left="7160"/>
        <w:spacing w:after="0"/>
        <w:rPr>
          <w:sz w:val="20"/>
          <w:szCs w:val="20"/>
          <w:color w:val="auto"/>
        </w:rPr>
      </w:pPr>
      <w:r>
        <w:rPr>
          <w:rFonts w:ascii="Arial" w:cs="Arial" w:eastAsia="Arial" w:hAnsi="Arial"/>
          <w:sz w:val="13"/>
          <w:szCs w:val="13"/>
          <w:b w:val="1"/>
          <w:bCs w:val="1"/>
          <w:color w:val="auto"/>
        </w:rPr>
        <w:t>Year Ended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20" w:type="dxa"/>
            <w:vAlign w:val="bottom"/>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9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ind w:right="52"/>
              <w:spacing w:after="0"/>
              <w:rPr>
                <w:sz w:val="20"/>
                <w:szCs w:val="20"/>
                <w:color w:val="auto"/>
              </w:rPr>
            </w:pPr>
            <w:r>
              <w:rPr>
                <w:rFonts w:ascii="Arial" w:cs="Arial" w:eastAsia="Arial" w:hAnsi="Arial"/>
                <w:sz w:val="13"/>
                <w:szCs w:val="13"/>
                <w:b w:val="1"/>
                <w:bCs w:val="1"/>
                <w:color w:val="auto"/>
              </w:rPr>
              <w:t>2022</w:t>
            </w:r>
          </w:p>
        </w:tc>
        <w:tc>
          <w:tcPr>
            <w:tcW w:w="7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2"/>
              </w:rPr>
              <w:t>2021</w:t>
            </w:r>
          </w:p>
        </w:tc>
        <w:tc>
          <w:tcPr>
            <w:tcW w:w="960" w:type="dxa"/>
            <w:vAlign w:val="bottom"/>
            <w:tcBorders>
              <w:top w:val="single" w:sz="8" w:color="auto"/>
              <w:bottom w:val="single" w:sz="8" w:color="auto"/>
            </w:tcBorders>
          </w:tcPr>
          <w:p>
            <w:pPr>
              <w:spacing w:after="0"/>
              <w:rPr>
                <w:sz w:val="14"/>
                <w:szCs w:val="14"/>
                <w:color w:val="auto"/>
              </w:rPr>
            </w:pPr>
          </w:p>
        </w:tc>
      </w:tr>
      <w:tr>
        <w:trPr>
          <w:trHeight w:val="118"/>
        </w:trPr>
        <w:tc>
          <w:tcPr>
            <w:tcW w:w="4220" w:type="dxa"/>
            <w:vAlign w:val="bottom"/>
          </w:tcPr>
          <w:p>
            <w:pPr>
              <w:spacing w:after="0"/>
              <w:rPr>
                <w:sz w:val="10"/>
                <w:szCs w:val="10"/>
                <w:color w:val="auto"/>
              </w:rPr>
            </w:pPr>
          </w:p>
        </w:tc>
        <w:tc>
          <w:tcPr>
            <w:tcW w:w="820" w:type="dxa"/>
            <w:vAlign w:val="bottom"/>
          </w:tcPr>
          <w:p>
            <w:pPr>
              <w:jc w:val="center"/>
              <w:ind w:left="196"/>
              <w:spacing w:after="0" w:line="118" w:lineRule="exact"/>
              <w:rPr>
                <w:sz w:val="20"/>
                <w:szCs w:val="20"/>
                <w:color w:val="auto"/>
              </w:rPr>
            </w:pPr>
            <w:r>
              <w:rPr>
                <w:rFonts w:ascii="Arial" w:cs="Arial" w:eastAsia="Arial" w:hAnsi="Arial"/>
                <w:sz w:val="13"/>
                <w:szCs w:val="13"/>
                <w:b w:val="1"/>
                <w:bCs w:val="1"/>
                <w:color w:val="auto"/>
                <w:w w:val="86"/>
              </w:rPr>
              <w: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96"/>
              <w:spacing w:after="0" w:line="118" w:lineRule="exact"/>
              <w:rPr>
                <w:sz w:val="20"/>
                <w:szCs w:val="20"/>
                <w:color w:val="auto"/>
              </w:rPr>
            </w:pPr>
            <w:r>
              <w:rPr>
                <w:rFonts w:ascii="Arial" w:cs="Arial" w:eastAsia="Arial" w:hAnsi="Arial"/>
                <w:sz w:val="13"/>
                <w:szCs w:val="13"/>
                <w:b w:val="1"/>
                <w:bCs w:val="1"/>
                <w:color w:val="auto"/>
                <w:w w:val="86"/>
              </w:rPr>
              <w:t>Recorded</w:t>
            </w:r>
          </w:p>
        </w:tc>
        <w:tc>
          <w:tcPr>
            <w:tcW w:w="100" w:type="dxa"/>
            <w:vAlign w:val="bottom"/>
          </w:tcPr>
          <w:p>
            <w:pPr>
              <w:spacing w:after="0"/>
              <w:rPr>
                <w:sz w:val="10"/>
                <w:szCs w:val="10"/>
                <w:color w:val="auto"/>
              </w:rPr>
            </w:pPr>
          </w:p>
        </w:tc>
        <w:tc>
          <w:tcPr>
            <w:tcW w:w="122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w w:val="86"/>
              </w:rPr>
              <w:t># of</w:t>
            </w:r>
          </w:p>
        </w:tc>
        <w:tc>
          <w:tcPr>
            <w:tcW w:w="14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6"/>
              </w:rPr>
              <w:t>Recorded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216"/>
              <w:spacing w:after="0" w:line="118" w:lineRule="exact"/>
              <w:rPr>
                <w:sz w:val="20"/>
                <w:szCs w:val="20"/>
                <w:color w:val="auto"/>
              </w:rPr>
            </w:pPr>
            <w:r>
              <w:rPr>
                <w:rFonts w:ascii="Arial" w:cs="Arial" w:eastAsia="Arial" w:hAnsi="Arial"/>
                <w:sz w:val="13"/>
                <w:szCs w:val="13"/>
                <w:b w:val="1"/>
                <w:bCs w:val="1"/>
                <w:color w:val="auto"/>
                <w:w w:val="86"/>
              </w:rPr>
              <w:t># of</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ind w:left="120"/>
              <w:spacing w:after="0" w:line="118" w:lineRule="exact"/>
              <w:rPr>
                <w:sz w:val="20"/>
                <w:szCs w:val="20"/>
                <w:color w:val="auto"/>
              </w:rPr>
            </w:pPr>
            <w:r>
              <w:rPr>
                <w:rFonts w:ascii="Arial" w:cs="Arial" w:eastAsia="Arial" w:hAnsi="Arial"/>
                <w:sz w:val="13"/>
                <w:szCs w:val="13"/>
                <w:b w:val="1"/>
                <w:bCs w:val="1"/>
                <w:color w:val="auto"/>
              </w:rPr>
              <w:t>Recorded</w:t>
            </w:r>
          </w:p>
        </w:tc>
      </w:tr>
      <w:tr>
        <w:trPr>
          <w:trHeight w:val="168"/>
        </w:trPr>
        <w:tc>
          <w:tcPr>
            <w:tcW w:w="4220" w:type="dxa"/>
            <w:vAlign w:val="bottom"/>
          </w:tcPr>
          <w:p>
            <w:pPr>
              <w:spacing w:after="0"/>
              <w:rPr>
                <w:sz w:val="14"/>
                <w:szCs w:val="14"/>
                <w:color w:val="auto"/>
              </w:rPr>
            </w:pPr>
          </w:p>
        </w:tc>
        <w:tc>
          <w:tcPr>
            <w:tcW w:w="820" w:type="dxa"/>
            <w:vAlign w:val="bottom"/>
          </w:tcPr>
          <w:p>
            <w:pPr>
              <w:jc w:val="center"/>
              <w:ind w:left="196"/>
              <w:spacing w:after="0"/>
              <w:rPr>
                <w:sz w:val="20"/>
                <w:szCs w:val="20"/>
                <w:color w:val="auto"/>
              </w:rPr>
            </w:pPr>
            <w:r>
              <w:rPr>
                <w:rFonts w:ascii="Arial" w:cs="Arial" w:eastAsia="Arial" w:hAnsi="Arial"/>
                <w:sz w:val="13"/>
                <w:szCs w:val="13"/>
                <w:b w:val="1"/>
                <w:bCs w:val="1"/>
                <w:color w:val="auto"/>
                <w:w w:val="83"/>
              </w:rPr>
              <w:t>Loans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Investment</w:t>
            </w: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Loans</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Investment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left="196"/>
              <w:spacing w:after="0"/>
              <w:rPr>
                <w:sz w:val="20"/>
                <w:szCs w:val="20"/>
                <w:color w:val="auto"/>
              </w:rPr>
            </w:pPr>
            <w:r>
              <w:rPr>
                <w:rFonts w:ascii="Arial" w:cs="Arial" w:eastAsia="Arial" w:hAnsi="Arial"/>
                <w:sz w:val="13"/>
                <w:szCs w:val="13"/>
                <w:b w:val="1"/>
                <w:bCs w:val="1"/>
                <w:color w:val="auto"/>
                <w:w w:val="88"/>
              </w:rPr>
              <w:t>Loans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3"/>
                <w:szCs w:val="13"/>
                <w:b w:val="1"/>
                <w:bCs w:val="1"/>
                <w:color w:val="auto"/>
              </w:rPr>
              <w:t>Investment</w:t>
            </w:r>
          </w:p>
        </w:tc>
      </w:tr>
      <w:tr>
        <w:trPr>
          <w:trHeight w:val="152"/>
        </w:trPr>
        <w:tc>
          <w:tcPr>
            <w:tcW w:w="42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Below market interest rate</w:t>
            </w: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8"/>
        </w:trPr>
        <w:tc>
          <w:tcPr>
            <w:tcW w:w="504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Commercial loans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 industrial</w:t>
            </w:r>
          </w:p>
        </w:tc>
        <w:tc>
          <w:tcPr>
            <w:tcW w:w="8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r>
      <w:tr>
        <w:trPr>
          <w:trHeight w:val="158"/>
        </w:trPr>
        <w:tc>
          <w:tcPr>
            <w:tcW w:w="5040" w:type="dxa"/>
            <w:vAlign w:val="bottom"/>
            <w:gridSpan w:val="2"/>
          </w:tcPr>
          <w:p>
            <w:pPr>
              <w:ind w:left="280"/>
              <w:spacing w:after="0"/>
              <w:rPr>
                <w:sz w:val="20"/>
                <w:szCs w:val="20"/>
                <w:color w:val="auto"/>
              </w:rPr>
            </w:pPr>
            <w:r>
              <w:rPr>
                <w:rFonts w:ascii="Arial" w:cs="Arial" w:eastAsia="Arial" w:hAnsi="Arial"/>
                <w:sz w:val="13"/>
                <w:szCs w:val="13"/>
                <w:color w:val="auto"/>
              </w:rPr>
              <w:t>Total below market interest rate</w:t>
            </w: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760"/>
              <w:spacing w:after="0"/>
              <w:rPr>
                <w:sz w:val="20"/>
                <w:szCs w:val="20"/>
                <w:color w:val="auto"/>
              </w:rPr>
            </w:pPr>
            <w:r>
              <w:rPr>
                <w:rFonts w:ascii="Arial" w:cs="Arial" w:eastAsia="Arial" w:hAnsi="Arial"/>
                <w:sz w:val="13"/>
                <w:szCs w:val="13"/>
                <w:color w:val="auto"/>
              </w:rPr>
              <w:t>—</w:t>
            </w:r>
          </w:p>
        </w:tc>
      </w:tr>
      <w:tr>
        <w:trPr>
          <w:trHeight w:val="47"/>
        </w:trPr>
        <w:tc>
          <w:tcPr>
            <w:tcW w:w="4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17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Other TDRs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220" w:type="dxa"/>
            <w:vAlign w:val="bottom"/>
            <w:tcBorders>
              <w:bottom w:val="single" w:sz="8" w:color="CCEEFF"/>
            </w:tcBorders>
          </w:tcPr>
          <w:p>
            <w:pPr>
              <w:ind w:left="100"/>
              <w:spacing w:after="0"/>
              <w:rPr>
                <w:sz w:val="20"/>
                <w:szCs w:val="20"/>
                <w:color w:val="auto"/>
              </w:rPr>
            </w:pPr>
            <w:r>
              <w:rPr>
                <w:rFonts w:ascii="Arial" w:cs="Arial" w:eastAsia="Arial" w:hAnsi="Arial"/>
                <w:sz w:val="13"/>
                <w:szCs w:val="13"/>
                <w:b w:val="1"/>
                <w:bCs w:val="1"/>
                <w:color w:val="auto"/>
              </w:rPr>
              <w:t>Consumer</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30</w:t>
            </w:r>
          </w:p>
        </w:tc>
      </w:tr>
      <w:tr>
        <w:trPr>
          <w:trHeight w:val="160"/>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other TDRs</w:t>
            </w:r>
          </w:p>
        </w:tc>
        <w:tc>
          <w:tcPr>
            <w:tcW w:w="8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30</w:t>
            </w:r>
          </w:p>
        </w:tc>
      </w:tr>
      <w:tr>
        <w:trPr>
          <w:trHeight w:val="163"/>
        </w:trPr>
        <w:tc>
          <w:tcPr>
            <w:tcW w:w="50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320" w:type="dxa"/>
            <w:vAlign w:val="bottom"/>
            <w:gridSpan w:val="3"/>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ind w:left="760"/>
              <w:spacing w:after="0"/>
              <w:rPr>
                <w:sz w:val="20"/>
                <w:szCs w:val="20"/>
                <w:color w:val="auto"/>
              </w:rPr>
            </w:pPr>
            <w:r>
              <w:rPr>
                <w:rFonts w:ascii="Arial" w:cs="Arial" w:eastAsia="Arial" w:hAnsi="Arial"/>
                <w:sz w:val="13"/>
                <w:szCs w:val="13"/>
                <w:color w:val="auto"/>
              </w:rPr>
              <w:t>30</w:t>
            </w:r>
          </w:p>
        </w:tc>
      </w:tr>
      <w:tr>
        <w:trPr>
          <w:trHeight w:val="20"/>
        </w:trPr>
        <w:tc>
          <w:tcPr>
            <w:tcW w:w="4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Other TDRs include TDRs that have a below market interest rate and extended payment terms. The Company does not typically forgive principal when restructuring troubled debt.</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In the determining the ACL, management considers TDRs for all loan classes, and the subsequent nonperformance in accordance with their modified terms, by measuring a reserve on a loan-by-loan basis based on either the value of the loan’s expected future cash flows discounted at the loan’s original effective interest rate or on the collateral value, net of the estimated costs of disposal, if the loan is collateral dependent.</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Off-Balance Sheet Credit Exposure</w:t>
      </w:r>
    </w:p>
    <w:p>
      <w:pPr>
        <w:spacing w:after="0" w:line="31"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June 30, 2023, the ACL on off-balance sheet credit exposures included in other liabilities was $3,557.</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gridSpan w:val="3"/>
          </w:tcPr>
          <w:p>
            <w:pPr>
              <w:spacing w:after="0"/>
              <w:rPr>
                <w:sz w:val="20"/>
                <w:szCs w:val="20"/>
                <w:color w:val="auto"/>
              </w:rPr>
            </w:pPr>
            <w:r>
              <w:rPr>
                <w:rFonts w:ascii="Arial" w:cs="Arial" w:eastAsia="Arial" w:hAnsi="Arial"/>
                <w:sz w:val="13"/>
                <w:szCs w:val="13"/>
                <w:b w:val="1"/>
                <w:bCs w:val="1"/>
                <w:color w:val="auto"/>
              </w:rPr>
              <w:t>7. Premises and Equipment</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8"/>
        </w:trPr>
        <w:tc>
          <w:tcPr>
            <w:tcW w:w="7840" w:type="dxa"/>
            <w:vAlign w:val="bottom"/>
            <w:gridSpan w:val="3"/>
          </w:tcPr>
          <w:p>
            <w:pPr>
              <w:spacing w:after="0"/>
              <w:rPr>
                <w:sz w:val="20"/>
                <w:szCs w:val="20"/>
                <w:color w:val="auto"/>
              </w:rPr>
            </w:pPr>
            <w:r>
              <w:rPr>
                <w:rFonts w:ascii="Arial" w:cs="Arial" w:eastAsia="Arial" w:hAnsi="Arial"/>
                <w:sz w:val="13"/>
                <w:szCs w:val="13"/>
                <w:color w:val="auto"/>
              </w:rPr>
              <w:t>Premises and equipment as of the dates indicated consist of the following:</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3"/>
        </w:trPr>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5"/>
                <w:szCs w:val="15"/>
                <w:color w:val="auto"/>
              </w:rPr>
            </w:pPr>
          </w:p>
        </w:tc>
        <w:tc>
          <w:tcPr>
            <w:tcW w:w="1400" w:type="dxa"/>
            <w:vAlign w:val="bottom"/>
          </w:tcPr>
          <w:p>
            <w:pPr>
              <w:jc w:val="right"/>
              <w:ind w:right="396"/>
              <w:spacing w:after="0"/>
              <w:rPr>
                <w:sz w:val="20"/>
                <w:szCs w:val="20"/>
                <w:color w:val="auto"/>
              </w:rPr>
            </w:pPr>
            <w:r>
              <w:rPr>
                <w:rFonts w:ascii="Arial" w:cs="Arial" w:eastAsia="Arial" w:hAnsi="Arial"/>
                <w:sz w:val="13"/>
                <w:szCs w:val="13"/>
                <w:b w:val="1"/>
                <w:bCs w:val="1"/>
                <w:color w:val="auto"/>
              </w:rPr>
              <w:t>June 30, 2022</w:t>
            </w:r>
          </w:p>
        </w:tc>
      </w:tr>
      <w:tr>
        <w:trPr>
          <w:trHeight w:val="163"/>
        </w:trPr>
        <w:tc>
          <w:tcPr>
            <w:tcW w:w="78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26,496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24,332</w:t>
            </w:r>
          </w:p>
        </w:tc>
      </w:tr>
      <w:tr>
        <w:trPr>
          <w:trHeight w:val="168"/>
        </w:trPr>
        <w:tc>
          <w:tcPr>
            <w:tcW w:w="7840" w:type="dxa"/>
            <w:vAlign w:val="bottom"/>
            <w:gridSpan w:val="3"/>
          </w:tcPr>
          <w:p>
            <w:pPr>
              <w:ind w:left="20"/>
              <w:spacing w:after="0"/>
              <w:rPr>
                <w:sz w:val="20"/>
                <w:szCs w:val="20"/>
                <w:color w:val="auto"/>
              </w:rPr>
            </w:pPr>
            <w:r>
              <w:rPr>
                <w:rFonts w:ascii="Arial" w:cs="Arial" w:eastAsia="Arial" w:hAnsi="Arial"/>
                <w:sz w:val="13"/>
                <w:szCs w:val="13"/>
                <w:color w:val="auto"/>
              </w:rPr>
              <w:t>Office buildings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75,357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68,385</w:t>
            </w:r>
          </w:p>
        </w:tc>
      </w:tr>
      <w:tr>
        <w:trPr>
          <w:trHeight w:val="172"/>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Furniture, fixtures and equipment</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19,899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16,550</w:t>
            </w:r>
          </w:p>
        </w:tc>
      </w:tr>
      <w:tr>
        <w:trPr>
          <w:trHeight w:val="158"/>
        </w:trPr>
        <w:tc>
          <w:tcPr>
            <w:tcW w:w="7840" w:type="dxa"/>
            <w:vAlign w:val="bottom"/>
            <w:gridSpan w:val="3"/>
          </w:tcPr>
          <w:p>
            <w:pPr>
              <w:ind w:left="80"/>
              <w:spacing w:after="0"/>
              <w:rPr>
                <w:sz w:val="20"/>
                <w:szCs w:val="20"/>
                <w:color w:val="auto"/>
              </w:rPr>
            </w:pPr>
            <w:r>
              <w:rPr>
                <w:rFonts w:ascii="Arial" w:cs="Arial" w:eastAsia="Arial" w:hAnsi="Arial"/>
                <w:sz w:val="13"/>
                <w:szCs w:val="13"/>
                <w:color w:val="auto"/>
              </w:rPr>
              <w:t>Total</w:t>
            </w: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121,752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109,267</w:t>
            </w:r>
          </w:p>
        </w:tc>
      </w:tr>
      <w:tr>
        <w:trPr>
          <w:trHeight w:val="17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Less: accumulated depreciation</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(48,581)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(40,173)</w:t>
            </w:r>
          </w:p>
        </w:tc>
      </w:tr>
      <w:tr>
        <w:trPr>
          <w:trHeight w:val="163"/>
        </w:trPr>
        <w:tc>
          <w:tcPr>
            <w:tcW w:w="7840" w:type="dxa"/>
            <w:vAlign w:val="bottom"/>
            <w:gridSpan w:val="3"/>
          </w:tcPr>
          <w:p>
            <w:pPr>
              <w:ind w:left="80"/>
              <w:spacing w:after="0"/>
              <w:rPr>
                <w:sz w:val="20"/>
                <w:szCs w:val="20"/>
                <w:color w:val="auto"/>
              </w:rPr>
            </w:pPr>
            <w:r>
              <w:rPr>
                <w:rFonts w:ascii="Arial" w:cs="Arial" w:eastAsia="Arial" w:hAnsi="Arial"/>
                <w:sz w:val="13"/>
                <w:szCs w:val="13"/>
                <w:b w:val="1"/>
                <w:bCs w:val="1"/>
                <w:color w:val="auto"/>
              </w:rPr>
              <w:t>Premises and equipment, net</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73,171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69,094</w:t>
            </w:r>
          </w:p>
        </w:tc>
      </w:tr>
      <w:tr>
        <w:trPr>
          <w:trHeight w:val="20"/>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associated with premises and equipment was $4,152, $3,986, and $3,634 for the years ended June 30, 2023, 2022, and 2021, respectively.</w:t>
      </w:r>
    </w:p>
    <w:p>
      <w:pPr>
        <w:spacing w:after="0" w:line="112" w:lineRule="exact"/>
        <w:rPr>
          <w:sz w:val="20"/>
          <w:szCs w:val="20"/>
          <w:color w:val="auto"/>
        </w:rPr>
      </w:pPr>
    </w:p>
    <w:p>
      <w:pPr>
        <w:ind w:left="140" w:hanging="135"/>
        <w:spacing w:after="0"/>
        <w:tabs>
          <w:tab w:leader="none" w:pos="14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Goodwill and Core Deposit Intangibles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carrying amount of the Company's goodwill was $34,111 and $25,638 as of June 30, 2023 and 2022. The increase between periods was a result of the $8,473 in goodwill associated with the Company's merger with Quantum, computed as shown in "Note 3 – Merger with Quantum". The Company also recorded $12,210 of core deposit intangibles associated with the merger with Quantum, to be amortized over the next 10 years on an accelerated basis. Amortization expense related to core deposit intangibles was $1,525, $250, and $735 for the years ended June 30, 2023, 2022, and 2021, respectively. As of June 30, 2023, the estimated amortization expense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r>
      <w:tr>
        <w:trPr>
          <w:trHeight w:val="168"/>
        </w:trPr>
        <w:tc>
          <w:tcPr>
            <w:tcW w:w="9960" w:type="dxa"/>
            <w:vAlign w:val="bottom"/>
          </w:tcPr>
          <w:p>
            <w:pPr>
              <w:ind w:left="20"/>
              <w:spacing w:after="0"/>
              <w:rPr>
                <w:sz w:val="20"/>
                <w:szCs w:val="20"/>
                <w:color w:val="auto"/>
              </w:rPr>
            </w:pPr>
            <w:r>
              <w:rPr>
                <w:rFonts w:ascii="Arial" w:cs="Arial" w:eastAsia="Arial" w:hAnsi="Arial"/>
                <w:sz w:val="13"/>
                <w:szCs w:val="13"/>
                <w:color w:val="auto"/>
              </w:rPr>
              <w:t>2025</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2,060</w:t>
            </w:r>
          </w:p>
        </w:tc>
      </w:tr>
      <w:tr>
        <w:trPr>
          <w:trHeight w:val="172"/>
        </w:trPr>
        <w:tc>
          <w:tcPr>
            <w:tcW w:w="9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w:t>
            </w:r>
          </w:p>
        </w:tc>
      </w:tr>
      <w:tr>
        <w:trPr>
          <w:trHeight w:val="168"/>
        </w:trPr>
        <w:tc>
          <w:tcPr>
            <w:tcW w:w="9960" w:type="dxa"/>
            <w:vAlign w:val="bottom"/>
          </w:tcPr>
          <w:p>
            <w:pPr>
              <w:ind w:left="20"/>
              <w:spacing w:after="0"/>
              <w:rPr>
                <w:sz w:val="20"/>
                <w:szCs w:val="20"/>
                <w:color w:val="auto"/>
              </w:rPr>
            </w:pPr>
            <w:r>
              <w:rPr>
                <w:rFonts w:ascii="Arial" w:cs="Arial" w:eastAsia="Arial" w:hAnsi="Arial"/>
                <w:sz w:val="13"/>
                <w:szCs w:val="13"/>
                <w:color w:val="auto"/>
              </w:rPr>
              <w:t>2027</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1,104</w:t>
            </w:r>
          </w:p>
        </w:tc>
      </w:tr>
      <w:tr>
        <w:trPr>
          <w:trHeight w:val="172"/>
        </w:trPr>
        <w:tc>
          <w:tcPr>
            <w:tcW w:w="9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w:t>
            </w:r>
          </w:p>
        </w:tc>
      </w:tr>
      <w:tr>
        <w:trPr>
          <w:trHeight w:val="168"/>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2,246</w:t>
            </w:r>
          </w:p>
        </w:tc>
      </w:tr>
      <w:tr>
        <w:trPr>
          <w:trHeight w:val="188"/>
        </w:trPr>
        <w:tc>
          <w:tcPr>
            <w:tcW w:w="9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10,778</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60" w:type="dxa"/>
            <w:vAlign w:val="bottom"/>
            <w:gridSpan w:val="3"/>
          </w:tcPr>
          <w:p>
            <w:pPr>
              <w:spacing w:after="0"/>
              <w:rPr>
                <w:sz w:val="20"/>
                <w:szCs w:val="20"/>
                <w:color w:val="auto"/>
              </w:rPr>
            </w:pPr>
            <w:r>
              <w:rPr>
                <w:rFonts w:ascii="Arial" w:cs="Arial" w:eastAsia="Arial" w:hAnsi="Arial"/>
                <w:sz w:val="13"/>
                <w:szCs w:val="13"/>
                <w:b w:val="1"/>
                <w:bCs w:val="1"/>
                <w:color w:val="auto"/>
              </w:rPr>
              <w:t>9. Deposits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8"/>
        </w:trPr>
        <w:tc>
          <w:tcPr>
            <w:tcW w:w="8560" w:type="dxa"/>
            <w:vAlign w:val="bottom"/>
            <w:gridSpan w:val="3"/>
          </w:tcPr>
          <w:p>
            <w:pPr>
              <w:spacing w:after="0"/>
              <w:rPr>
                <w:sz w:val="20"/>
                <w:szCs w:val="20"/>
                <w:color w:val="auto"/>
              </w:rPr>
            </w:pPr>
            <w:r>
              <w:rPr>
                <w:rFonts w:ascii="Arial" w:cs="Arial" w:eastAsia="Arial" w:hAnsi="Arial"/>
                <w:sz w:val="13"/>
                <w:szCs w:val="13"/>
                <w:color w:val="auto"/>
              </w:rPr>
              <w:t>Deposit accounts at the dates indicated consist of the following:</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3"/>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2023</w:t>
            </w:r>
          </w:p>
        </w:tc>
        <w:tc>
          <w:tcPr>
            <w:tcW w:w="20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Arial" w:cs="Arial" w:eastAsia="Arial" w:hAnsi="Arial"/>
                <w:sz w:val="13"/>
                <w:szCs w:val="13"/>
                <w:b w:val="1"/>
                <w:bCs w:val="1"/>
                <w:color w:val="auto"/>
                <w:w w:val="96"/>
              </w:rPr>
              <w:t>June 30, 2022</w:t>
            </w:r>
          </w:p>
        </w:tc>
      </w:tr>
      <w:tr>
        <w:trPr>
          <w:trHeight w:val="163"/>
        </w:trPr>
        <w:tc>
          <w:tcPr>
            <w:tcW w:w="85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Noninterest-bearing accounts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825,481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745,746</w:t>
            </w:r>
          </w:p>
        </w:tc>
      </w:tr>
      <w:tr>
        <w:trPr>
          <w:trHeight w:val="168"/>
        </w:trPr>
        <w:tc>
          <w:tcPr>
            <w:tcW w:w="8560" w:type="dxa"/>
            <w:vAlign w:val="bottom"/>
            <w:gridSpan w:val="3"/>
          </w:tcPr>
          <w:p>
            <w:pPr>
              <w:ind w:left="20"/>
              <w:spacing w:after="0"/>
              <w:rPr>
                <w:sz w:val="20"/>
                <w:szCs w:val="20"/>
                <w:color w:val="auto"/>
              </w:rPr>
            </w:pPr>
            <w:r>
              <w:rPr>
                <w:rFonts w:ascii="Arial" w:cs="Arial" w:eastAsia="Arial" w:hAnsi="Arial"/>
                <w:sz w:val="13"/>
                <w:szCs w:val="13"/>
                <w:color w:val="auto"/>
              </w:rPr>
              <w:t>NOW accounts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611,105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654,981</w:t>
            </w:r>
          </w:p>
        </w:tc>
      </w:tr>
      <w:tr>
        <w:trPr>
          <w:trHeight w:val="172"/>
        </w:trPr>
        <w:tc>
          <w:tcPr>
            <w:tcW w:w="85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Money market accounts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969,661</w:t>
            </w:r>
          </w:p>
        </w:tc>
      </w:tr>
      <w:tr>
        <w:trPr>
          <w:trHeight w:val="168"/>
        </w:trPr>
        <w:tc>
          <w:tcPr>
            <w:tcW w:w="8560" w:type="dxa"/>
            <w:vAlign w:val="bottom"/>
            <w:gridSpan w:val="3"/>
          </w:tcPr>
          <w:p>
            <w:pPr>
              <w:ind w:left="20"/>
              <w:spacing w:after="0"/>
              <w:rPr>
                <w:sz w:val="20"/>
                <w:szCs w:val="20"/>
                <w:color w:val="auto"/>
              </w:rPr>
            </w:pPr>
            <w:r>
              <w:rPr>
                <w:rFonts w:ascii="Arial" w:cs="Arial" w:eastAsia="Arial" w:hAnsi="Arial"/>
                <w:sz w:val="13"/>
                <w:szCs w:val="13"/>
                <w:color w:val="auto"/>
              </w:rPr>
              <w:t>Savings accounts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212,220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238,197</w:t>
            </w:r>
          </w:p>
        </w:tc>
      </w:tr>
      <w:tr>
        <w:trPr>
          <w:trHeight w:val="170"/>
        </w:trPr>
        <w:tc>
          <w:tcPr>
            <w:tcW w:w="85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Certificates of deposit</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710,522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491,176</w:t>
            </w:r>
          </w:p>
        </w:tc>
      </w:tr>
      <w:tr>
        <w:trPr>
          <w:trHeight w:val="163"/>
        </w:trPr>
        <w:tc>
          <w:tcPr>
            <w:tcW w:w="856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3,601,168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3,099,761</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a result of the Company's merger with Quantum on February 12, 2023, $570,602 in deposits were assumed, net of purchase accounting adjustments. Deposits received from executive officers, directors and their associates totaled approximately $5,130 and $1,012 at June 30, 2023 and 2022,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20"/>
                <w:szCs w:val="20"/>
                <w:color w:val="auto"/>
              </w:rPr>
            </w:pPr>
            <w:r>
              <w:rPr>
                <w:rFonts w:ascii="Arial" w:cs="Arial" w:eastAsia="Arial" w:hAnsi="Arial"/>
                <w:sz w:val="13"/>
                <w:szCs w:val="13"/>
                <w:color w:val="auto"/>
              </w:rPr>
              <w:t>As of June 30, 2023, scheduled maturities of certificates of deposit are as follows: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7"/>
        </w:trPr>
        <w:tc>
          <w:tcPr>
            <w:tcW w:w="9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70"/>
        </w:trPr>
        <w:tc>
          <w:tcPr>
            <w:tcW w:w="9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642,841</w:t>
            </w:r>
          </w:p>
        </w:tc>
      </w:tr>
      <w:tr>
        <w:trPr>
          <w:trHeight w:val="168"/>
        </w:trPr>
        <w:tc>
          <w:tcPr>
            <w:tcW w:w="9960" w:type="dxa"/>
            <w:vAlign w:val="bottom"/>
          </w:tcPr>
          <w:p>
            <w:pPr>
              <w:ind w:left="2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51,466</w:t>
            </w:r>
          </w:p>
        </w:tc>
      </w:tr>
      <w:tr>
        <w:trPr>
          <w:trHeight w:val="172"/>
        </w:trPr>
        <w:tc>
          <w:tcPr>
            <w:tcW w:w="9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7,702</w:t>
            </w:r>
          </w:p>
        </w:tc>
      </w:tr>
      <w:tr>
        <w:trPr>
          <w:trHeight w:val="168"/>
        </w:trPr>
        <w:tc>
          <w:tcPr>
            <w:tcW w:w="9960" w:type="dxa"/>
            <w:vAlign w:val="bottom"/>
          </w:tcPr>
          <w:p>
            <w:pPr>
              <w:ind w:left="20"/>
              <w:spacing w:after="0"/>
              <w:rPr>
                <w:sz w:val="20"/>
                <w:szCs w:val="20"/>
                <w:color w:val="auto"/>
              </w:rPr>
            </w:pPr>
            <w:r>
              <w:rPr>
                <w:rFonts w:ascii="Arial" w:cs="Arial" w:eastAsia="Arial" w:hAnsi="Arial"/>
                <w:sz w:val="13"/>
                <w:szCs w:val="13"/>
                <w:color w:val="auto"/>
              </w:rPr>
              <w:t>2027</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4,827</w:t>
            </w:r>
          </w:p>
        </w:tc>
      </w:tr>
      <w:tr>
        <w:trPr>
          <w:trHeight w:val="172"/>
        </w:trPr>
        <w:tc>
          <w:tcPr>
            <w:tcW w:w="9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3,686</w:t>
            </w:r>
          </w:p>
        </w:tc>
      </w:tr>
      <w:tr>
        <w:trPr>
          <w:trHeight w:val="168"/>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9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710,522</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Certificates of deposit with balances of $250 or greater totaled $120,666 and $156,558 at June 30, 2023 and 2022, respectively. Generally, deposit amounts in excess of $250 are not federally insured.</w:t>
      </w:r>
    </w:p>
    <w:p>
      <w:pPr>
        <w:spacing w:after="0" w:line="123" w:lineRule="exact"/>
        <w:rPr>
          <w:sz w:val="20"/>
          <w:szCs w:val="20"/>
          <w:color w:val="auto"/>
        </w:rPr>
      </w:pPr>
    </w:p>
    <w:p>
      <w:pPr>
        <w:ind w:left="200" w:hanging="195"/>
        <w:spacing w:after="0"/>
        <w:tabs>
          <w:tab w:leader="none" w:pos="2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Borrowings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Junior Subordinated Debentures</w:t>
      </w:r>
    </w:p>
    <w:p>
      <w:pPr>
        <w:spacing w:after="0" w:line="41"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spacing w:after="0" w:line="1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 trust preferred securities accrue and pay quarterly distributions at a floating rate of 3-month LIBOR plus 194 basis points, which was 7.49% at June 30, 2023. Due to the cessation of the publication of 3-month LIBOR as of June 30, 2023, beginning July 1, 2023, the trust preferred securities will accrue and pay quarterly distributions at a floating rate of 3-month Term SOFR plus 2.20%, which was 7.47% at June 30, 2023.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trust preferred securities are mandatorily redeemable upon maturity of the debentures on March 15, 2037, or upon earlier redemption as provided in the indenture. The Company has the right to redeem the debentures purchased by the Trust, in whole or in part, on or after March 15, 2012. As specified in the indenture, if the debentures are redeemed prior to maturity, the redemption price will be the principal amount and any accrued but unpaid interest.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Borrowings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Borrowings, other than junior subordinated debt, consist of the following at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June 30, 2023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w w:val="92"/>
              </w:rPr>
              <w:t>June 30, 2022</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20" w:type="dxa"/>
            <w:vAlign w:val="bottom"/>
          </w:tcPr>
          <w:p>
            <w:pPr>
              <w:spacing w:after="0"/>
              <w:rPr>
                <w:sz w:val="10"/>
                <w:szCs w:val="10"/>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Balance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396"/>
              <w:spacing w:after="0" w:line="120" w:lineRule="exact"/>
              <w:rPr>
                <w:sz w:val="20"/>
                <w:szCs w:val="20"/>
                <w:color w:val="auto"/>
              </w:rPr>
            </w:pPr>
            <w:r>
              <w:rPr>
                <w:rFonts w:ascii="Arial" w:cs="Arial" w:eastAsia="Arial" w:hAnsi="Arial"/>
                <w:sz w:val="13"/>
                <w:szCs w:val="13"/>
                <w:b w:val="1"/>
                <w:bCs w:val="1"/>
                <w:color w:val="auto"/>
                <w:w w:val="88"/>
              </w:rPr>
              <w:t>Weighted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Balance</w:t>
            </w:r>
          </w:p>
        </w:tc>
        <w:tc>
          <w:tcPr>
            <w:tcW w:w="100" w:type="dxa"/>
            <w:vAlign w:val="bottom"/>
            <w:vMerge w:val="restart"/>
          </w:tcPr>
          <w:p>
            <w:pPr>
              <w:spacing w:after="0"/>
              <w:rPr>
                <w:sz w:val="10"/>
                <w:szCs w:val="10"/>
                <w:color w:val="auto"/>
              </w:rPr>
            </w:pPr>
          </w:p>
        </w:tc>
        <w:tc>
          <w:tcPr>
            <w:tcW w:w="480" w:type="dxa"/>
            <w:vAlign w:val="bottom"/>
            <w:vMerge w:val="restart"/>
          </w:tcPr>
          <w:p>
            <w:pPr>
              <w:spacing w:after="0"/>
              <w:rPr>
                <w:sz w:val="10"/>
                <w:szCs w:val="10"/>
                <w:color w:val="auto"/>
              </w:rPr>
            </w:pPr>
          </w:p>
        </w:tc>
        <w:tc>
          <w:tcPr>
            <w:tcW w:w="1320" w:type="dxa"/>
            <w:vAlign w:val="bottom"/>
          </w:tcPr>
          <w:p>
            <w:pPr>
              <w:ind w:left="160"/>
              <w:spacing w:after="0" w:line="120"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ind w:left="396"/>
              <w:spacing w:after="0"/>
              <w:rPr>
                <w:sz w:val="20"/>
                <w:szCs w:val="20"/>
                <w:color w:val="auto"/>
              </w:rPr>
            </w:pPr>
            <w:r>
              <w:rPr>
                <w:rFonts w:ascii="Arial" w:cs="Arial" w:eastAsia="Arial" w:hAnsi="Arial"/>
                <w:sz w:val="13"/>
                <w:szCs w:val="13"/>
                <w:b w:val="1"/>
                <w:bCs w:val="1"/>
                <w:color w:val="auto"/>
                <w:w w:val="86"/>
              </w:rPr>
              <w:t>Average Rate</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Average Rate</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FHLB advances (short-term)</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180,000</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3"/>
                <w:szCs w:val="13"/>
                <w:color w:val="auto"/>
                <w:w w:val="88"/>
              </w:rPr>
              <w:t>5.19 %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860" w:type="dxa"/>
            <w:vAlign w:val="bottom"/>
            <w:gridSpan w:val="3"/>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Arial" w:cs="Arial" w:eastAsia="Arial" w:hAnsi="Arial"/>
                <w:sz w:val="13"/>
                <w:szCs w:val="13"/>
                <w:color w:val="auto"/>
              </w:rPr>
              <w:t>FRB advances (short-term)</w:t>
            </w:r>
          </w:p>
        </w:tc>
        <w:tc>
          <w:tcPr>
            <w:tcW w:w="1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257,000</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1320" w:type="dxa"/>
            <w:vAlign w:val="bottom"/>
          </w:tcPr>
          <w:p>
            <w:pPr>
              <w:ind w:left="10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Revolving lines of credit</w:t>
            </w:r>
          </w:p>
        </w:tc>
        <w:tc>
          <w:tcPr>
            <w:tcW w:w="1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20,263</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020" w:type="dxa"/>
            <w:vAlign w:val="bottom"/>
          </w:tcPr>
          <w:p>
            <w:pPr>
              <w:ind w:left="80"/>
              <w:spacing w:after="0"/>
              <w:rPr>
                <w:sz w:val="20"/>
                <w:szCs w:val="20"/>
                <w:color w:val="auto"/>
              </w:rPr>
            </w:pPr>
            <w:r>
              <w:rPr>
                <w:rFonts w:ascii="Arial" w:cs="Arial" w:eastAsia="Arial" w:hAnsi="Arial"/>
                <w:sz w:val="13"/>
                <w:szCs w:val="13"/>
                <w:b w:val="1"/>
                <w:bCs w:val="1"/>
                <w:color w:val="auto"/>
              </w:rPr>
              <w:t>Total other borrowings</w:t>
            </w:r>
          </w:p>
        </w:tc>
        <w:tc>
          <w:tcPr>
            <w:tcW w:w="1100" w:type="dxa"/>
            <w:vAlign w:val="bottom"/>
          </w:tcPr>
          <w:p>
            <w:pPr>
              <w:jc w:val="right"/>
              <w:ind w:right="9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457,263</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w w:val="88"/>
              </w:rPr>
              <w:t>5.38 %</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86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1320" w:type="dxa"/>
            <w:vAlign w:val="bottom"/>
          </w:tcPr>
          <w:p>
            <w:pPr>
              <w:ind w:left="104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All qualifying one-to-four family loans, HELOCs, commercial real estate loans, and FHLB of Atlanta stock are pledged as collateral to secure outstanding FHLB advances while commercial construction, indirect auto, and municipal leases are pledged as collateral to secure outstanding FRB advances. At June 30, 2023 and 2022, the Company had the ability to borrow $22,673 and $277,561, respectively, through FHLB advances and $91,316 and $68,230, respectively, through the unused portion of a line of credit with the FRB. During the year ended June 30, 2021, the Company paid $22,690 in prepayment penalties on FHLB advances. No such penalties were incurred during the years ended June 30, 2023 and 2022.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At June 30, 2023 and 2022, the Company maintained revolving lines of credit with three unaffiliated banks, the unused portion of which totaled $144,737 and $120,000, respectively. At June 30, 2023, HomeTrust had drawn $20,263 on a $40,000 revolving line of credit which bears interest at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prime rate plus 50 basis points, maturing on January 30, 2024, although the term may be extended for an additional year two times if no events of default have occurred.</w:t>
      </w:r>
    </w:p>
    <w:p>
      <w:pPr>
        <w:spacing w:after="0" w:line="48" w:lineRule="exact"/>
        <w:rPr>
          <w:sz w:val="20"/>
          <w:szCs w:val="20"/>
          <w:color w:val="auto"/>
        </w:rPr>
      </w:pPr>
    </w:p>
    <w:p>
      <w:pPr>
        <w:ind w:left="180" w:hanging="175"/>
        <w:spacing w:after="0"/>
        <w:tabs>
          <w:tab w:leader="none" w:pos="180"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Leases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Lessee - Operating Leases</w:t>
      </w:r>
    </w:p>
    <w:p>
      <w:pPr>
        <w:spacing w:after="0" w:line="31"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Sheets. The Company recognizes lease expenses for these leases over the lease term.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5"/>
          </w:tcPr>
          <w:p>
            <w:pPr>
              <w:spacing w:after="0"/>
              <w:rPr>
                <w:sz w:val="20"/>
                <w:szCs w:val="20"/>
                <w:color w:val="auto"/>
              </w:rPr>
            </w:pPr>
            <w:r>
              <w:rPr>
                <w:rFonts w:ascii="Arial" w:cs="Arial" w:eastAsia="Arial" w:hAnsi="Arial"/>
                <w:sz w:val="13"/>
                <w:szCs w:val="13"/>
                <w:color w:val="auto"/>
                <w:w w:val="90"/>
              </w:rPr>
              <w:t>The following tables present supplemental balance sheet information related to operating leases. ROU assets are included in other assets and lease liabilities are included in other liabilities.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3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w w:val="99"/>
              </w:rPr>
              <w:t>June 30, 2023</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94"/>
              </w:rPr>
              <w:t>June 30, 2022</w:t>
            </w:r>
          </w:p>
        </w:tc>
        <w:tc>
          <w:tcPr>
            <w:tcW w:w="0" w:type="dxa"/>
            <w:vAlign w:val="bottom"/>
          </w:tcPr>
          <w:p>
            <w:pPr>
              <w:spacing w:after="0"/>
              <w:rPr>
                <w:sz w:val="1"/>
                <w:szCs w:val="1"/>
                <w:color w:val="auto"/>
              </w:rPr>
            </w:pPr>
          </w:p>
        </w:tc>
      </w:tr>
      <w:tr>
        <w:trPr>
          <w:trHeight w:val="174"/>
        </w:trPr>
        <w:tc>
          <w:tcPr>
            <w:tcW w:w="83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Supplemental balance sheet information</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340" w:type="dxa"/>
            <w:vAlign w:val="bottom"/>
          </w:tcPr>
          <w:p>
            <w:pPr>
              <w:ind w:left="80"/>
              <w:spacing w:after="0"/>
              <w:rPr>
                <w:sz w:val="20"/>
                <w:szCs w:val="20"/>
                <w:color w:val="auto"/>
              </w:rPr>
            </w:pPr>
            <w:r>
              <w:rPr>
                <w:rFonts w:ascii="Arial" w:cs="Arial" w:eastAsia="Arial" w:hAnsi="Arial"/>
                <w:sz w:val="13"/>
                <w:szCs w:val="13"/>
                <w:color w:val="auto"/>
              </w:rPr>
              <w:t>ROU assets</w:t>
            </w: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6"/>
              <w:spacing w:after="0"/>
              <w:rPr>
                <w:sz w:val="20"/>
                <w:szCs w:val="20"/>
                <w:color w:val="auto"/>
              </w:rPr>
            </w:pPr>
            <w:r>
              <w:rPr>
                <w:rFonts w:ascii="Arial" w:cs="Arial" w:eastAsia="Arial" w:hAnsi="Arial"/>
                <w:sz w:val="13"/>
                <w:szCs w:val="13"/>
                <w:color w:val="auto"/>
              </w:rPr>
              <w:t>9,674</w:t>
            </w:r>
          </w:p>
        </w:tc>
        <w:tc>
          <w:tcPr>
            <w:tcW w:w="40" w:type="dxa"/>
            <w:vAlign w:val="bottom"/>
          </w:tcPr>
          <w:p>
            <w:pPr>
              <w:spacing w:after="0"/>
              <w:rPr>
                <w:sz w:val="14"/>
                <w:szCs w:val="1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5,846</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Lease liabilities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10,790</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6,641</w:t>
            </w:r>
          </w:p>
        </w:tc>
        <w:tc>
          <w:tcPr>
            <w:tcW w:w="0" w:type="dxa"/>
            <w:vAlign w:val="bottom"/>
          </w:tcPr>
          <w:p>
            <w:pPr>
              <w:spacing w:after="0"/>
              <w:rPr>
                <w:sz w:val="1"/>
                <w:szCs w:val="1"/>
                <w:color w:val="auto"/>
              </w:rPr>
            </w:pPr>
          </w:p>
        </w:tc>
      </w:tr>
      <w:tr>
        <w:trPr>
          <w:trHeight w:val="168"/>
        </w:trPr>
        <w:tc>
          <w:tcPr>
            <w:tcW w:w="8340" w:type="dxa"/>
            <w:vAlign w:val="bottom"/>
          </w:tcPr>
          <w:p>
            <w:pPr>
              <w:ind w:left="80"/>
              <w:spacing w:after="0"/>
              <w:rPr>
                <w:sz w:val="20"/>
                <w:szCs w:val="20"/>
                <w:color w:val="auto"/>
              </w:rPr>
            </w:pPr>
            <w:r>
              <w:rPr>
                <w:rFonts w:ascii="Arial" w:cs="Arial" w:eastAsia="Arial" w:hAnsi="Arial"/>
                <w:sz w:val="13"/>
                <w:szCs w:val="13"/>
                <w:color w:val="auto"/>
              </w:rPr>
              <w:t>Weighted-average remaining lease terms (years)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696"/>
              <w:spacing w:after="0"/>
              <w:rPr>
                <w:sz w:val="20"/>
                <w:szCs w:val="20"/>
                <w:color w:val="auto"/>
              </w:rPr>
            </w:pPr>
            <w:r>
              <w:rPr>
                <w:rFonts w:ascii="Arial" w:cs="Arial" w:eastAsia="Arial" w:hAnsi="Arial"/>
                <w:sz w:val="13"/>
                <w:szCs w:val="13"/>
                <w:color w:val="auto"/>
              </w:rPr>
              <w:t>9.2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736"/>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Weighted-average discount rate</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3.32 %</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2.90 %</w:t>
            </w:r>
          </w:p>
        </w:tc>
        <w:tc>
          <w:tcPr>
            <w:tcW w:w="0" w:type="dxa"/>
            <w:vAlign w:val="bottom"/>
          </w:tcPr>
          <w:p>
            <w:pPr>
              <w:spacing w:after="0"/>
              <w:rPr>
                <w:sz w:val="1"/>
                <w:szCs w:val="1"/>
                <w:color w:val="auto"/>
              </w:rPr>
            </w:pPr>
          </w:p>
        </w:tc>
      </w:tr>
      <w:tr>
        <w:trPr>
          <w:trHeight w:val="293"/>
        </w:trPr>
        <w:tc>
          <w:tcPr>
            <w:tcW w:w="834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lease payments under these operating leases at June 30, 2023: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40" w:type="dxa"/>
            <w:vAlign w:val="bottom"/>
          </w:tcPr>
          <w:p>
            <w:pPr>
              <w:ind w:left="80"/>
              <w:spacing w:after="0"/>
              <w:rPr>
                <w:sz w:val="20"/>
                <w:szCs w:val="20"/>
                <w:color w:val="auto"/>
              </w:rPr>
            </w:pPr>
            <w:r>
              <w:rPr>
                <w:rFonts w:ascii="Arial" w:cs="Arial" w:eastAsia="Arial" w:hAnsi="Arial"/>
                <w:sz w:val="13"/>
                <w:szCs w:val="13"/>
                <w:color w:val="auto"/>
              </w:rPr>
              <w:t>2024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1,720</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2025</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168"/>
        </w:trPr>
        <w:tc>
          <w:tcPr>
            <w:tcW w:w="8340" w:type="dxa"/>
            <w:vAlign w:val="bottom"/>
          </w:tcPr>
          <w:p>
            <w:pPr>
              <w:ind w:left="80"/>
              <w:spacing w:after="0"/>
              <w:rPr>
                <w:sz w:val="20"/>
                <w:szCs w:val="20"/>
                <w:color w:val="auto"/>
              </w:rPr>
            </w:pPr>
            <w:r>
              <w:rPr>
                <w:rFonts w:ascii="Arial" w:cs="Arial" w:eastAsia="Arial" w:hAnsi="Arial"/>
                <w:sz w:val="13"/>
                <w:szCs w:val="13"/>
                <w:color w:val="auto"/>
              </w:rPr>
              <w:t>2026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1,538</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2027</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w:t>
            </w:r>
          </w:p>
        </w:tc>
        <w:tc>
          <w:tcPr>
            <w:tcW w:w="0" w:type="dxa"/>
            <w:vAlign w:val="bottom"/>
          </w:tcPr>
          <w:p>
            <w:pPr>
              <w:spacing w:after="0"/>
              <w:rPr>
                <w:sz w:val="1"/>
                <w:szCs w:val="1"/>
                <w:color w:val="auto"/>
              </w:rPr>
            </w:pPr>
          </w:p>
        </w:tc>
      </w:tr>
      <w:tr>
        <w:trPr>
          <w:trHeight w:val="168"/>
        </w:trPr>
        <w:tc>
          <w:tcPr>
            <w:tcW w:w="8340" w:type="dxa"/>
            <w:vAlign w:val="bottom"/>
          </w:tcPr>
          <w:p>
            <w:pPr>
              <w:ind w:left="80"/>
              <w:spacing w:after="0"/>
              <w:rPr>
                <w:sz w:val="20"/>
                <w:szCs w:val="20"/>
                <w:color w:val="auto"/>
              </w:rPr>
            </w:pPr>
            <w:r>
              <w:rPr>
                <w:rFonts w:ascii="Arial" w:cs="Arial" w:eastAsia="Arial" w:hAnsi="Arial"/>
                <w:sz w:val="13"/>
                <w:szCs w:val="13"/>
                <w:color w:val="auto"/>
              </w:rPr>
              <w:t>2028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1,590</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Thereafter</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4,662</w:t>
            </w:r>
          </w:p>
        </w:tc>
        <w:tc>
          <w:tcPr>
            <w:tcW w:w="0" w:type="dxa"/>
            <w:vAlign w:val="bottom"/>
          </w:tcPr>
          <w:p>
            <w:pPr>
              <w:spacing w:after="0"/>
              <w:rPr>
                <w:sz w:val="1"/>
                <w:szCs w:val="1"/>
                <w:color w:val="auto"/>
              </w:rPr>
            </w:pPr>
          </w:p>
        </w:tc>
      </w:tr>
      <w:tr>
        <w:trPr>
          <w:trHeight w:val="158"/>
        </w:trPr>
        <w:tc>
          <w:tcPr>
            <w:tcW w:w="8340" w:type="dxa"/>
            <w:vAlign w:val="bottom"/>
          </w:tcPr>
          <w:p>
            <w:pPr>
              <w:ind w:left="140"/>
              <w:spacing w:after="0"/>
              <w:rPr>
                <w:sz w:val="20"/>
                <w:szCs w:val="20"/>
                <w:color w:val="auto"/>
              </w:rPr>
            </w:pPr>
            <w:r>
              <w:rPr>
                <w:rFonts w:ascii="Arial" w:cs="Arial" w:eastAsia="Arial" w:hAnsi="Arial"/>
                <w:sz w:val="13"/>
                <w:szCs w:val="13"/>
                <w:color w:val="auto"/>
              </w:rPr>
              <w:t>Total undiscounted minimum lease payments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12,727</w:t>
            </w:r>
          </w:p>
        </w:tc>
        <w:tc>
          <w:tcPr>
            <w:tcW w:w="0" w:type="dxa"/>
            <w:vAlign w:val="bottom"/>
          </w:tcPr>
          <w:p>
            <w:pPr>
              <w:spacing w:after="0"/>
              <w:rPr>
                <w:sz w:val="1"/>
                <w:szCs w:val="1"/>
                <w:color w:val="auto"/>
              </w:rPr>
            </w:pPr>
          </w:p>
        </w:tc>
      </w:tr>
      <w:tr>
        <w:trPr>
          <w:trHeight w:val="170"/>
        </w:trPr>
        <w:tc>
          <w:tcPr>
            <w:tcW w:w="8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Less: amount representing interest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w:t>
            </w:r>
          </w:p>
        </w:tc>
        <w:tc>
          <w:tcPr>
            <w:tcW w:w="0" w:type="dxa"/>
            <w:vAlign w:val="bottom"/>
          </w:tcPr>
          <w:p>
            <w:pPr>
              <w:spacing w:after="0"/>
              <w:rPr>
                <w:sz w:val="1"/>
                <w:szCs w:val="1"/>
                <w:color w:val="auto"/>
              </w:rPr>
            </w:pPr>
          </w:p>
        </w:tc>
      </w:tr>
      <w:tr>
        <w:trPr>
          <w:trHeight w:val="163"/>
        </w:trPr>
        <w:tc>
          <w:tcPr>
            <w:tcW w:w="8340" w:type="dxa"/>
            <w:vAlign w:val="bottom"/>
          </w:tcPr>
          <w:p>
            <w:pPr>
              <w:ind w:left="140"/>
              <w:spacing w:after="0"/>
              <w:rPr>
                <w:sz w:val="20"/>
                <w:szCs w:val="20"/>
                <w:color w:val="auto"/>
              </w:rPr>
            </w:pPr>
            <w:r>
              <w:rPr>
                <w:rFonts w:ascii="Arial" w:cs="Arial" w:eastAsia="Arial" w:hAnsi="Arial"/>
                <w:sz w:val="13"/>
                <w:szCs w:val="13"/>
                <w:b w:val="1"/>
                <w:bCs w:val="1"/>
                <w:color w:val="auto"/>
              </w:rPr>
              <w:t>Total lease liability</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10,790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3"/>
                <w:szCs w:val="13"/>
                <w:color w:val="auto"/>
              </w:rPr>
              <w:t>The following table presents components of operating lease expense as of the dates indicated:</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3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836"/>
              <w:spacing w:after="0"/>
              <w:rPr>
                <w:sz w:val="20"/>
                <w:szCs w:val="20"/>
                <w:color w:val="auto"/>
              </w:rPr>
            </w:pPr>
            <w:r>
              <w:rPr>
                <w:rFonts w:ascii="Arial" w:cs="Arial" w:eastAsia="Arial" w:hAnsi="Arial"/>
                <w:sz w:val="13"/>
                <w:szCs w:val="13"/>
                <w:b w:val="1"/>
                <w:bCs w:val="1"/>
                <w:color w:val="auto"/>
              </w:rPr>
              <w:t>Year Ended June 30,</w:t>
            </w:r>
          </w:p>
        </w:tc>
        <w:tc>
          <w:tcPr>
            <w:tcW w:w="0" w:type="dxa"/>
            <w:vAlign w:val="bottom"/>
          </w:tcPr>
          <w:p>
            <w:pPr>
              <w:spacing w:after="0"/>
              <w:rPr>
                <w:sz w:val="1"/>
                <w:szCs w:val="1"/>
                <w:color w:val="auto"/>
              </w:rPr>
            </w:pPr>
          </w:p>
        </w:tc>
      </w:tr>
      <w:tr>
        <w:trPr>
          <w:trHeight w:val="160"/>
        </w:trPr>
        <w:tc>
          <w:tcPr>
            <w:tcW w:w="83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cost (included in occupancy expense, net)</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w:t>
            </w:r>
          </w:p>
        </w:tc>
        <w:tc>
          <w:tcPr>
            <w:tcW w:w="0" w:type="dxa"/>
            <w:vAlign w:val="bottom"/>
          </w:tcPr>
          <w:p>
            <w:pPr>
              <w:spacing w:after="0"/>
              <w:rPr>
                <w:sz w:val="1"/>
                <w:szCs w:val="1"/>
                <w:color w:val="auto"/>
              </w:rPr>
            </w:pP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Variable lease cost (included in occupancy expense, net)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Sublease income (included in other noninterest income)</w:t>
            </w: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63"/>
        </w:trPr>
        <w:tc>
          <w:tcPr>
            <w:tcW w:w="8340" w:type="dxa"/>
            <w:vAlign w:val="bottom"/>
          </w:tcPr>
          <w:p>
            <w:pPr>
              <w:ind w:left="80"/>
              <w:spacing w:after="0"/>
              <w:rPr>
                <w:sz w:val="20"/>
                <w:szCs w:val="20"/>
                <w:color w:val="auto"/>
              </w:rPr>
            </w:pPr>
            <w:r>
              <w:rPr>
                <w:rFonts w:ascii="Arial" w:cs="Arial" w:eastAsia="Arial" w:hAnsi="Arial"/>
                <w:sz w:val="13"/>
                <w:szCs w:val="13"/>
                <w:b w:val="1"/>
                <w:bCs w:val="1"/>
                <w:color w:val="auto"/>
              </w:rPr>
              <w:t>Total operating lease expense, net</w:t>
            </w:r>
          </w:p>
        </w:tc>
        <w:tc>
          <w:tcPr>
            <w:tcW w:w="26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1,574</w:t>
            </w:r>
          </w:p>
        </w:tc>
        <w:tc>
          <w:tcPr>
            <w:tcW w:w="40" w:type="dxa"/>
            <w:vAlign w:val="bottom"/>
          </w:tcPr>
          <w:p>
            <w:pPr>
              <w:spacing w:after="0"/>
              <w:rPr>
                <w:sz w:val="14"/>
                <w:szCs w:val="14"/>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1,379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Lessee - Finance Lease</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During the year ended June 30, 2023, the Company purchased the property associated with the finance lease reported historically. The Company purchased the property for $1,249, terminating the existing land lease. Prior to the purchase, for the years ended June 30, 2023 and 2022, interest expense on the lease liability totaled $60 and $93,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20"/>
                <w:szCs w:val="20"/>
                <w:color w:val="auto"/>
              </w:rPr>
            </w:pPr>
            <w:r>
              <w:rPr>
                <w:rFonts w:ascii="Arial" w:cs="Arial" w:eastAsia="Arial" w:hAnsi="Arial"/>
                <w:sz w:val="13"/>
                <w:szCs w:val="13"/>
                <w:color w:val="auto"/>
              </w:rPr>
              <w:t>Supplemental lease cash flow information as of the dates indicated: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3"/>
        </w:trPr>
        <w:tc>
          <w:tcPr>
            <w:tcW w:w="83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Year Ended June 30,</w:t>
            </w:r>
          </w:p>
        </w:tc>
        <w:tc>
          <w:tcPr>
            <w:tcW w:w="880" w:type="dxa"/>
            <w:vAlign w:val="bottom"/>
            <w:tcBorders>
              <w:bottom w:val="single" w:sz="8" w:color="auto"/>
            </w:tcBorders>
          </w:tcPr>
          <w:p>
            <w:pPr>
              <w:spacing w:after="0"/>
              <w:rPr>
                <w:sz w:val="15"/>
                <w:szCs w:val="15"/>
                <w:color w:val="auto"/>
              </w:rPr>
            </w:pPr>
          </w:p>
        </w:tc>
      </w:tr>
      <w:tr>
        <w:trPr>
          <w:trHeight w:val="160"/>
        </w:trPr>
        <w:tc>
          <w:tcPr>
            <w:tcW w:w="83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w w:val="96"/>
              </w:rPr>
              <w:t>2022</w:t>
            </w:r>
          </w:p>
        </w:tc>
      </w:tr>
      <w:tr>
        <w:trPr>
          <w:trHeight w:val="163"/>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ROU assets - noncash additions (operating leases)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w:t>
            </w: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 (operating leases)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1,438</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 (finance leases)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General</w:t>
      </w:r>
    </w:p>
    <w:p>
      <w:pPr>
        <w:spacing w:after="0" w:line="31" w:lineRule="exact"/>
        <w:rPr>
          <w:sz w:val="20"/>
          <w:szCs w:val="20"/>
          <w:color w:val="auto"/>
        </w:rPr>
      </w:pPr>
    </w:p>
    <w:p>
      <w:pPr>
        <w:jc w:val="both"/>
        <w:spacing w:after="0" w:line="368" w:lineRule="auto"/>
        <w:rPr>
          <w:sz w:val="20"/>
          <w:szCs w:val="20"/>
          <w:color w:val="auto"/>
        </w:rPr>
      </w:pPr>
      <w:r>
        <w:rPr>
          <w:rFonts w:ascii="Arial" w:cs="Arial" w:eastAsia="Arial" w:hAnsi="Arial"/>
          <w:sz w:val="11"/>
          <w:szCs w:val="11"/>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Operating Leases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$21,749 and $20,075 with a residual value of $13,267 and $12,874 as of June 30, 2023 and 2022, respectively.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20"/>
                <w:szCs w:val="20"/>
                <w:color w:val="auto"/>
              </w:rPr>
            </w:pPr>
            <w:r>
              <w:rPr>
                <w:rFonts w:ascii="Arial" w:cs="Arial" w:eastAsia="Arial" w:hAnsi="Arial"/>
                <w:sz w:val="13"/>
                <w:szCs w:val="13"/>
                <w:color w:val="auto"/>
              </w:rPr>
              <w:t>The following table presents total equipment finance operating lease income and depreciation expense as of the dates indicated:</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85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Year Ended June 30,</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160"/>
        </w:trPr>
        <w:tc>
          <w:tcPr>
            <w:tcW w:w="85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w w:val="82"/>
              </w:rPr>
              <w:t>2022</w:t>
            </w:r>
          </w:p>
        </w:tc>
        <w:tc>
          <w:tcPr>
            <w:tcW w:w="80" w:type="dxa"/>
            <w:vAlign w:val="bottom"/>
            <w:tcBorders>
              <w:bottom w:val="single" w:sz="8" w:color="auto"/>
            </w:tcBorders>
          </w:tcPr>
          <w:p>
            <w:pPr>
              <w:spacing w:after="0"/>
              <w:rPr>
                <w:sz w:val="13"/>
                <w:szCs w:val="13"/>
                <w:color w:val="auto"/>
              </w:rPr>
            </w:pPr>
          </w:p>
        </w:tc>
      </w:tr>
      <w:tr>
        <w:trPr>
          <w:trHeight w:val="16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income</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6,392</w:t>
            </w:r>
          </w:p>
        </w:tc>
      </w:tr>
      <w:tr>
        <w:trPr>
          <w:trHeight w:val="165"/>
        </w:trPr>
        <w:tc>
          <w:tcPr>
            <w:tcW w:w="85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4,873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5,362</w:t>
            </w:r>
          </w:p>
        </w:tc>
      </w:tr>
      <w:tr>
        <w:trPr>
          <w:trHeight w:val="286"/>
        </w:trPr>
        <w:tc>
          <w:tcPr>
            <w:tcW w:w="856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lease payments to be received at June 30, 2023:</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
        </w:trPr>
        <w:tc>
          <w:tcPr>
            <w:tcW w:w="8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0"/>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8560" w:type="dxa"/>
            <w:vAlign w:val="bottom"/>
          </w:tcPr>
          <w:p>
            <w:pPr>
              <w:ind w:left="80"/>
              <w:spacing w:after="0"/>
              <w:rPr>
                <w:sz w:val="20"/>
                <w:szCs w:val="20"/>
                <w:color w:val="auto"/>
              </w:rPr>
            </w:pPr>
            <w:r>
              <w:rPr>
                <w:rFonts w:ascii="Arial" w:cs="Arial" w:eastAsia="Arial" w:hAnsi="Arial"/>
                <w:sz w:val="13"/>
                <w:szCs w:val="13"/>
                <w:color w:val="auto"/>
              </w:rPr>
              <w:t>2024</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5,354</w:t>
            </w:r>
          </w:p>
        </w:tc>
        <w:tc>
          <w:tcPr>
            <w:tcW w:w="80" w:type="dxa"/>
            <w:vAlign w:val="bottom"/>
          </w:tcPr>
          <w:p>
            <w:pPr>
              <w:spacing w:after="0"/>
              <w:rPr>
                <w:sz w:val="14"/>
                <w:szCs w:val="14"/>
                <w:color w:val="auto"/>
              </w:rPr>
            </w:pPr>
          </w:p>
        </w:tc>
      </w:tr>
      <w:tr>
        <w:trPr>
          <w:trHeight w:val="172"/>
        </w:trPr>
        <w:tc>
          <w:tcPr>
            <w:tcW w:w="8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2025</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3,246</w:t>
            </w:r>
          </w:p>
        </w:tc>
        <w:tc>
          <w:tcPr>
            <w:tcW w:w="80" w:type="dxa"/>
            <w:vAlign w:val="bottom"/>
          </w:tcPr>
          <w:p>
            <w:pPr>
              <w:spacing w:after="0"/>
              <w:rPr>
                <w:sz w:val="14"/>
                <w:szCs w:val="14"/>
                <w:color w:val="auto"/>
              </w:rPr>
            </w:pPr>
          </w:p>
        </w:tc>
      </w:tr>
      <w:tr>
        <w:trPr>
          <w:trHeight w:val="168"/>
        </w:trPr>
        <w:tc>
          <w:tcPr>
            <w:tcW w:w="8560" w:type="dxa"/>
            <w:vAlign w:val="bottom"/>
          </w:tcPr>
          <w:p>
            <w:pPr>
              <w:ind w:left="80"/>
              <w:spacing w:after="0"/>
              <w:rPr>
                <w:sz w:val="20"/>
                <w:szCs w:val="20"/>
                <w:color w:val="auto"/>
              </w:rPr>
            </w:pPr>
            <w:r>
              <w:rPr>
                <w:rFonts w:ascii="Arial" w:cs="Arial" w:eastAsia="Arial" w:hAnsi="Arial"/>
                <w:sz w:val="13"/>
                <w:szCs w:val="13"/>
                <w:color w:val="auto"/>
              </w:rPr>
              <w:t>2026</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1,989</w:t>
            </w:r>
          </w:p>
        </w:tc>
        <w:tc>
          <w:tcPr>
            <w:tcW w:w="80" w:type="dxa"/>
            <w:vAlign w:val="bottom"/>
          </w:tcPr>
          <w:p>
            <w:pPr>
              <w:spacing w:after="0"/>
              <w:rPr>
                <w:sz w:val="14"/>
                <w:szCs w:val="14"/>
                <w:color w:val="auto"/>
              </w:rPr>
            </w:pPr>
          </w:p>
        </w:tc>
      </w:tr>
      <w:tr>
        <w:trPr>
          <w:trHeight w:val="172"/>
        </w:trPr>
        <w:tc>
          <w:tcPr>
            <w:tcW w:w="8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2027</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4"/>
                <w:szCs w:val="14"/>
                <w:color w:val="auto"/>
              </w:rPr>
            </w:pPr>
          </w:p>
        </w:tc>
      </w:tr>
      <w:tr>
        <w:trPr>
          <w:trHeight w:val="168"/>
        </w:trPr>
        <w:tc>
          <w:tcPr>
            <w:tcW w:w="8560" w:type="dxa"/>
            <w:vAlign w:val="bottom"/>
          </w:tcPr>
          <w:p>
            <w:pPr>
              <w:ind w:left="80"/>
              <w:spacing w:after="0"/>
              <w:rPr>
                <w:sz w:val="20"/>
                <w:szCs w:val="20"/>
                <w:color w:val="auto"/>
              </w:rPr>
            </w:pPr>
            <w:r>
              <w:rPr>
                <w:rFonts w:ascii="Arial" w:cs="Arial" w:eastAsia="Arial" w:hAnsi="Arial"/>
                <w:sz w:val="13"/>
                <w:szCs w:val="13"/>
                <w:color w:val="auto"/>
              </w:rPr>
              <w:t>2028</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230</w:t>
            </w:r>
          </w:p>
        </w:tc>
        <w:tc>
          <w:tcPr>
            <w:tcW w:w="80" w:type="dxa"/>
            <w:vAlign w:val="bottom"/>
          </w:tcPr>
          <w:p>
            <w:pPr>
              <w:spacing w:after="0"/>
              <w:rPr>
                <w:sz w:val="14"/>
                <w:szCs w:val="14"/>
                <w:color w:val="auto"/>
              </w:rPr>
            </w:pPr>
          </w:p>
        </w:tc>
      </w:tr>
      <w:tr>
        <w:trPr>
          <w:trHeight w:val="170"/>
        </w:trPr>
        <w:tc>
          <w:tcPr>
            <w:tcW w:w="8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Thereafter</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80" w:type="dxa"/>
            <w:vAlign w:val="bottom"/>
          </w:tcPr>
          <w:p>
            <w:pPr>
              <w:spacing w:after="0"/>
              <w:rPr>
                <w:sz w:val="14"/>
                <w:szCs w:val="14"/>
                <w:color w:val="auto"/>
              </w:rPr>
            </w:pPr>
          </w:p>
        </w:tc>
      </w:tr>
      <w:tr>
        <w:trPr>
          <w:trHeight w:val="163"/>
        </w:trPr>
        <w:tc>
          <w:tcPr>
            <w:tcW w:w="8560" w:type="dxa"/>
            <w:vAlign w:val="bottom"/>
          </w:tcPr>
          <w:p>
            <w:pPr>
              <w:ind w:left="140"/>
              <w:spacing w:after="0"/>
              <w:rPr>
                <w:sz w:val="20"/>
                <w:szCs w:val="20"/>
                <w:color w:val="auto"/>
              </w:rPr>
            </w:pPr>
            <w:r>
              <w:rPr>
                <w:rFonts w:ascii="Arial" w:cs="Arial" w:eastAsia="Arial" w:hAnsi="Arial"/>
                <w:sz w:val="13"/>
                <w:szCs w:val="13"/>
                <w:b w:val="1"/>
                <w:bCs w:val="1"/>
                <w:color w:val="auto"/>
              </w:rPr>
              <w:t>Total of future minimum payments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11,650</w:t>
            </w:r>
          </w:p>
        </w:tc>
        <w:tc>
          <w:tcPr>
            <w:tcW w:w="80" w:type="dxa"/>
            <w:vAlign w:val="bottom"/>
          </w:tcPr>
          <w:p>
            <w:pPr>
              <w:spacing w:after="0"/>
              <w:rPr>
                <w:sz w:val="14"/>
                <w:szCs w:val="14"/>
                <w:color w:val="auto"/>
              </w:rPr>
            </w:pPr>
          </w:p>
        </w:tc>
      </w:tr>
      <w:tr>
        <w:trPr>
          <w:trHeight w:val="20"/>
        </w:trPr>
        <w:tc>
          <w:tcPr>
            <w:tcW w:w="8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Finance Leases</w:t>
      </w:r>
    </w:p>
    <w:p>
      <w:pPr>
        <w:spacing w:after="0" w:line="31"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Finance lease income is recognized as a component of loan interest income over the lease term. The finance leases are included as a component of the equipment finance class of financing receivables under the commercial loans segment of the loan portfolio. For the years ended June 30, 2023 and 2022, interest income on equipment finance leases totaled $3,390 and $3,057,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The lease receivable component of finance lease net investment included within equipment finance class of financing receivables was $70,605 and $62,188 at June 30, 2023 and 2022,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schedule summarizes, as of June 30, 2023, aggregate future minimum finance lease payments to be received: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gridSpan w:val="2"/>
          </w:tcPr>
          <w:p>
            <w:pPr>
              <w:ind w:left="80"/>
              <w:spacing w:after="0"/>
              <w:rPr>
                <w:sz w:val="20"/>
                <w:szCs w:val="20"/>
                <w:color w:val="auto"/>
              </w:rPr>
            </w:pPr>
            <w:r>
              <w:rPr>
                <w:rFonts w:ascii="Arial" w:cs="Arial" w:eastAsia="Arial" w:hAnsi="Arial"/>
                <w:sz w:val="13"/>
                <w:szCs w:val="13"/>
                <w:color w:val="auto"/>
              </w:rPr>
              <w:t>2024</w:t>
            </w:r>
          </w:p>
        </w:tc>
        <w:tc>
          <w:tcPr>
            <w:tcW w:w="5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23,861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2025</w:t>
            </w:r>
          </w:p>
        </w:tc>
        <w:tc>
          <w:tcPr>
            <w:tcW w:w="5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gridSpan w:val="2"/>
          </w:tcPr>
          <w:p>
            <w:pPr>
              <w:ind w:left="80"/>
              <w:spacing w:after="0"/>
              <w:rPr>
                <w:sz w:val="20"/>
                <w:szCs w:val="20"/>
                <w:color w:val="auto"/>
              </w:rPr>
            </w:pPr>
            <w:r>
              <w:rPr>
                <w:rFonts w:ascii="Arial" w:cs="Arial" w:eastAsia="Arial" w:hAnsi="Arial"/>
                <w:sz w:val="13"/>
                <w:szCs w:val="13"/>
                <w:color w:val="auto"/>
              </w:rPr>
              <w:t>2026</w:t>
            </w:r>
          </w:p>
        </w:tc>
        <w:tc>
          <w:tcPr>
            <w:tcW w:w="5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15,677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2027</w:t>
            </w:r>
          </w:p>
        </w:tc>
        <w:tc>
          <w:tcPr>
            <w:tcW w:w="5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gridSpan w:val="2"/>
          </w:tcPr>
          <w:p>
            <w:pPr>
              <w:ind w:left="80"/>
              <w:spacing w:after="0"/>
              <w:rPr>
                <w:sz w:val="20"/>
                <w:szCs w:val="20"/>
                <w:color w:val="auto"/>
              </w:rPr>
            </w:pPr>
            <w:r>
              <w:rPr>
                <w:rFonts w:ascii="Arial" w:cs="Arial" w:eastAsia="Arial" w:hAnsi="Arial"/>
                <w:sz w:val="13"/>
                <w:szCs w:val="13"/>
                <w:color w:val="auto"/>
              </w:rPr>
              <w:t>2028</w:t>
            </w:r>
          </w:p>
        </w:tc>
        <w:tc>
          <w:tcPr>
            <w:tcW w:w="5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Thereafter</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3,927</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60" w:type="dxa"/>
            <w:vAlign w:val="bottom"/>
            <w:gridSpan w:val="3"/>
          </w:tcPr>
          <w:p>
            <w:pPr>
              <w:ind w:left="140"/>
              <w:spacing w:after="0"/>
              <w:rPr>
                <w:sz w:val="20"/>
                <w:szCs w:val="20"/>
                <w:color w:val="auto"/>
              </w:rPr>
            </w:pPr>
            <w:r>
              <w:rPr>
                <w:rFonts w:ascii="Arial" w:cs="Arial" w:eastAsia="Arial" w:hAnsi="Arial"/>
                <w:sz w:val="13"/>
                <w:szCs w:val="13"/>
                <w:color w:val="auto"/>
              </w:rPr>
              <w:t>Total undiscounted minimum payments</w:t>
            </w: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79,161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Less: amount representing interest</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(8,556)</w:t>
            </w:r>
          </w:p>
        </w:tc>
        <w:tc>
          <w:tcPr>
            <w:tcW w:w="0" w:type="dxa"/>
            <w:vAlign w:val="bottom"/>
          </w:tcPr>
          <w:p>
            <w:pPr>
              <w:spacing w:after="0"/>
              <w:rPr>
                <w:sz w:val="1"/>
                <w:szCs w:val="1"/>
                <w:color w:val="auto"/>
              </w:rPr>
            </w:pPr>
          </w:p>
        </w:tc>
      </w:tr>
      <w:tr>
        <w:trPr>
          <w:trHeight w:val="163"/>
        </w:trPr>
        <w:tc>
          <w:tcPr>
            <w:tcW w:w="606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 lease receivable</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70,605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12. Income Taxes</w:t>
            </w: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6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60" w:type="dxa"/>
            <w:vAlign w:val="bottom"/>
            <w:gridSpan w:val="3"/>
          </w:tcPr>
          <w:p>
            <w:pPr>
              <w:spacing w:after="0"/>
              <w:rPr>
                <w:sz w:val="20"/>
                <w:szCs w:val="20"/>
                <w:color w:val="auto"/>
              </w:rPr>
            </w:pPr>
            <w:r>
              <w:rPr>
                <w:rFonts w:ascii="Arial" w:cs="Arial" w:eastAsia="Arial" w:hAnsi="Arial"/>
                <w:sz w:val="13"/>
                <w:szCs w:val="13"/>
                <w:color w:val="auto"/>
              </w:rPr>
              <w:t>Income tax expense as of the dates indicated consisted of:</w:t>
            </w: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5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6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Current</w:t>
            </w:r>
          </w:p>
        </w:tc>
        <w:tc>
          <w:tcPr>
            <w:tcW w:w="1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60" w:type="dxa"/>
            <w:vAlign w:val="bottom"/>
            <w:gridSpan w:val="3"/>
          </w:tcPr>
          <w:p>
            <w:pPr>
              <w:ind w:left="80"/>
              <w:spacing w:after="0"/>
              <w:rPr>
                <w:sz w:val="20"/>
                <w:szCs w:val="20"/>
                <w:color w:val="auto"/>
              </w:rPr>
            </w:pPr>
            <w:r>
              <w:rPr>
                <w:rFonts w:ascii="Arial" w:cs="Arial" w:eastAsia="Arial" w:hAnsi="Arial"/>
                <w:sz w:val="13"/>
                <w:szCs w:val="13"/>
                <w:color w:val="auto"/>
              </w:rPr>
              <w:t>Federal</w:t>
            </w:r>
          </w:p>
        </w:tc>
        <w:tc>
          <w:tcPr>
            <w:tcW w:w="1120" w:type="dxa"/>
            <w:vAlign w:val="bottom"/>
          </w:tcPr>
          <w:p>
            <w:pPr>
              <w:jc w:val="right"/>
              <w:ind w:right="97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11,119</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2,411</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60" w:type="dxa"/>
            <w:vAlign w:val="bottom"/>
            <w:gridSpan w:val="3"/>
          </w:tcPr>
          <w:p>
            <w:pPr>
              <w:ind w:left="140"/>
              <w:spacing w:after="0"/>
              <w:rPr>
                <w:sz w:val="20"/>
                <w:szCs w:val="20"/>
                <w:color w:val="auto"/>
              </w:rPr>
            </w:pPr>
            <w:r>
              <w:rPr>
                <w:rFonts w:ascii="Arial" w:cs="Arial" w:eastAsia="Arial" w:hAnsi="Arial"/>
                <w:sz w:val="13"/>
                <w:szCs w:val="13"/>
                <w:color w:val="auto"/>
              </w:rPr>
              <w:t>Total current expense (benefit)</w:t>
            </w:r>
          </w:p>
        </w:tc>
        <w:tc>
          <w:tcPr>
            <w:tcW w:w="1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12,993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3,141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Deferred</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gridSpan w:val="3"/>
          </w:tcPr>
          <w:p>
            <w:pPr>
              <w:ind w:left="80"/>
              <w:spacing w:after="0"/>
              <w:rPr>
                <w:sz w:val="20"/>
                <w:szCs w:val="20"/>
                <w:color w:val="auto"/>
              </w:rPr>
            </w:pPr>
            <w:r>
              <w:rPr>
                <w:rFonts w:ascii="Arial" w:cs="Arial" w:eastAsia="Arial" w:hAnsi="Arial"/>
                <w:sz w:val="13"/>
                <w:szCs w:val="13"/>
                <w:color w:val="auto"/>
              </w:rPr>
              <w:t>Federal</w:t>
            </w:r>
          </w:p>
        </w:tc>
        <w:tc>
          <w:tcPr>
            <w:tcW w:w="1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5,992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gridSpan w:val="3"/>
          </w:tcPr>
          <w:p>
            <w:pPr>
              <w:ind w:left="140"/>
              <w:spacing w:after="0"/>
              <w:rPr>
                <w:sz w:val="20"/>
                <w:szCs w:val="20"/>
                <w:color w:val="auto"/>
              </w:rPr>
            </w:pPr>
            <w:r>
              <w:rPr>
                <w:rFonts w:ascii="Arial" w:cs="Arial" w:eastAsia="Arial" w:hAnsi="Arial"/>
                <w:sz w:val="13"/>
                <w:szCs w:val="13"/>
                <w:color w:val="auto"/>
              </w:rPr>
              <w:t>Total deferred expense (benefit)</w:t>
            </w:r>
          </w:p>
        </w:tc>
        <w:tc>
          <w:tcPr>
            <w:tcW w:w="1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6,584</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expense</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provision for income taxes differs from the amount of income tax determined by applying the applicable U.S. statutory federal income tax rate to income before income taxes as a result of the following differences for the periods indicated: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3"/>
                <w:szCs w:val="13"/>
                <w:b w:val="1"/>
                <w:bCs w:val="1"/>
                <w:color w:val="auto"/>
                <w:w w:val="88"/>
              </w:rPr>
              <w:t>Year Ended June 30,</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3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980" w:type="dxa"/>
            <w:vAlign w:val="bottom"/>
            <w:tcBorders>
              <w:bottom w:val="single" w:sz="8" w:color="auto"/>
            </w:tcBorders>
          </w:tcPr>
          <w:p>
            <w:pPr>
              <w:spacing w:after="0"/>
              <w:rPr>
                <w:sz w:val="13"/>
                <w:szCs w:val="13"/>
                <w:color w:val="auto"/>
              </w:rPr>
            </w:pPr>
          </w:p>
        </w:tc>
      </w:tr>
      <w:tr>
        <w:trPr>
          <w:trHeight w:val="160"/>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Amount</w:t>
            </w:r>
          </w:p>
        </w:tc>
        <w:tc>
          <w:tcPr>
            <w:tcW w:w="980" w:type="dxa"/>
            <w:vAlign w:val="bottom"/>
          </w:tcPr>
          <w:p>
            <w:pPr>
              <w:jc w:val="right"/>
              <w:ind w:right="456"/>
              <w:spacing w:after="0"/>
              <w:rPr>
                <w:sz w:val="20"/>
                <w:szCs w:val="20"/>
                <w:color w:val="auto"/>
              </w:rPr>
            </w:pPr>
            <w:r>
              <w:rPr>
                <w:rFonts w:ascii="Arial" w:cs="Arial" w:eastAsia="Arial" w:hAnsi="Arial"/>
                <w:sz w:val="13"/>
                <w:szCs w:val="13"/>
                <w:b w:val="1"/>
                <w:bCs w:val="1"/>
                <w:color w:val="auto"/>
              </w:rPr>
              <w:t>Rate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w w:val="89"/>
              </w:rPr>
              <w:t>Amount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520"/>
              <w:spacing w:after="0"/>
              <w:rPr>
                <w:sz w:val="20"/>
                <w:szCs w:val="20"/>
                <w:color w:val="auto"/>
              </w:rPr>
            </w:pPr>
            <w:r>
              <w:rPr>
                <w:rFonts w:ascii="Arial" w:cs="Arial" w:eastAsia="Arial" w:hAnsi="Arial"/>
                <w:sz w:val="13"/>
                <w:szCs w:val="13"/>
                <w:b w:val="1"/>
                <w:bCs w:val="1"/>
                <w:color w:val="auto"/>
              </w:rPr>
              <w:t>Rate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Amount</w:t>
            </w:r>
          </w:p>
        </w:tc>
        <w:tc>
          <w:tcPr>
            <w:tcW w:w="980" w:type="dxa"/>
            <w:vAlign w:val="bottom"/>
          </w:tcPr>
          <w:p>
            <w:pPr>
              <w:jc w:val="right"/>
              <w:ind w:right="456"/>
              <w:spacing w:after="0"/>
              <w:rPr>
                <w:sz w:val="20"/>
                <w:szCs w:val="20"/>
                <w:color w:val="auto"/>
              </w:rPr>
            </w:pPr>
            <w:r>
              <w:rPr>
                <w:rFonts w:ascii="Arial" w:cs="Arial" w:eastAsia="Arial" w:hAnsi="Arial"/>
                <w:sz w:val="13"/>
                <w:szCs w:val="13"/>
                <w:b w:val="1"/>
                <w:bCs w:val="1"/>
                <w:color w:val="auto"/>
              </w:rPr>
              <w:t>Rate</w:t>
            </w:r>
          </w:p>
        </w:tc>
      </w:tr>
      <w:tr>
        <w:trPr>
          <w:trHeight w:val="16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Tax at federal income tax rate</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9,529</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r>
      <w:tr>
        <w:trPr>
          <w:trHeight w:val="168"/>
        </w:trPr>
        <w:tc>
          <w:tcPr>
            <w:tcW w:w="3280" w:type="dxa"/>
            <w:vAlign w:val="bottom"/>
          </w:tcPr>
          <w:p>
            <w:pPr>
              <w:ind w:left="20"/>
              <w:spacing w:after="0"/>
              <w:rPr>
                <w:sz w:val="20"/>
                <w:szCs w:val="20"/>
                <w:color w:val="auto"/>
              </w:rPr>
            </w:pPr>
            <w:r>
              <w:rPr>
                <w:rFonts w:ascii="Arial" w:cs="Arial" w:eastAsia="Arial" w:hAnsi="Arial"/>
                <w:sz w:val="13"/>
                <w:szCs w:val="13"/>
                <w:color w:val="auto"/>
              </w:rPr>
              <w:t>Increase (decrease) resulting from</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Tax exempt income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w:t>
            </w:r>
          </w:p>
        </w:tc>
      </w:tr>
      <w:tr>
        <w:trPr>
          <w:trHeight w:val="168"/>
        </w:trPr>
        <w:tc>
          <w:tcPr>
            <w:tcW w:w="3280" w:type="dxa"/>
            <w:vAlign w:val="bottom"/>
          </w:tcPr>
          <w:p>
            <w:pPr>
              <w:ind w:left="80"/>
              <w:spacing w:after="0"/>
              <w:rPr>
                <w:sz w:val="20"/>
                <w:szCs w:val="20"/>
                <w:color w:val="auto"/>
              </w:rPr>
            </w:pPr>
            <w:r>
              <w:rPr>
                <w:rFonts w:ascii="Arial" w:cs="Arial" w:eastAsia="Arial" w:hAnsi="Arial"/>
                <w:sz w:val="13"/>
                <w:szCs w:val="13"/>
                <w:color w:val="auto"/>
              </w:rPr>
              <w:t>State tax, net of federal benefit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2</w:t>
            </w:r>
          </w:p>
        </w:tc>
      </w:tr>
      <w:tr>
        <w:trPr>
          <w:trHeight w:val="170"/>
        </w:trPr>
        <w:tc>
          <w:tcPr>
            <w:tcW w:w="3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3"/>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12,560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9,725</w:t>
            </w:r>
          </w:p>
        </w:tc>
        <w:tc>
          <w:tcPr>
            <w:tcW w:w="10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3,421</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18 %</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sources and tax effects of temporary differences that give rise to significant portions of the deferred tax assets (liabilities) at June 30, 2023 and 2022 are presented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4"/>
                <w:szCs w:val="14"/>
                <w:color w:val="auto"/>
              </w:rPr>
            </w:pPr>
          </w:p>
        </w:tc>
        <w:tc>
          <w:tcPr>
            <w:tcW w:w="1400" w:type="dxa"/>
            <w:vAlign w:val="bottom"/>
          </w:tcPr>
          <w:p>
            <w:pPr>
              <w:jc w:val="right"/>
              <w:ind w:right="396"/>
              <w:spacing w:after="0"/>
              <w:rPr>
                <w:sz w:val="20"/>
                <w:szCs w:val="20"/>
                <w:color w:val="auto"/>
              </w:rPr>
            </w:pPr>
            <w:r>
              <w:rPr>
                <w:rFonts w:ascii="Arial" w:cs="Arial" w:eastAsia="Arial" w:hAnsi="Arial"/>
                <w:sz w:val="13"/>
                <w:szCs w:val="13"/>
                <w:b w:val="1"/>
                <w:bCs w:val="1"/>
                <w:color w:val="auto"/>
              </w:rPr>
              <w:t>June 30, 2022</w:t>
            </w:r>
          </w:p>
        </w:tc>
      </w:tr>
      <w:tr>
        <w:trPr>
          <w:trHeight w:val="152"/>
        </w:trPr>
        <w:tc>
          <w:tcPr>
            <w:tcW w:w="78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Deferred tax assets</w:t>
            </w: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Allowance for credit losses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11,822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8,796</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Deferred compensation and post-retirement benefits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8,407</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Impairments on real estate owned</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operating loss carryforward</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3,353</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Discount from business combinations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1,228</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Unrealized loss on debt securities held for sale</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1,860</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Operating lease liability</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w:t>
            </w:r>
          </w:p>
        </w:tc>
      </w:tr>
      <w:tr>
        <w:trPr>
          <w:trHeight w:val="168"/>
        </w:trPr>
        <w:tc>
          <w:tcPr>
            <w:tcW w:w="78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w:t>
            </w:r>
          </w:p>
        </w:tc>
      </w:tr>
      <w:tr>
        <w:trPr>
          <w:trHeight w:val="163"/>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27,075</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Deferred tax liabilities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Depreciable basis of fixed assets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(7,874)</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Deferred loan costs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(774)</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stock, book basis in excess of tax</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68"/>
        </w:trPr>
        <w:tc>
          <w:tcPr>
            <w:tcW w:w="7840" w:type="dxa"/>
            <w:vAlign w:val="bottom"/>
          </w:tcPr>
          <w:p>
            <w:pPr>
              <w:ind w:left="80"/>
              <w:spacing w:after="0"/>
              <w:rPr>
                <w:sz w:val="20"/>
                <w:szCs w:val="20"/>
                <w:color w:val="auto"/>
              </w:rPr>
            </w:pPr>
            <w:r>
              <w:rPr>
                <w:rFonts w:ascii="Arial" w:cs="Arial" w:eastAsia="Arial" w:hAnsi="Arial"/>
                <w:sz w:val="13"/>
                <w:szCs w:val="13"/>
                <w:color w:val="auto"/>
              </w:rPr>
              <w:t>BOLI available for redemption</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(5,163)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(4,679)</w:t>
            </w:r>
          </w:p>
        </w:tc>
      </w:tr>
      <w:tr>
        <w:trPr>
          <w:trHeight w:val="172"/>
        </w:trPr>
        <w:tc>
          <w:tcPr>
            <w:tcW w:w="7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Operating lease ROU asset</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w:t>
            </w:r>
          </w:p>
        </w:tc>
      </w:tr>
      <w:tr>
        <w:trPr>
          <w:trHeight w:val="168"/>
        </w:trPr>
        <w:tc>
          <w:tcPr>
            <w:tcW w:w="78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w:t>
            </w:r>
          </w:p>
        </w:tc>
      </w:tr>
      <w:tr>
        <w:trPr>
          <w:trHeight w:val="160"/>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(19,645)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(15,588)</w:t>
            </w:r>
          </w:p>
        </w:tc>
      </w:tr>
      <w:tr>
        <w:trPr>
          <w:trHeight w:val="163"/>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Net deferred tax assets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11,487</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had federal NOL carry forwards of $13,207 and $15,967 as of June 30, 2023 and June 30, 2022, respectively, with a recorded tax benefit of $2,806 and $3,353 included in deferred tax assets. The majority of these NOLs will expire for federal tax purposes from 2031 through 2036, if not previously used.</w:t>
      </w:r>
    </w:p>
    <w:p>
      <w:pPr>
        <w:spacing w:after="0" w:line="19"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Retained earnings at June 30, 2023 and 2022 include $19,570 representing pre-1988 tax bad debt reserve base year amounts for which no deferred tax liability has been provided since these reserves are not expected to reverse and may never reverse. Circumstances that would require an accrual of a portion or all of this unrecorded tax liability are a failure to meet the definition of a bank, dividend payments in excess of current year or accumulated earnings and profits, or other distributions in dissolution or liquidation of the Bank. The Company is no longer subject to examination for federal and state purposes for tax years prior to 2019.</w:t>
      </w:r>
    </w:p>
    <w:p>
      <w:pPr>
        <w:spacing w:after="0" w:line="55" w:lineRule="exact"/>
        <w:rPr>
          <w:sz w:val="20"/>
          <w:szCs w:val="20"/>
          <w:color w:val="auto"/>
        </w:rPr>
      </w:pPr>
    </w:p>
    <w:p>
      <w:pPr>
        <w:ind w:left="200" w:hanging="195"/>
        <w:spacing w:after="0"/>
        <w:tabs>
          <w:tab w:leader="none" w:pos="2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Employee Benefit Plans</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HomeTrust Bank KSOP Plan is comprised of two components, the 401(k) Plan and the ESOP. The KSOP benefits employees who have attained age 21 and who are employed on the last day of the plan year, or separated during the plan year due to death, disability, or after meeting normal retirement age. Under the 401(k), the Company matches employee contributions at 50% of employee deferrals up to 6% of each employee’s eligible compensation. The Company may also make discretionary profit sharing contributions for the benefit of all eligible participants as long as total contributions do not exceed applicable limitations. Employees become fully vested in the Company’s contributions after four years of service. Under the ESOP, the amount of the Bank's annual contribution is discretionary; however, it must be sufficient to pay the annual loan payment to the Company.</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Company’s expense for 401(k) contributions to this plan was $987, $911, and $914 for the years ended June 30, 2023, 2022, and 2021, respectively. The Company's expense related to the ESOP for the fiscal years ended June 30, 2023, 2022, and 2021 was $1,279, $1,502, and $1,125,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20"/>
                <w:szCs w:val="20"/>
                <w:color w:val="auto"/>
              </w:rPr>
            </w:pPr>
            <w:r>
              <w:rPr>
                <w:rFonts w:ascii="Arial" w:cs="Arial" w:eastAsia="Arial" w:hAnsi="Arial"/>
                <w:sz w:val="13"/>
                <w:szCs w:val="13"/>
                <w:color w:val="auto"/>
              </w:rPr>
              <w:t>Shares held by the ESOP at the dates indicated include the following:</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3"/>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6"/>
                <w:szCs w:val="16"/>
                <w:color w:val="auto"/>
              </w:rPr>
            </w:pPr>
          </w:p>
        </w:tc>
        <w:tc>
          <w:tcPr>
            <w:tcW w:w="1400" w:type="dxa"/>
            <w:vAlign w:val="bottom"/>
          </w:tcPr>
          <w:p>
            <w:pPr>
              <w:jc w:val="right"/>
              <w:ind w:right="396"/>
              <w:spacing w:after="0"/>
              <w:rPr>
                <w:sz w:val="20"/>
                <w:szCs w:val="20"/>
                <w:color w:val="auto"/>
              </w:rPr>
            </w:pPr>
            <w:r>
              <w:rPr>
                <w:rFonts w:ascii="Arial" w:cs="Arial" w:eastAsia="Arial" w:hAnsi="Arial"/>
                <w:sz w:val="13"/>
                <w:szCs w:val="13"/>
                <w:b w:val="1"/>
                <w:bCs w:val="1"/>
                <w:color w:val="auto"/>
              </w:rPr>
              <w:t>June 30, 2022</w:t>
            </w:r>
          </w:p>
        </w:tc>
      </w:tr>
      <w:tr>
        <w:trPr>
          <w:trHeight w:val="16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Unallocated ESOP shares</w:t>
            </w: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476,100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529,000</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Allocated ESOP shares</w:t>
            </w: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555,450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502,550</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ESOP shares committed to be released</w:t>
            </w: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26,450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26,450</w:t>
            </w:r>
          </w:p>
        </w:tc>
      </w:tr>
      <w:tr>
        <w:trPr>
          <w:trHeight w:val="158"/>
        </w:trPr>
        <w:tc>
          <w:tcPr>
            <w:tcW w:w="7840" w:type="dxa"/>
            <w:vAlign w:val="bottom"/>
            <w:tcBorders>
              <w:bottom w:val="single" w:sz="8" w:color="CCEEFF"/>
            </w:tcBorders>
          </w:tcPr>
          <w:p>
            <w:pPr>
              <w:ind w:left="80"/>
              <w:spacing w:after="0"/>
              <w:rPr>
                <w:sz w:val="20"/>
                <w:szCs w:val="20"/>
                <w:color w:val="auto"/>
              </w:rPr>
            </w:pPr>
            <w:r>
              <w:rPr>
                <w:rFonts w:ascii="Arial" w:cs="Arial" w:eastAsia="Arial" w:hAnsi="Arial"/>
                <w:sz w:val="13"/>
                <w:szCs w:val="13"/>
                <w:b w:val="1"/>
                <w:bCs w:val="1"/>
                <w:color w:val="auto"/>
              </w:rPr>
              <w:t>Total ESOP shares</w:t>
            </w: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1,058,000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1,058,000</w:t>
            </w:r>
          </w:p>
        </w:tc>
      </w:tr>
      <w:tr>
        <w:trPr>
          <w:trHeight w:val="18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of unallocated ESOP shares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Post-retirement health care benefits are provided to certain key current and former officers under the Company’s Executive Medical Care Plan (“EMCP”). The EMCP is unfunded and is not qualified under the IRC. Plan expense for the years ended June 30, 2023, 2022, and 2021 was $50, $219, and $263, respectively. Total accrued expenses related to this plan included in other liabilities were $5,425 and $5,533 as of June 30, 2023 and 2022, respectively.</w:t>
      </w:r>
    </w:p>
    <w:p>
      <w:pPr>
        <w:spacing w:after="0" w:line="95" w:lineRule="exact"/>
        <w:rPr>
          <w:sz w:val="20"/>
          <w:szCs w:val="20"/>
          <w:color w:val="auto"/>
        </w:rPr>
      </w:pPr>
    </w:p>
    <w:p>
      <w:pPr>
        <w:ind w:left="200" w:hanging="195"/>
        <w:spacing w:after="0"/>
        <w:tabs>
          <w:tab w:leader="none" w:pos="20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Deferred Compensation Agreements</w:t>
      </w:r>
    </w:p>
    <w:p>
      <w:pPr>
        <w:spacing w:after="0" w:line="35"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The Company’s Director Emeritus Plans (“Plans”) provide certain benefits to Emeritus Directors for providing current advisory services to the Company. The Plans are unfunded and are not qualified under the IRC. Plan benefits vary by participant and are payable to a designated beneficiary in the event of death. The Company records an expense based on the present value of expected future benefits. Plan expenses for the years ended June 30, 2023, 2022, and 2021 were $305, $313, and $392, respectively. Total accrued expenses related to these plans included in other liabilities were $6,881 and $7,224 as of June 30, 2023 and 2022, respectively.</w:t>
      </w:r>
    </w:p>
    <w:p>
      <w:pPr>
        <w:spacing w:after="0" w:line="6"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The Company has deferred compensation agreements with certain members of the Company’s Board of Directors. The future payments related to these agreements are to be funded with life insurance contracts which are payable to the Company at the time of the director’s death. For the years ended June 30, 2023, 2022, and 2021 deferred compensation expense was $5, $7, and $18, respectively.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20"/>
                <w:szCs w:val="20"/>
                <w:color w:val="auto"/>
              </w:rPr>
            </w:pPr>
            <w:r>
              <w:rPr>
                <w:rFonts w:ascii="Arial" w:cs="Arial" w:eastAsia="Arial" w:hAnsi="Arial"/>
                <w:sz w:val="13"/>
                <w:szCs w:val="13"/>
                <w:color w:val="auto"/>
              </w:rPr>
              <w:t>The net cash surrender value of the related life insurance policies and deferred compensation liability are detailed below:</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June 30, 2023</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June 30, 2022</w:t>
            </w: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surrender value of life insurance, related to deferred compensation</w:t>
            </w:r>
          </w:p>
        </w:tc>
        <w:tc>
          <w:tcPr>
            <w:tcW w:w="1300" w:type="dxa"/>
            <w:vAlign w:val="bottom"/>
            <w:shd w:val="clear" w:color="auto" w:fill="CCEEFF"/>
          </w:tcPr>
          <w:p>
            <w:pPr>
              <w:jc w:val="right"/>
              <w:ind w:right="115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r>
      <w:tr>
        <w:trPr>
          <w:trHeight w:val="165"/>
        </w:trPr>
        <w:tc>
          <w:tcPr>
            <w:tcW w:w="7840" w:type="dxa"/>
            <w:vAlign w:val="bottom"/>
          </w:tcPr>
          <w:p>
            <w:pPr>
              <w:ind w:left="20"/>
              <w:spacing w:after="0"/>
              <w:rPr>
                <w:sz w:val="20"/>
                <w:szCs w:val="20"/>
                <w:color w:val="auto"/>
              </w:rPr>
            </w:pPr>
            <w:r>
              <w:rPr>
                <w:rFonts w:ascii="Arial" w:cs="Arial" w:eastAsia="Arial" w:hAnsi="Arial"/>
                <w:sz w:val="13"/>
                <w:szCs w:val="13"/>
                <w:color w:val="auto"/>
              </w:rPr>
              <w:t>Deferred compensation liability, included in other liabilities</w:t>
            </w:r>
          </w:p>
        </w:tc>
        <w:tc>
          <w:tcPr>
            <w:tcW w:w="1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430</w:t>
            </w:r>
          </w:p>
        </w:tc>
      </w:tr>
    </w:tbl>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Long term deferred compensation and supplemental retirement plans are provided to certain key current and former officers. These plans are unfunded and are not qualified under the IRC. The benefits will vary by participant and are payable to a designated beneficiary in the event of death. Plan expenses for the years ended June 30, 2023, 2022, and 2021 were $581, $616, and $653, respectively. Total accrued expenses related to these plans included in other liabilities were $16,749 and $17,048 as of June 30, 2023 and 2022, respectively.</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addition, the Company has a deferred compensation plan provided to certain former officers and directors. The plan allows the participants to defer any of their annual compensation, including bonus payments, up to the maximum allowed for each participant. The plan is unfunded and is not qualified under the IRC. Plan expenses for the years ended June 30, 2023, 2022, and 2021 were $208, $150, and $164, respectively. The total deferred compensation plan payable included in other liabilities was $4,299 and $4,435 as of June 30, 2023 and 2022, respectively.</w:t>
      </w:r>
    </w:p>
    <w:p>
      <w:pPr>
        <w:spacing w:after="0" w:line="91" w:lineRule="exact"/>
        <w:rPr>
          <w:sz w:val="20"/>
          <w:szCs w:val="20"/>
          <w:color w:val="auto"/>
        </w:rPr>
      </w:pPr>
    </w:p>
    <w:p>
      <w:pPr>
        <w:ind w:left="200" w:hanging="195"/>
        <w:spacing w:after="0"/>
        <w:tabs>
          <w:tab w:leader="none" w:pos="2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Equity Incentive Plan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presents share-based compensation expense and the estimated related tax benefit for stock options and restricted stock for the dates indicated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4"/>
              </w:rPr>
              <w:t>Year Ended June 30,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0"/>
        </w:trPr>
        <w:tc>
          <w:tcPr>
            <w:tcW w:w="76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r>
      <w:tr>
        <w:trPr>
          <w:trHeight w:val="163"/>
        </w:trPr>
        <w:tc>
          <w:tcPr>
            <w:tcW w:w="76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Share-based compensation expense</w:t>
            </w: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1,854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w:t>
            </w:r>
          </w:p>
        </w:tc>
      </w:tr>
      <w:tr>
        <w:trPr>
          <w:trHeight w:val="165"/>
        </w:trPr>
        <w:tc>
          <w:tcPr>
            <w:tcW w:w="7660" w:type="dxa"/>
            <w:vAlign w:val="bottom"/>
          </w:tcPr>
          <w:p>
            <w:pPr>
              <w:ind w:left="20"/>
              <w:spacing w:after="0"/>
              <w:rPr>
                <w:sz w:val="20"/>
                <w:szCs w:val="20"/>
                <w:color w:val="auto"/>
              </w:rPr>
            </w:pPr>
            <w:r>
              <w:rPr>
                <w:rFonts w:ascii="Arial" w:cs="Arial" w:eastAsia="Arial" w:hAnsi="Arial"/>
                <w:sz w:val="13"/>
                <w:szCs w:val="13"/>
                <w:color w:val="auto"/>
              </w:rPr>
              <w:t>Tax benefit</w:t>
            </w:r>
          </w:p>
        </w:tc>
        <w:tc>
          <w:tcPr>
            <w:tcW w:w="7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494</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tcPr>
          <w:p>
            <w:pPr>
              <w:spacing w:after="0"/>
              <w:rPr>
                <w:sz w:val="20"/>
                <w:szCs w:val="20"/>
                <w:color w:val="auto"/>
              </w:rPr>
            </w:pPr>
            <w:r>
              <w:rPr>
                <w:rFonts w:ascii="Arial" w:cs="Arial" w:eastAsia="Arial" w:hAnsi="Arial"/>
                <w:sz w:val="13"/>
                <w:szCs w:val="13"/>
                <w:color w:val="auto"/>
                <w:w w:val="92"/>
              </w:rPr>
              <w:t>The table below presents stock option activity and related information for the periods indicated below:</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left="296"/>
              <w:spacing w:after="0"/>
              <w:rPr>
                <w:sz w:val="20"/>
                <w:szCs w:val="20"/>
                <w:color w:val="auto"/>
              </w:rPr>
            </w:pPr>
            <w:r>
              <w:rPr>
                <w:rFonts w:ascii="Arial" w:cs="Arial" w:eastAsia="Arial" w:hAnsi="Arial"/>
                <w:sz w:val="13"/>
                <w:szCs w:val="13"/>
                <w:b w:val="1"/>
                <w:bCs w:val="1"/>
                <w:color w:val="auto"/>
                <w:w w:val="89"/>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left="216"/>
              <w:spacing w:after="0"/>
              <w:rPr>
                <w:sz w:val="20"/>
                <w:szCs w:val="20"/>
                <w:color w:val="auto"/>
              </w:rPr>
            </w:pPr>
            <w:r>
              <w:rPr>
                <w:rFonts w:ascii="Arial" w:cs="Arial" w:eastAsia="Arial" w:hAnsi="Arial"/>
                <w:sz w:val="13"/>
                <w:szCs w:val="13"/>
                <w:b w:val="1"/>
                <w:bCs w:val="1"/>
                <w:color w:val="auto"/>
                <w:w w:val="87"/>
              </w:rPr>
              <w:t>Remaining</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center"/>
              <w:ind w:right="316"/>
              <w:spacing w:after="0"/>
              <w:rPr>
                <w:sz w:val="20"/>
                <w:szCs w:val="20"/>
                <w:color w:val="auto"/>
              </w:rPr>
            </w:pPr>
            <w:r>
              <w:rPr>
                <w:rFonts w:ascii="Arial" w:cs="Arial" w:eastAsia="Arial" w:hAnsi="Arial"/>
                <w:sz w:val="13"/>
                <w:szCs w:val="13"/>
                <w:b w:val="1"/>
                <w:bCs w:val="1"/>
                <w:color w:val="auto"/>
                <w:w w:val="83"/>
              </w:rPr>
              <w:t>Aggregate</w:t>
            </w: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Arial" w:cs="Arial" w:eastAsia="Arial" w:hAnsi="Arial"/>
                <w:sz w:val="13"/>
                <w:szCs w:val="13"/>
                <w:b w:val="1"/>
                <w:bCs w:val="1"/>
                <w:color w:val="auto"/>
                <w:w w:val="89"/>
              </w:rPr>
              <w:t>Options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left="296"/>
              <w:spacing w:after="0" w:line="128" w:lineRule="exact"/>
              <w:rPr>
                <w:sz w:val="20"/>
                <w:szCs w:val="20"/>
                <w:color w:val="auto"/>
              </w:rPr>
            </w:pPr>
            <w:r>
              <w:rPr>
                <w:rFonts w:ascii="Arial" w:cs="Arial" w:eastAsia="Arial" w:hAnsi="Arial"/>
                <w:sz w:val="13"/>
                <w:szCs w:val="13"/>
                <w:b w:val="1"/>
                <w:bCs w:val="1"/>
                <w:color w:val="auto"/>
                <w:w w:val="85"/>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left="216"/>
              <w:spacing w:after="0" w:line="128" w:lineRule="exact"/>
              <w:rPr>
                <w:sz w:val="20"/>
                <w:szCs w:val="20"/>
                <w:color w:val="auto"/>
              </w:rPr>
            </w:pPr>
            <w:r>
              <w:rPr>
                <w:rFonts w:ascii="Arial" w:cs="Arial" w:eastAsia="Arial" w:hAnsi="Arial"/>
                <w:sz w:val="13"/>
                <w:szCs w:val="13"/>
                <w:b w:val="1"/>
                <w:bCs w:val="1"/>
                <w:color w:val="auto"/>
                <w:w w:val="90"/>
              </w:rPr>
              <w:t>Contractual Life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jc w:val="center"/>
              <w:ind w:right="316"/>
              <w:spacing w:after="0" w:line="128"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3"/>
                <w:szCs w:val="13"/>
                <w:b w:val="1"/>
                <w:bCs w:val="1"/>
                <w:color w:val="auto"/>
                <w:w w:val="87"/>
              </w:rPr>
              <w:t>Exercise Price</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6"/>
              </w:rPr>
              <w:t>(Years)</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16"/>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Options outstanding at June 30, 2021</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1,319,456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19.07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11,657</w:t>
            </w:r>
          </w:p>
        </w:tc>
        <w:tc>
          <w:tcPr>
            <w:tcW w:w="0" w:type="dxa"/>
            <w:vAlign w:val="bottom"/>
          </w:tcPr>
          <w:p>
            <w:pPr>
              <w:spacing w:after="0"/>
              <w:rPr>
                <w:sz w:val="1"/>
                <w:szCs w:val="1"/>
                <w:color w:val="auto"/>
              </w:rPr>
            </w:pPr>
          </w:p>
        </w:tc>
      </w:tr>
      <w:tr>
        <w:trPr>
          <w:trHeight w:val="168"/>
        </w:trPr>
        <w:tc>
          <w:tcPr>
            <w:tcW w:w="5420" w:type="dxa"/>
            <w:vAlign w:val="bottom"/>
            <w:gridSpan w:val="2"/>
          </w:tcPr>
          <w:p>
            <w:pPr>
              <w:ind w:left="80"/>
              <w:spacing w:after="0"/>
              <w:rPr>
                <w:sz w:val="20"/>
                <w:szCs w:val="20"/>
                <w:color w:val="auto"/>
              </w:rPr>
            </w:pPr>
            <w:r>
              <w:rPr>
                <w:rFonts w:ascii="Arial" w:cs="Arial" w:eastAsia="Arial" w:hAnsi="Arial"/>
                <w:sz w:val="13"/>
                <w:szCs w:val="13"/>
                <w:color w:val="auto"/>
              </w:rPr>
              <w:t>Granted</w:t>
            </w:r>
          </w:p>
        </w:tc>
        <w:tc>
          <w:tcPr>
            <w:tcW w:w="580" w:type="dxa"/>
            <w:vAlign w:val="bottom"/>
          </w:tcPr>
          <w:p>
            <w:pPr>
              <w:jc w:val="right"/>
              <w:spacing w:after="0"/>
              <w:rPr>
                <w:sz w:val="20"/>
                <w:szCs w:val="20"/>
                <w:color w:val="auto"/>
              </w:rPr>
            </w:pPr>
            <w:r>
              <w:rPr>
                <w:rFonts w:ascii="Arial" w:cs="Arial" w:eastAsia="Arial" w:hAnsi="Arial"/>
                <w:sz w:val="13"/>
                <w:szCs w:val="13"/>
                <w:color w:val="auto"/>
              </w:rPr>
              <w:t>47,850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30.90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(413,636)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14.70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Forfeited</w:t>
            </w: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(24,800)</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23.96</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Options outstanding at June 30, 2022</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928,870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21.49</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Exercisable at June 30, 2022</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756,720</w:t>
            </w:r>
          </w:p>
        </w:tc>
        <w:tc>
          <w:tcPr>
            <w:tcW w:w="100" w:type="dxa"/>
            <w:vAlign w:val="bottom"/>
          </w:tcPr>
          <w:p>
            <w:pPr>
              <w:spacing w:after="0"/>
              <w:rPr>
                <w:sz w:val="11"/>
                <w:szCs w:val="11"/>
                <w:color w:val="auto"/>
              </w:rPr>
            </w:pPr>
          </w:p>
        </w:tc>
        <w:tc>
          <w:tcPr>
            <w:tcW w:w="1160" w:type="dxa"/>
            <w:vAlign w:val="bottom"/>
          </w:tcPr>
          <w:p>
            <w:pPr>
              <w:jc w:val="right"/>
              <w:ind w:right="1016"/>
              <w:spacing w:after="0" w:line="133"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3"/>
                <w:szCs w:val="13"/>
                <w:color w:val="auto"/>
                <w:w w:val="92"/>
              </w:rPr>
              <w:t>20.24</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1"/>
                <w:szCs w:val="11"/>
                <w:color w:val="auto"/>
              </w:rPr>
            </w:pPr>
          </w:p>
        </w:tc>
        <w:tc>
          <w:tcPr>
            <w:tcW w:w="380" w:type="dxa"/>
            <w:vAlign w:val="bottom"/>
          </w:tcPr>
          <w:p>
            <w:pPr>
              <w:jc w:val="right"/>
              <w:ind w:right="236"/>
              <w:spacing w:after="0" w:line="133" w:lineRule="exact"/>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line="133" w:lineRule="exact"/>
              <w:rPr>
                <w:sz w:val="20"/>
                <w:szCs w:val="20"/>
                <w:color w:val="auto"/>
              </w:rPr>
            </w:pPr>
            <w:r>
              <w:rPr>
                <w:rFonts w:ascii="Arial" w:cs="Arial" w:eastAsia="Arial" w:hAnsi="Arial"/>
                <w:sz w:val="13"/>
                <w:szCs w:val="13"/>
                <w:color w:val="auto"/>
              </w:rPr>
              <w:t>3,971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Non-vested at June 30, 2022</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172,150</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26.96</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20" w:type="dxa"/>
            <w:vAlign w:val="bottom"/>
            <w:gridSpan w:val="2"/>
          </w:tcPr>
          <w:p>
            <w:pPr>
              <w:ind w:left="20"/>
              <w:spacing w:after="0"/>
              <w:rPr>
                <w:sz w:val="20"/>
                <w:szCs w:val="20"/>
                <w:color w:val="auto"/>
              </w:rPr>
            </w:pPr>
            <w:r>
              <w:rPr>
                <w:rFonts w:ascii="Arial" w:cs="Arial" w:eastAsia="Arial" w:hAnsi="Arial"/>
                <w:sz w:val="13"/>
                <w:szCs w:val="13"/>
                <w:b w:val="1"/>
                <w:bCs w:val="1"/>
                <w:color w:val="auto"/>
              </w:rPr>
              <w:t>Options outstanding at June 30, 2022</w:t>
            </w:r>
          </w:p>
        </w:tc>
        <w:tc>
          <w:tcPr>
            <w:tcW w:w="580" w:type="dxa"/>
            <w:vAlign w:val="bottom"/>
          </w:tcPr>
          <w:p>
            <w:pPr>
              <w:jc w:val="right"/>
              <w:spacing w:after="0"/>
              <w:rPr>
                <w:sz w:val="20"/>
                <w:szCs w:val="20"/>
                <w:color w:val="auto"/>
              </w:rPr>
            </w:pPr>
            <w:r>
              <w:rPr>
                <w:rFonts w:ascii="Arial" w:cs="Arial" w:eastAsia="Arial" w:hAnsi="Arial"/>
                <w:sz w:val="13"/>
                <w:szCs w:val="13"/>
                <w:color w:val="auto"/>
              </w:rPr>
              <w:t>928,870</w:t>
            </w:r>
          </w:p>
        </w:tc>
        <w:tc>
          <w:tcPr>
            <w:tcW w:w="100" w:type="dxa"/>
            <w:vAlign w:val="bottom"/>
          </w:tcPr>
          <w:p>
            <w:pPr>
              <w:spacing w:after="0"/>
              <w:rPr>
                <w:sz w:val="13"/>
                <w:szCs w:val="13"/>
                <w:color w:val="auto"/>
              </w:rPr>
            </w:pPr>
          </w:p>
        </w:tc>
        <w:tc>
          <w:tcPr>
            <w:tcW w:w="1160" w:type="dxa"/>
            <w:vAlign w:val="bottom"/>
          </w:tcPr>
          <w:p>
            <w:pPr>
              <w:jc w:val="right"/>
              <w:ind w:right="1016"/>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21.49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4,036</w:t>
            </w:r>
          </w:p>
        </w:tc>
        <w:tc>
          <w:tcPr>
            <w:tcW w:w="0" w:type="dxa"/>
            <w:vAlign w:val="bottom"/>
          </w:tcPr>
          <w:p>
            <w:pPr>
              <w:spacing w:after="0"/>
              <w:rPr>
                <w:sz w:val="1"/>
                <w:szCs w:val="1"/>
                <w:color w:val="auto"/>
              </w:rPr>
            </w:pPr>
          </w:p>
        </w:tc>
      </w:tr>
      <w:tr>
        <w:trPr>
          <w:trHeight w:val="172"/>
        </w:trPr>
        <w:tc>
          <w:tcPr>
            <w:tcW w:w="54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Granted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24.07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gridSpan w:val="2"/>
          </w:tcPr>
          <w:p>
            <w:pPr>
              <w:ind w:left="80"/>
              <w:spacing w:after="0"/>
              <w:rPr>
                <w:sz w:val="20"/>
                <w:szCs w:val="20"/>
                <w:color w:val="auto"/>
              </w:rPr>
            </w:pPr>
            <w:r>
              <w:rPr>
                <w:rFonts w:ascii="Arial" w:cs="Arial" w:eastAsia="Arial" w:hAnsi="Arial"/>
                <w:sz w:val="13"/>
                <w:szCs w:val="13"/>
                <w:color w:val="auto"/>
              </w:rPr>
              <w:t>Exercised</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(352,096)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14.59</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Forfeited</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25.47</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20" w:type="dxa"/>
            <w:vAlign w:val="bottom"/>
            <w:gridSpan w:val="2"/>
          </w:tcPr>
          <w:p>
            <w:pPr>
              <w:ind w:left="140"/>
              <w:spacing w:after="0"/>
              <w:rPr>
                <w:sz w:val="20"/>
                <w:szCs w:val="20"/>
                <w:color w:val="auto"/>
              </w:rPr>
            </w:pPr>
            <w:r>
              <w:rPr>
                <w:rFonts w:ascii="Arial" w:cs="Arial" w:eastAsia="Arial" w:hAnsi="Arial"/>
                <w:sz w:val="13"/>
                <w:szCs w:val="13"/>
                <w:b w:val="1"/>
                <w:bCs w:val="1"/>
                <w:color w:val="auto"/>
              </w:rPr>
              <w:t>Options outstanding at June 30, 2023</w:t>
            </w:r>
          </w:p>
        </w:tc>
        <w:tc>
          <w:tcPr>
            <w:tcW w:w="580" w:type="dxa"/>
            <w:vAlign w:val="bottom"/>
          </w:tcPr>
          <w:p>
            <w:pPr>
              <w:jc w:val="right"/>
              <w:spacing w:after="0"/>
              <w:rPr>
                <w:sz w:val="20"/>
                <w:szCs w:val="20"/>
                <w:color w:val="auto"/>
              </w:rPr>
            </w:pPr>
            <w:r>
              <w:rPr>
                <w:rFonts w:ascii="Arial" w:cs="Arial" w:eastAsia="Arial" w:hAnsi="Arial"/>
                <w:sz w:val="13"/>
                <w:szCs w:val="13"/>
                <w:color w:val="auto"/>
              </w:rPr>
              <w:t>569,224</w:t>
            </w:r>
          </w:p>
        </w:tc>
        <w:tc>
          <w:tcPr>
            <w:tcW w:w="100" w:type="dxa"/>
            <w:vAlign w:val="bottom"/>
          </w:tcPr>
          <w:p>
            <w:pPr>
              <w:spacing w:after="0"/>
              <w:rPr>
                <w:sz w:val="14"/>
                <w:szCs w:val="14"/>
                <w:color w:val="auto"/>
              </w:rPr>
            </w:pPr>
          </w:p>
        </w:tc>
        <w:tc>
          <w:tcPr>
            <w:tcW w:w="1160" w:type="dxa"/>
            <w:vAlign w:val="bottom"/>
          </w:tcPr>
          <w:p>
            <w:pPr>
              <w:jc w:val="right"/>
              <w:ind w:right="1016"/>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25.69</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Exercisable at June 30, 2023</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493,264</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25.40</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Non-vested at June 30, 2023</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75,960</w:t>
            </w:r>
          </w:p>
        </w:tc>
        <w:tc>
          <w:tcPr>
            <w:tcW w:w="100" w:type="dxa"/>
            <w:vAlign w:val="bottom"/>
          </w:tcPr>
          <w:p>
            <w:pPr>
              <w:spacing w:after="0"/>
              <w:rPr>
                <w:sz w:val="11"/>
                <w:szCs w:val="11"/>
                <w:color w:val="auto"/>
              </w:rPr>
            </w:pPr>
          </w:p>
        </w:tc>
        <w:tc>
          <w:tcPr>
            <w:tcW w:w="1160" w:type="dxa"/>
            <w:vAlign w:val="bottom"/>
          </w:tcPr>
          <w:p>
            <w:pPr>
              <w:jc w:val="right"/>
              <w:ind w:right="1016"/>
              <w:spacing w:after="0" w:line="133"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3"/>
                <w:szCs w:val="13"/>
                <w:color w:val="auto"/>
                <w:w w:val="92"/>
              </w:rPr>
              <w:t>27.56</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7.9</w:t>
            </w:r>
          </w:p>
        </w:tc>
        <w:tc>
          <w:tcPr>
            <w:tcW w:w="100" w:type="dxa"/>
            <w:vAlign w:val="bottom"/>
          </w:tcPr>
          <w:p>
            <w:pPr>
              <w:spacing w:after="0"/>
              <w:rPr>
                <w:sz w:val="11"/>
                <w:szCs w:val="11"/>
                <w:color w:val="auto"/>
              </w:rPr>
            </w:pPr>
          </w:p>
        </w:tc>
        <w:tc>
          <w:tcPr>
            <w:tcW w:w="380" w:type="dxa"/>
            <w:vAlign w:val="bottom"/>
          </w:tcPr>
          <w:p>
            <w:pPr>
              <w:jc w:val="right"/>
              <w:ind w:right="236"/>
              <w:spacing w:after="0" w:line="133" w:lineRule="exact"/>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00" w:type="dxa"/>
            <w:vAlign w:val="bottom"/>
            <w:gridSpan w:val="4"/>
          </w:tcPr>
          <w:p>
            <w:pPr>
              <w:spacing w:after="0"/>
              <w:rPr>
                <w:sz w:val="20"/>
                <w:szCs w:val="20"/>
                <w:color w:val="auto"/>
              </w:rPr>
            </w:pPr>
            <w:r>
              <w:rPr>
                <w:rFonts w:ascii="Arial" w:cs="Arial" w:eastAsia="Arial" w:hAnsi="Arial"/>
                <w:sz w:val="13"/>
                <w:szCs w:val="13"/>
                <w:color w:val="auto"/>
                <w:w w:val="97"/>
              </w:rPr>
              <w:t>Assumptions used in estimating the fair value of option granted during the periods indicated were as follows: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3"/>
                <w:szCs w:val="13"/>
                <w:b w:val="1"/>
                <w:bCs w:val="1"/>
                <w:color w:val="auto"/>
              </w:rPr>
              <w:t>Year Ended June 30,</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6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3"/>
                <w:szCs w:val="13"/>
                <w:b w:val="1"/>
                <w:bCs w:val="1"/>
                <w:color w:val="auto"/>
              </w:rPr>
              <w:t>2023</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316"/>
              <w:spacing w:after="0"/>
              <w:rPr>
                <w:sz w:val="20"/>
                <w:szCs w:val="20"/>
                <w:color w:val="auto"/>
              </w:rPr>
            </w:pPr>
            <w:r>
              <w:rPr>
                <w:rFonts w:ascii="Arial" w:cs="Arial" w:eastAsia="Arial" w:hAnsi="Arial"/>
                <w:sz w:val="13"/>
                <w:szCs w:val="13"/>
                <w:b w:val="1"/>
                <w:bCs w:val="1"/>
                <w:color w:val="auto"/>
                <w:w w:val="89"/>
              </w:rPr>
              <w:t>2022</w:t>
            </w:r>
          </w:p>
        </w:tc>
        <w:tc>
          <w:tcPr>
            <w:tcW w:w="0" w:type="dxa"/>
            <w:vAlign w:val="bottom"/>
          </w:tcPr>
          <w:p>
            <w:pPr>
              <w:spacing w:after="0"/>
              <w:rPr>
                <w:sz w:val="1"/>
                <w:szCs w:val="1"/>
                <w:color w:val="auto"/>
              </w:rPr>
            </w:pPr>
          </w:p>
        </w:tc>
      </w:tr>
      <w:tr>
        <w:trPr>
          <w:trHeight w:val="16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Weighted-average volatility</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27.79 %</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28.01 %</w:t>
            </w:r>
          </w:p>
        </w:tc>
        <w:tc>
          <w:tcPr>
            <w:tcW w:w="0" w:type="dxa"/>
            <w:vAlign w:val="bottom"/>
          </w:tcPr>
          <w:p>
            <w:pPr>
              <w:spacing w:after="0"/>
              <w:rPr>
                <w:sz w:val="1"/>
                <w:szCs w:val="1"/>
                <w:color w:val="auto"/>
              </w:rPr>
            </w:pPr>
          </w:p>
        </w:tc>
      </w:tr>
      <w:tr>
        <w:trPr>
          <w:trHeight w:val="168"/>
        </w:trPr>
        <w:tc>
          <w:tcPr>
            <w:tcW w:w="5420" w:type="dxa"/>
            <w:vAlign w:val="bottom"/>
            <w:gridSpan w:val="2"/>
          </w:tcPr>
          <w:p>
            <w:pPr>
              <w:ind w:left="20"/>
              <w:spacing w:after="0"/>
              <w:rPr>
                <w:sz w:val="20"/>
                <w:szCs w:val="20"/>
                <w:color w:val="auto"/>
              </w:rPr>
            </w:pPr>
            <w:r>
              <w:rPr>
                <w:rFonts w:ascii="Arial" w:cs="Arial" w:eastAsia="Arial" w:hAnsi="Arial"/>
                <w:sz w:val="13"/>
                <w:szCs w:val="13"/>
                <w:color w:val="auto"/>
              </w:rPr>
              <w:t>Expected dividend yield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color w:val="auto"/>
              </w:rPr>
              <w:t>1.62 %</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7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3.11 %</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2.02 %</w:t>
            </w:r>
          </w:p>
        </w:tc>
        <w:tc>
          <w:tcPr>
            <w:tcW w:w="0" w:type="dxa"/>
            <w:vAlign w:val="bottom"/>
          </w:tcPr>
          <w:p>
            <w:pPr>
              <w:spacing w:after="0"/>
              <w:rPr>
                <w:sz w:val="1"/>
                <w:szCs w:val="1"/>
                <w:color w:val="auto"/>
              </w:rPr>
            </w:pPr>
          </w:p>
        </w:tc>
      </w:tr>
      <w:tr>
        <w:trPr>
          <w:trHeight w:val="168"/>
        </w:trPr>
        <w:tc>
          <w:tcPr>
            <w:tcW w:w="5420" w:type="dxa"/>
            <w:vAlign w:val="bottom"/>
            <w:gridSpan w:val="2"/>
          </w:tcPr>
          <w:p>
            <w:pPr>
              <w:ind w:left="20"/>
              <w:spacing w:after="0"/>
              <w:rPr>
                <w:sz w:val="20"/>
                <w:szCs w:val="20"/>
                <w:color w:val="auto"/>
              </w:rPr>
            </w:pPr>
            <w:r>
              <w:rPr>
                <w:rFonts w:ascii="Arial" w:cs="Arial" w:eastAsia="Arial" w:hAnsi="Arial"/>
                <w:sz w:val="13"/>
                <w:szCs w:val="13"/>
                <w:color w:val="auto"/>
              </w:rPr>
              <w:t>Expected life (years)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116"/>
              <w:spacing w:after="0"/>
              <w:rPr>
                <w:sz w:val="20"/>
                <w:szCs w:val="20"/>
                <w:color w:val="auto"/>
              </w:rPr>
            </w:pPr>
            <w:r>
              <w:rPr>
                <w:rFonts w:ascii="Arial" w:cs="Arial" w:eastAsia="Arial" w:hAnsi="Arial"/>
                <w:sz w:val="13"/>
                <w:szCs w:val="13"/>
                <w:color w:val="auto"/>
              </w:rPr>
              <w:t>6.5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Weighted-average fair value of options granted</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4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6.77</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8.60</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At June 30, 2023, the Company had $478 of unrecognized compensation expense related to 75,960 stock options originally scheduled to vest over a five-year period. The weighted average period over which compensation cost related to non-vested awards is expected to be recognized was 1.6 years at June 30, 2023. At June 30, 2022, the Company had $954 of unrecognized compensation expense related to 172,150 stock options originally scheduled to vest over a five-year period. The weighted average period over which compensation cost related to non-vested awards is expected to be recognized was 1.6 years at June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20"/>
                <w:szCs w:val="20"/>
                <w:color w:val="auto"/>
              </w:rPr>
            </w:pPr>
            <w:r>
              <w:rPr>
                <w:rFonts w:ascii="Arial" w:cs="Arial" w:eastAsia="Arial" w:hAnsi="Arial"/>
                <w:sz w:val="13"/>
                <w:szCs w:val="13"/>
                <w:color w:val="auto"/>
                <w:w w:val="94"/>
              </w:rPr>
              <w:t>The table below presents restricted stock award activity and related information:</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Restricted</w:t>
            </w:r>
          </w:p>
        </w:tc>
        <w:tc>
          <w:tcPr>
            <w:tcW w:w="17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6"/>
              </w:rPr>
              <w:t>Performance-Based</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3" w:lineRule="exact"/>
              <w:rPr>
                <w:sz w:val="20"/>
                <w:szCs w:val="20"/>
                <w:color w:val="auto"/>
              </w:rPr>
            </w:pPr>
            <w:r>
              <w:rPr>
                <w:rFonts w:ascii="Arial" w:cs="Arial" w:eastAsia="Arial" w:hAnsi="Arial"/>
                <w:sz w:val="13"/>
                <w:szCs w:val="13"/>
                <w:b w:val="1"/>
                <w:bCs w:val="1"/>
                <w:color w:val="auto"/>
                <w:w w:val="89"/>
              </w:rPr>
              <w:t>Weighted-</w:t>
            </w:r>
          </w:p>
        </w:tc>
        <w:tc>
          <w:tcPr>
            <w:tcW w:w="320" w:type="dxa"/>
            <w:vAlign w:val="bottom"/>
          </w:tcPr>
          <w:p>
            <w:pPr>
              <w:spacing w:after="0"/>
              <w:rPr>
                <w:sz w:val="12"/>
                <w:szCs w:val="12"/>
                <w:color w:val="auto"/>
              </w:rPr>
            </w:pPr>
          </w:p>
        </w:tc>
        <w:tc>
          <w:tcPr>
            <w:tcW w:w="1340" w:type="dxa"/>
            <w:vAlign w:val="bottom"/>
          </w:tcPr>
          <w:p>
            <w:pPr>
              <w:jc w:val="center"/>
              <w:ind w:right="256"/>
              <w:spacing w:after="0" w:line="143" w:lineRule="exact"/>
              <w:rPr>
                <w:sz w:val="20"/>
                <w:szCs w:val="20"/>
                <w:color w:val="auto"/>
              </w:rPr>
            </w:pPr>
            <w:r>
              <w:rPr>
                <w:rFonts w:ascii="Arial" w:cs="Arial" w:eastAsia="Arial" w:hAnsi="Arial"/>
                <w:sz w:val="13"/>
                <w:szCs w:val="13"/>
                <w:b w:val="1"/>
                <w:bCs w:val="1"/>
                <w:color w:val="auto"/>
                <w:w w:val="83"/>
              </w:rPr>
              <w:t>Aggregate</w:t>
            </w: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760" w:type="dxa"/>
            <w:vAlign w:val="bottom"/>
            <w:gridSpan w:val="2"/>
          </w:tcPr>
          <w:p>
            <w:pPr>
              <w:jc w:val="center"/>
              <w:ind w:right="120"/>
              <w:spacing w:after="0" w:line="128" w:lineRule="exact"/>
              <w:rPr>
                <w:sz w:val="20"/>
                <w:szCs w:val="20"/>
                <w:color w:val="auto"/>
              </w:rPr>
            </w:pPr>
            <w:r>
              <w:rPr>
                <w:rFonts w:ascii="Arial" w:cs="Arial" w:eastAsia="Arial" w:hAnsi="Arial"/>
                <w:sz w:val="13"/>
                <w:szCs w:val="13"/>
                <w:b w:val="1"/>
                <w:bCs w:val="1"/>
                <w:color w:val="auto"/>
                <w:w w:val="88"/>
              </w:rPr>
              <w:t>Restricted</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28" w:lineRule="exact"/>
              <w:rPr>
                <w:sz w:val="20"/>
                <w:szCs w:val="20"/>
                <w:color w:val="auto"/>
              </w:rPr>
            </w:pPr>
            <w:r>
              <w:rPr>
                <w:rFonts w:ascii="Arial" w:cs="Arial" w:eastAsia="Arial" w:hAnsi="Arial"/>
                <w:sz w:val="13"/>
                <w:szCs w:val="13"/>
                <w:b w:val="1"/>
                <w:bCs w:val="1"/>
                <w:color w:val="auto"/>
                <w:w w:val="89"/>
              </w:rPr>
              <w:t>Average Grant</w:t>
            </w:r>
          </w:p>
        </w:tc>
        <w:tc>
          <w:tcPr>
            <w:tcW w:w="320" w:type="dxa"/>
            <w:vAlign w:val="bottom"/>
          </w:tcPr>
          <w:p>
            <w:pPr>
              <w:spacing w:after="0"/>
              <w:rPr>
                <w:sz w:val="11"/>
                <w:szCs w:val="11"/>
                <w:color w:val="auto"/>
              </w:rPr>
            </w:pPr>
          </w:p>
        </w:tc>
        <w:tc>
          <w:tcPr>
            <w:tcW w:w="1340" w:type="dxa"/>
            <w:vAlign w:val="bottom"/>
          </w:tcPr>
          <w:p>
            <w:pPr>
              <w:jc w:val="center"/>
              <w:ind w:right="256"/>
              <w:spacing w:after="0" w:line="128"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1760" w:type="dxa"/>
            <w:vAlign w:val="bottom"/>
            <w:gridSpan w:val="2"/>
          </w:tcPr>
          <w:p>
            <w:pPr>
              <w:jc w:val="center"/>
              <w:ind w:right="80"/>
              <w:spacing w:after="0" w:line="170" w:lineRule="exact"/>
              <w:rPr>
                <w:sz w:val="20"/>
                <w:szCs w:val="20"/>
                <w:color w:val="auto"/>
              </w:rPr>
            </w:pPr>
            <w:r>
              <w:rPr>
                <w:rFonts w:ascii="Arial" w:cs="Arial" w:eastAsia="Arial" w:hAnsi="Arial"/>
                <w:sz w:val="13"/>
                <w:szCs w:val="13"/>
                <w:b w:val="1"/>
                <w:bCs w:val="1"/>
                <w:color w:val="auto"/>
                <w:w w:val="84"/>
              </w:rPr>
              <w:t>Stock Awards</w:t>
            </w:r>
            <w:r>
              <w:rPr>
                <w:rFonts w:ascii="Arial" w:cs="Arial" w:eastAsia="Arial" w:hAnsi="Arial"/>
                <w:sz w:val="16"/>
                <w:szCs w:val="16"/>
                <w:b w:val="1"/>
                <w:bCs w:val="1"/>
                <w:color w:val="auto"/>
                <w:w w:val="84"/>
                <w:vertAlign w:val="superscript"/>
              </w:rPr>
              <w:t>(1)</w:t>
            </w:r>
          </w:p>
        </w:tc>
        <w:tc>
          <w:tcPr>
            <w:tcW w:w="1760" w:type="dxa"/>
            <w:vAlign w:val="bottom"/>
            <w:gridSpan w:val="2"/>
          </w:tcPr>
          <w:p>
            <w:pPr>
              <w:jc w:val="center"/>
              <w:ind w:right="100"/>
              <w:spacing w:after="0" w:line="170" w:lineRule="exact"/>
              <w:rPr>
                <w:sz w:val="20"/>
                <w:szCs w:val="20"/>
                <w:color w:val="auto"/>
              </w:rPr>
            </w:pPr>
            <w:r>
              <w:rPr>
                <w:rFonts w:ascii="Arial" w:cs="Arial" w:eastAsia="Arial" w:hAnsi="Arial"/>
                <w:sz w:val="13"/>
                <w:szCs w:val="13"/>
                <w:b w:val="1"/>
                <w:bCs w:val="1"/>
                <w:color w:val="auto"/>
                <w:w w:val="87"/>
              </w:rPr>
              <w:t>Stock Units</w:t>
            </w:r>
            <w:r>
              <w:rPr>
                <w:rFonts w:ascii="Arial" w:cs="Arial" w:eastAsia="Arial" w:hAnsi="Arial"/>
                <w:sz w:val="16"/>
                <w:szCs w:val="16"/>
                <w:b w:val="1"/>
                <w:bCs w:val="1"/>
                <w:color w:val="auto"/>
                <w:w w:val="87"/>
                <w:vertAlign w:val="superscript"/>
              </w:rPr>
              <w:t>(2)</w:t>
            </w: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Date Fair Value</w:t>
            </w:r>
          </w:p>
        </w:tc>
        <w:tc>
          <w:tcPr>
            <w:tcW w:w="320" w:type="dxa"/>
            <w:vAlign w:val="bottom"/>
          </w:tcPr>
          <w:p>
            <w:pPr>
              <w:spacing w:after="0"/>
              <w:rPr>
                <w:sz w:val="14"/>
                <w:szCs w:val="14"/>
                <w:color w:val="auto"/>
              </w:rPr>
            </w:pPr>
          </w:p>
        </w:tc>
        <w:tc>
          <w:tcPr>
            <w:tcW w:w="1340" w:type="dxa"/>
            <w:vAlign w:val="bottom"/>
          </w:tcPr>
          <w:p>
            <w:pPr>
              <w:jc w:val="center"/>
              <w:ind w:right="256"/>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Non-vested at June 30,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120,795</w:t>
            </w:r>
          </w:p>
        </w:tc>
        <w:tc>
          <w:tcPr>
            <w:tcW w:w="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30,780</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25.06</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4,229</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Arial" w:cs="Arial" w:eastAsia="Arial" w:hAnsi="Arial"/>
                <w:sz w:val="13"/>
                <w:szCs w:val="13"/>
                <w:color w:val="auto"/>
              </w:rPr>
              <w:t>Granted</w:t>
            </w:r>
          </w:p>
        </w:tc>
        <w:tc>
          <w:tcPr>
            <w:tcW w:w="1680" w:type="dxa"/>
            <w:vAlign w:val="bottom"/>
          </w:tcPr>
          <w:p>
            <w:pPr>
              <w:jc w:val="right"/>
              <w:spacing w:after="0"/>
              <w:rPr>
                <w:sz w:val="20"/>
                <w:szCs w:val="20"/>
                <w:color w:val="auto"/>
              </w:rPr>
            </w:pPr>
            <w:r>
              <w:rPr>
                <w:rFonts w:ascii="Arial" w:cs="Arial" w:eastAsia="Arial" w:hAnsi="Arial"/>
                <w:sz w:val="13"/>
                <w:szCs w:val="13"/>
                <w:color w:val="auto"/>
              </w:rPr>
              <w:t>42,123</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9,556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31.18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(46,626)</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Arial" w:cs="Arial" w:eastAsia="Arial" w:hAnsi="Arial"/>
                <w:sz w:val="13"/>
                <w:szCs w:val="13"/>
                <w:color w:val="auto"/>
              </w:rPr>
              <w:t>Forfeited</w:t>
            </w:r>
          </w:p>
        </w:tc>
        <w:tc>
          <w:tcPr>
            <w:tcW w:w="1680" w:type="dxa"/>
            <w:vAlign w:val="bottom"/>
          </w:tcPr>
          <w:p>
            <w:pPr>
              <w:jc w:val="right"/>
              <w:spacing w:after="0"/>
              <w:rPr>
                <w:sz w:val="20"/>
                <w:szCs w:val="20"/>
                <w:color w:val="auto"/>
              </w:rPr>
            </w:pPr>
            <w:r>
              <w:rPr>
                <w:rFonts w:ascii="Arial" w:cs="Arial" w:eastAsia="Arial" w:hAnsi="Arial"/>
                <w:sz w:val="13"/>
                <w:szCs w:val="13"/>
                <w:color w:val="auto"/>
              </w:rPr>
              <w:t>(13,600)</w:t>
            </w:r>
          </w:p>
        </w:tc>
        <w:tc>
          <w:tcPr>
            <w:tcW w:w="80" w:type="dxa"/>
            <w:vAlign w:val="bottom"/>
          </w:tcPr>
          <w:p>
            <w:pPr>
              <w:spacing w:after="0"/>
              <w:rPr>
                <w:sz w:val="14"/>
                <w:szCs w:val="1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Non-vested at June 30, 2022</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102,692</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33,218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2,345</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Arial" w:cs="Arial" w:eastAsia="Arial" w:hAnsi="Arial"/>
                <w:sz w:val="13"/>
                <w:szCs w:val="13"/>
                <w:color w:val="auto"/>
              </w:rPr>
              <w:t>Granted</w:t>
            </w:r>
          </w:p>
        </w:tc>
        <w:tc>
          <w:tcPr>
            <w:tcW w:w="1680" w:type="dxa"/>
            <w:vAlign w:val="bottom"/>
          </w:tcPr>
          <w:p>
            <w:pPr>
              <w:jc w:val="right"/>
              <w:spacing w:after="0"/>
              <w:rPr>
                <w:sz w:val="20"/>
                <w:szCs w:val="20"/>
                <w:color w:val="auto"/>
              </w:rPr>
            </w:pPr>
            <w:r>
              <w:rPr>
                <w:rFonts w:ascii="Arial" w:cs="Arial" w:eastAsia="Arial" w:hAnsi="Arial"/>
                <w:sz w:val="13"/>
                <w:szCs w:val="13"/>
                <w:color w:val="auto"/>
              </w:rPr>
              <w:t>57,839</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21,005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(41,590)</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(10,090)</w:t>
            </w: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Non-vested at June 30,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108,851</w:t>
            </w:r>
          </w:p>
        </w:tc>
        <w:tc>
          <w:tcPr>
            <w:tcW w:w="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37,330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8"/>
          <w:szCs w:val="8"/>
          <w:color w:val="auto"/>
        </w:rPr>
      </w:pPr>
      <w:r>
        <w:rPr>
          <w:rFonts w:ascii="Arial" w:cs="Arial" w:eastAsia="Arial" w:hAnsi="Arial"/>
          <w:sz w:val="11"/>
          <w:szCs w:val="11"/>
          <w:color w:val="auto"/>
        </w:rPr>
        <w:t>Restricted stock awards are scheduled to vest over 1.0 year for director awards and 5.0 years for employee awards.</w:t>
      </w:r>
    </w:p>
    <w:p>
      <w:pPr>
        <w:spacing w:after="0" w:line="43" w:lineRule="exact"/>
        <w:rPr>
          <w:rFonts w:ascii="Arial" w:cs="Arial" w:eastAsia="Arial" w:hAnsi="Arial"/>
          <w:sz w:val="8"/>
          <w:szCs w:val="8"/>
          <w:color w:val="auto"/>
        </w:rPr>
      </w:pPr>
    </w:p>
    <w:p>
      <w:pPr>
        <w:ind w:left="260" w:hanging="255"/>
        <w:spacing w:after="0"/>
        <w:tabs>
          <w:tab w:leader="none" w:pos="260" w:val="left"/>
        </w:tabs>
        <w:numPr>
          <w:ilvl w:val="0"/>
          <w:numId w:val="34"/>
        </w:numPr>
        <w:rPr>
          <w:rFonts w:ascii="Arial" w:cs="Arial" w:eastAsia="Arial" w:hAnsi="Arial"/>
          <w:sz w:val="8"/>
          <w:szCs w:val="8"/>
          <w:color w:val="auto"/>
        </w:rPr>
      </w:pPr>
      <w:r>
        <w:rPr>
          <w:rFonts w:ascii="Arial" w:cs="Arial" w:eastAsia="Arial" w:hAnsi="Arial"/>
          <w:sz w:val="11"/>
          <w:szCs w:val="11"/>
          <w:color w:val="auto"/>
        </w:rPr>
        <w:t>Performance-based restricted stock units are scheduled to vest over 3.0 years assuming the applicable financial goals are met.</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At June 30, 2023, unrecognized compensation expense was $3,154 related to 146,181 shares of restricted stock. The weighted average period over which compensation cost related to non-vested awards is expected to be recognized was 1.8 years at June 30, 2023. At June 30, 2022, unrecognized compensation expense was $2,771 related to 135,910 shares of restricted stock. The weighted average period over which compensation cost related to non-vested awards is expected to be recognized was 1.6 years at June 30, 2022.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p>
      <w:pPr>
        <w:ind w:left="200" w:hanging="195"/>
        <w:spacing w:after="0"/>
        <w:tabs>
          <w:tab w:leader="none" w:pos="20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Net Income per Share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reconciliation of the numerator and denominator of basic and diluted net income per share of common stock as of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Year Ended June 30,</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4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2"/>
        </w:trPr>
        <w:tc>
          <w:tcPr>
            <w:tcW w:w="7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Numerator</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44,604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35,653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15,675</w:t>
            </w:r>
          </w:p>
        </w:tc>
        <w:tc>
          <w:tcPr>
            <w:tcW w:w="0" w:type="dxa"/>
            <w:vAlign w:val="bottom"/>
          </w:tcPr>
          <w:p>
            <w:pPr>
              <w:spacing w:after="0"/>
              <w:rPr>
                <w:sz w:val="1"/>
                <w:szCs w:val="1"/>
                <w:color w:val="auto"/>
              </w:rPr>
            </w:pPr>
          </w:p>
        </w:tc>
      </w:tr>
      <w:tr>
        <w:trPr>
          <w:trHeight w:val="170"/>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Allocation of earnings to participating securities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63"/>
        </w:trPr>
        <w:tc>
          <w:tcPr>
            <w:tcW w:w="7460" w:type="dxa"/>
            <w:vAlign w:val="bottom"/>
          </w:tcPr>
          <w:p>
            <w:pPr>
              <w:ind w:left="140"/>
              <w:spacing w:after="0"/>
              <w:rPr>
                <w:sz w:val="20"/>
                <w:szCs w:val="20"/>
                <w:color w:val="auto"/>
              </w:rPr>
            </w:pPr>
            <w:r>
              <w:rPr>
                <w:rFonts w:ascii="Arial" w:cs="Arial" w:eastAsia="Arial" w:hAnsi="Arial"/>
                <w:sz w:val="13"/>
                <w:szCs w:val="13"/>
                <w:color w:val="auto"/>
              </w:rPr>
              <w:t>Numerator for basic EPS - Net income available to common stockholders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44,193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35,343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15,530</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6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Effect of dilutive securities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140"/>
              <w:spacing w:after="0"/>
              <w:rPr>
                <w:sz w:val="20"/>
                <w:szCs w:val="20"/>
                <w:color w:val="auto"/>
              </w:rPr>
            </w:pPr>
            <w:r>
              <w:rPr>
                <w:rFonts w:ascii="Arial" w:cs="Arial" w:eastAsia="Arial" w:hAnsi="Arial"/>
                <w:sz w:val="13"/>
                <w:szCs w:val="13"/>
                <w:color w:val="auto"/>
              </w:rPr>
              <w:t>Dilutive effect of participating securities</w:t>
            </w:r>
          </w:p>
        </w:tc>
        <w:tc>
          <w:tcPr>
            <w:tcW w:w="2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8"/>
        </w:trPr>
        <w:tc>
          <w:tcPr>
            <w:tcW w:w="7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Numerator for diluted EPS</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15,534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Weighted-average common shares outstanding - basic</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15,698,618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15,516,173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16,078,066</w:t>
            </w:r>
          </w:p>
        </w:tc>
        <w:tc>
          <w:tcPr>
            <w:tcW w:w="0" w:type="dxa"/>
            <w:vAlign w:val="bottom"/>
          </w:tcPr>
          <w:p>
            <w:pPr>
              <w:spacing w:after="0"/>
              <w:rPr>
                <w:sz w:val="1"/>
                <w:szCs w:val="1"/>
                <w:color w:val="auto"/>
              </w:rPr>
            </w:pPr>
          </w:p>
        </w:tc>
      </w:tr>
      <w:tr>
        <w:trPr>
          <w:trHeight w:val="168"/>
        </w:trPr>
        <w:tc>
          <w:tcPr>
            <w:tcW w:w="74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Dilutive effect of assumed exercise of stock options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294,236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417,049</w:t>
            </w:r>
          </w:p>
        </w:tc>
        <w:tc>
          <w:tcPr>
            <w:tcW w:w="0" w:type="dxa"/>
            <w:vAlign w:val="bottom"/>
          </w:tcPr>
          <w:p>
            <w:pPr>
              <w:spacing w:after="0"/>
              <w:rPr>
                <w:sz w:val="1"/>
                <w:szCs w:val="1"/>
                <w:color w:val="auto"/>
              </w:rPr>
            </w:pPr>
          </w:p>
        </w:tc>
      </w:tr>
      <w:tr>
        <w:trPr>
          <w:trHeight w:val="188"/>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Weighted-average common shares outstanding - diluted</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15,781,506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15,810,409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16,495,115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Net income per share -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460" w:type="dxa"/>
            <w:vAlign w:val="bottom"/>
            <w:vMerge w:val="continue"/>
          </w:tcPr>
          <w:p>
            <w:pPr>
              <w:spacing w:after="0"/>
              <w:rPr>
                <w:sz w:val="11"/>
                <w:szCs w:val="11"/>
                <w:color w:val="auto"/>
              </w:rPr>
            </w:pPr>
          </w:p>
        </w:tc>
        <w:tc>
          <w:tcPr>
            <w:tcW w:w="260" w:type="dxa"/>
            <w:vAlign w:val="bottom"/>
          </w:tcPr>
          <w:p>
            <w:pPr>
              <w:jc w:val="right"/>
              <w:ind w:right="116"/>
              <w:spacing w:after="0" w:line="130"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line="130" w:lineRule="exact"/>
              <w:rPr>
                <w:sz w:val="20"/>
                <w:szCs w:val="20"/>
                <w:color w:val="auto"/>
              </w:rPr>
            </w:pPr>
            <w:r>
              <w:rPr>
                <w:rFonts w:ascii="Arial" w:cs="Arial" w:eastAsia="Arial" w:hAnsi="Arial"/>
                <w:sz w:val="13"/>
                <w:szCs w:val="13"/>
                <w:color w:val="auto"/>
              </w:rPr>
              <w:t>2.82</w:t>
            </w:r>
          </w:p>
        </w:tc>
        <w:tc>
          <w:tcPr>
            <w:tcW w:w="80" w:type="dxa"/>
            <w:vAlign w:val="bottom"/>
          </w:tcPr>
          <w:p>
            <w:pPr>
              <w:spacing w:after="0"/>
              <w:rPr>
                <w:sz w:val="11"/>
                <w:szCs w:val="11"/>
                <w:color w:val="auto"/>
              </w:rPr>
            </w:pPr>
          </w:p>
        </w:tc>
        <w:tc>
          <w:tcPr>
            <w:tcW w:w="280" w:type="dxa"/>
            <w:vAlign w:val="bottom"/>
          </w:tcPr>
          <w:p>
            <w:pPr>
              <w:jc w:val="right"/>
              <w:ind w:right="136"/>
              <w:spacing w:after="0" w:line="130"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0" w:lineRule="exact"/>
              <w:rPr>
                <w:sz w:val="20"/>
                <w:szCs w:val="20"/>
                <w:color w:val="auto"/>
              </w:rPr>
            </w:pPr>
            <w:r>
              <w:rPr>
                <w:rFonts w:ascii="Arial" w:cs="Arial" w:eastAsia="Arial" w:hAnsi="Arial"/>
                <w:sz w:val="13"/>
                <w:szCs w:val="13"/>
                <w:color w:val="auto"/>
              </w:rPr>
              <w:t>2.27</w:t>
            </w:r>
          </w:p>
        </w:tc>
        <w:tc>
          <w:tcPr>
            <w:tcW w:w="100" w:type="dxa"/>
            <w:vAlign w:val="bottom"/>
          </w:tcPr>
          <w:p>
            <w:pPr>
              <w:spacing w:after="0"/>
              <w:rPr>
                <w:sz w:val="11"/>
                <w:szCs w:val="11"/>
                <w:color w:val="auto"/>
              </w:rPr>
            </w:pPr>
          </w:p>
        </w:tc>
        <w:tc>
          <w:tcPr>
            <w:tcW w:w="280" w:type="dxa"/>
            <w:vAlign w:val="bottom"/>
          </w:tcPr>
          <w:p>
            <w:pPr>
              <w:jc w:val="right"/>
              <w:ind w:right="136"/>
              <w:spacing w:after="0" w:line="130"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0" w:lineRule="exact"/>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per share - diluted</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0.94</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Potential dilutive shares are excluded from the computation of earnings per share if their effect is anti-dilutive. There were 537,524 and 96,350 stock options that were anti-dilutive as of June 30, 2023 and 2022, respectively.</w:t>
      </w:r>
    </w:p>
    <w:p>
      <w:pPr>
        <w:spacing w:after="0" w:line="90" w:lineRule="exact"/>
        <w:rPr>
          <w:sz w:val="20"/>
          <w:szCs w:val="20"/>
          <w:color w:val="auto"/>
        </w:rPr>
      </w:pPr>
    </w:p>
    <w:p>
      <w:pPr>
        <w:ind w:left="200" w:hanging="195"/>
        <w:spacing w:after="0"/>
        <w:tabs>
          <w:tab w:leader="none" w:pos="2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Commitments and Contingencies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2"/>
          <w:szCs w:val="12"/>
          <w:u w:val="single" w:color="auto"/>
          <w:color w:val="auto"/>
        </w:rPr>
        <w:t>Loan Commitments</w:t>
      </w:r>
      <w:r>
        <w:rPr>
          <w:rFonts w:ascii="Arial" w:cs="Arial" w:eastAsia="Arial" w:hAnsi="Arial"/>
          <w:sz w:val="12"/>
          <w:szCs w:val="12"/>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At June 30, 2023 and June 30, 2022, respectively, loan commitments (excluding $220,818 and $312,893 of undisbursed portions of construction loans) totaled $86,393 and $104,745 of which $45,533 and $23,159 were variable rate commitments and $40,860 and $81,586 were fixed rate commitments. The fixed rate loans had interest rates ranging from 1.74% to 11.00% at June 30, 2023 and 1.41% to 9.00% at June 30, 2022, and terms ranging from three to 30 years. Pre-approved but unused lines of credit (principally second mortgage home equity loans and overdraft protection loans) totaled $608,169 and $485,239 at June 30, 2023 and 2022, respectively. These amounts represent the Company’s exposure to credit risk, and in the opinion of management have no more than the normal lending risk that the Company commits to its borrowers.</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June 30, 2023 or June 30, 2022.</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u w:val="single" w:color="auto"/>
          <w:color w:val="auto"/>
        </w:rPr>
        <w:t>SBIC Commitments</w:t>
      </w:r>
      <w:r>
        <w:rPr>
          <w:rFonts w:ascii="Arial" w:cs="Arial" w:eastAsia="Arial" w:hAnsi="Arial"/>
          <w:sz w:val="13"/>
          <w:szCs w:val="13"/>
          <w:color w:val="auto"/>
        </w:rPr>
        <w:t xml:space="preserve"> - As of June 30, 2023, the Company had committed $24,000 across eight SBIC investments with $7,984 remaining to be drawn, while as of June 30, 2022, the Company had committed $21,000 across seven SBIC investments with $7,893 remaining to be drawn. Although the remaining capital commitments may or may not be called in the future, under the terms of the associated limited partnership agreements, the Company's exposure will not extend beyond the amount of the original commitments.</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u w:val="single" w:color="auto"/>
          <w:color w:val="auto"/>
        </w:rPr>
        <w:t>Restrictions on Cash</w:t>
      </w:r>
      <w:r>
        <w:rPr>
          <w:rFonts w:ascii="Arial" w:cs="Arial" w:eastAsia="Arial" w:hAnsi="Arial"/>
          <w:sz w:val="13"/>
          <w:szCs w:val="13"/>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4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u w:val="single" w:color="auto"/>
          <w:color w:val="auto"/>
        </w:rPr>
        <w:t>Guarantees</w:t>
      </w:r>
      <w:r>
        <w:rPr>
          <w:rFonts w:ascii="Arial" w:cs="Arial" w:eastAsia="Arial" w:hAnsi="Arial"/>
          <w:sz w:val="12"/>
          <w:szCs w:val="12"/>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June 30, 2023 and 2022 were $35,007 and $18,362, respectively. There was no liability recorded for these letters of credit at June 30, 2023 or June 30, 2022.</w:t>
      </w:r>
    </w:p>
    <w:p>
      <w:pPr>
        <w:spacing w:after="0" w:line="30" w:lineRule="exact"/>
        <w:rPr>
          <w:sz w:val="20"/>
          <w:szCs w:val="20"/>
          <w:color w:val="auto"/>
        </w:rPr>
      </w:pPr>
    </w:p>
    <w:p>
      <w:pPr>
        <w:jc w:val="both"/>
        <w:spacing w:after="0" w:line="325" w:lineRule="auto"/>
        <w:rPr>
          <w:sz w:val="20"/>
          <w:szCs w:val="20"/>
          <w:color w:val="auto"/>
        </w:rPr>
      </w:pPr>
      <w:r>
        <w:rPr>
          <w:rFonts w:ascii="Arial" w:cs="Arial" w:eastAsia="Arial" w:hAnsi="Arial"/>
          <w:sz w:val="11"/>
          <w:szCs w:val="11"/>
          <w:u w:val="single" w:color="auto"/>
          <w:color w:val="auto"/>
        </w:rPr>
        <w:t>Litigation</w:t>
      </w:r>
      <w:r>
        <w:rPr>
          <w:rFonts w:ascii="Arial" w:cs="Arial" w:eastAsia="Arial" w:hAnsi="Arial"/>
          <w:sz w:val="11"/>
          <w:szCs w:val="11"/>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Arial" w:cs="Arial" w:eastAsia="Arial" w:hAnsi="Arial"/>
          <w:sz w:val="11"/>
          <w:szCs w:val="11"/>
          <w:b w:val="1"/>
          <w:bCs w:val="1"/>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p>
      <w:pPr>
        <w:ind w:left="200" w:hanging="195"/>
        <w:spacing w:after="0"/>
        <w:tabs>
          <w:tab w:leader="none" w:pos="2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Regulatory Capital Matters</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HomeTrust Bancshares, Inc. is a bank holding company subject to regulation by the Federal Reserve. As a bank holding company, it is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are also subject to qualitative judgments by the regulators about components, risk weightings and other factors.</w:t>
      </w:r>
    </w:p>
    <w:p>
      <w:pPr>
        <w:spacing w:after="0" w:line="46" w:lineRule="exact"/>
        <w:rPr>
          <w:sz w:val="20"/>
          <w:szCs w:val="20"/>
          <w:color w:val="auto"/>
        </w:rPr>
      </w:pPr>
    </w:p>
    <w:p>
      <w:pPr>
        <w:jc w:val="both"/>
        <w:spacing w:after="0" w:line="348" w:lineRule="auto"/>
        <w:rPr>
          <w:sz w:val="20"/>
          <w:szCs w:val="20"/>
          <w:color w:val="auto"/>
        </w:rPr>
      </w:pPr>
      <w:r>
        <w:rPr>
          <w:rFonts w:ascii="Arial" w:cs="Arial" w:eastAsia="Arial" w:hAnsi="Arial"/>
          <w:sz w:val="11"/>
          <w:szCs w:val="11"/>
          <w:color w:val="auto"/>
        </w:rPr>
        <w:t>At June 30, 2023,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June 30, 2023 under applicable regulatory requirements.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HomeTrust Bancshares, Inc. and the Bank's actual and required minimum capital amounts and ratios are as follows: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440"/>
              <w:spacing w:after="0"/>
              <w:rPr>
                <w:sz w:val="20"/>
                <w:szCs w:val="20"/>
                <w:color w:val="auto"/>
              </w:rPr>
            </w:pPr>
            <w:r>
              <w:rPr>
                <w:rFonts w:ascii="Arial" w:cs="Arial" w:eastAsia="Arial" w:hAnsi="Arial"/>
                <w:sz w:val="13"/>
                <w:szCs w:val="13"/>
                <w:b w:val="1"/>
                <w:bCs w:val="1"/>
                <w:color w:val="auto"/>
              </w:rPr>
              <w:t>Regulatory Requirements</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ind w:left="720"/>
              <w:spacing w:after="0"/>
              <w:rPr>
                <w:sz w:val="20"/>
                <w:szCs w:val="20"/>
                <w:color w:val="auto"/>
              </w:rPr>
            </w:pPr>
            <w:r>
              <w:rPr>
                <w:rFonts w:ascii="Arial" w:cs="Arial" w:eastAsia="Arial" w:hAnsi="Arial"/>
                <w:sz w:val="13"/>
                <w:szCs w:val="13"/>
                <w:b w:val="1"/>
                <w:bCs w:val="1"/>
                <w:color w:val="auto"/>
              </w:rPr>
              <w:t>Actual</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gridSpan w:val="4"/>
          </w:tcPr>
          <w:p>
            <w:pPr>
              <w:ind w:left="340"/>
              <w:spacing w:after="0" w:line="120" w:lineRule="exact"/>
              <w:rPr>
                <w:sz w:val="20"/>
                <w:szCs w:val="20"/>
                <w:color w:val="auto"/>
              </w:rPr>
            </w:pPr>
            <w:r>
              <w:rPr>
                <w:rFonts w:ascii="Arial" w:cs="Arial" w:eastAsia="Arial" w:hAnsi="Arial"/>
                <w:sz w:val="13"/>
                <w:szCs w:val="13"/>
                <w:b w:val="1"/>
                <w:bCs w:val="1"/>
                <w:color w:val="auto"/>
              </w:rPr>
              <w:t>Minimum for Capital</w:t>
            </w:r>
          </w:p>
        </w:tc>
        <w:tc>
          <w:tcPr>
            <w:tcW w:w="180" w:type="dxa"/>
            <w:vAlign w:val="bottom"/>
          </w:tcPr>
          <w:p>
            <w:pPr>
              <w:spacing w:after="0"/>
              <w:rPr>
                <w:sz w:val="10"/>
                <w:szCs w:val="10"/>
                <w:color w:val="auto"/>
              </w:rPr>
            </w:pPr>
          </w:p>
        </w:tc>
        <w:tc>
          <w:tcPr>
            <w:tcW w:w="1380" w:type="dxa"/>
            <w:vAlign w:val="bottom"/>
            <w:gridSpan w:val="3"/>
          </w:tcPr>
          <w:p>
            <w:pPr>
              <w:ind w:left="520"/>
              <w:spacing w:after="0" w:line="120" w:lineRule="exact"/>
              <w:rPr>
                <w:sz w:val="20"/>
                <w:szCs w:val="20"/>
                <w:color w:val="auto"/>
              </w:rPr>
            </w:pPr>
            <w:r>
              <w:rPr>
                <w:rFonts w:ascii="Arial" w:cs="Arial" w:eastAsia="Arial" w:hAnsi="Arial"/>
                <w:sz w:val="13"/>
                <w:szCs w:val="13"/>
                <w:b w:val="1"/>
                <w:bCs w:val="1"/>
                <w:color w:val="auto"/>
                <w:w w:val="90"/>
              </w:rPr>
              <w:t>Minimum to Be</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Adequacy Purposes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3"/>
                <w:szCs w:val="13"/>
                <w:b w:val="1"/>
                <w:bCs w:val="1"/>
                <w:color w:val="auto"/>
              </w:rPr>
              <w:t>Well Capitalized</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180" w:type="dxa"/>
            <w:vAlign w:val="bottom"/>
            <w:gridSpan w:val="2"/>
          </w:tcPr>
          <w:p>
            <w:pPr>
              <w:ind w:left="380"/>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Arial" w:cs="Arial" w:eastAsia="Arial" w:hAnsi="Arial"/>
                <w:sz w:val="13"/>
                <w:szCs w:val="13"/>
                <w:b w:val="1"/>
                <w:bCs w:val="1"/>
                <w:color w:val="auto"/>
              </w:rPr>
              <w:t>Amount</w:t>
            </w:r>
          </w:p>
        </w:tc>
        <w:tc>
          <w:tcPr>
            <w:tcW w:w="700" w:type="dxa"/>
            <w:vAlign w:val="bottom"/>
          </w:tcPr>
          <w:p>
            <w:pPr>
              <w:jc w:val="right"/>
              <w:ind w:right="336"/>
              <w:spacing w:after="0"/>
              <w:rPr>
                <w:sz w:val="20"/>
                <w:szCs w:val="20"/>
                <w:color w:val="auto"/>
              </w:rPr>
            </w:pPr>
            <w:r>
              <w:rPr>
                <w:rFonts w:ascii="Arial" w:cs="Arial" w:eastAsia="Arial" w:hAnsi="Arial"/>
                <w:sz w:val="13"/>
                <w:szCs w:val="13"/>
                <w:b w:val="1"/>
                <w:bCs w:val="1"/>
                <w:color w:val="auto"/>
                <w:w w:val="86"/>
              </w:rPr>
              <w:t>Ratio</w:t>
            </w: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HomeTrust Bancshares, Inc.</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June 30, 2023</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CET1 Capital (to risk-weighted assets)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2"/>
              </w:rPr>
              <w:t>10.60 %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185,794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268,370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40" w:type="dxa"/>
            <w:vAlign w:val="bottom"/>
          </w:tcPr>
          <w:p>
            <w:pPr>
              <w:ind w:left="140"/>
              <w:spacing w:after="0"/>
              <w:rPr>
                <w:sz w:val="20"/>
                <w:szCs w:val="20"/>
                <w:color w:val="auto"/>
              </w:rPr>
            </w:pPr>
            <w:r>
              <w:rPr>
                <w:rFonts w:ascii="Arial" w:cs="Arial" w:eastAsia="Arial" w:hAnsi="Arial"/>
                <w:sz w:val="13"/>
                <w:szCs w:val="13"/>
                <w:color w:val="auto"/>
              </w:rPr>
              <w:t>Tier 1 Capital (to total adjusted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447,738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3"/>
                <w:szCs w:val="13"/>
                <w:color w:val="auto"/>
              </w:rPr>
              <w:t>10.39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172,328</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215,411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447,738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10.84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247,726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330,301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5"/>
        </w:trPr>
        <w:tc>
          <w:tcPr>
            <w:tcW w:w="4440" w:type="dxa"/>
            <w:vAlign w:val="bottom"/>
          </w:tcPr>
          <w:p>
            <w:pPr>
              <w:ind w:left="140"/>
              <w:spacing w:after="0"/>
              <w:rPr>
                <w:sz w:val="20"/>
                <w:szCs w:val="20"/>
                <w:color w:val="auto"/>
              </w:rPr>
            </w:pPr>
            <w:r>
              <w:rPr>
                <w:rFonts w:ascii="Arial" w:cs="Arial" w:eastAsia="Arial" w:hAnsi="Arial"/>
                <w:sz w:val="13"/>
                <w:szCs w:val="13"/>
                <w:color w:val="auto"/>
              </w:rPr>
              <w:t>Total Risk-based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487,298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3"/>
                <w:szCs w:val="13"/>
                <w:color w:val="auto"/>
              </w:rPr>
              <w:t>11.80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330,301</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412,876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57"/>
        </w:trPr>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June 30, 2022</w:t>
            </w:r>
          </w:p>
        </w:tc>
        <w:tc>
          <w:tcPr>
            <w:tcW w:w="1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CET1 Capital (to risk-weighted assets)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2"/>
              </w:rPr>
              <w:t>10.76 %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155,844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40" w:type="dxa"/>
            <w:vAlign w:val="bottom"/>
          </w:tcPr>
          <w:p>
            <w:pPr>
              <w:ind w:left="140"/>
              <w:spacing w:after="0"/>
              <w:rPr>
                <w:sz w:val="20"/>
                <w:szCs w:val="20"/>
                <w:color w:val="auto"/>
              </w:rPr>
            </w:pPr>
            <w:r>
              <w:rPr>
                <w:rFonts w:ascii="Arial" w:cs="Arial" w:eastAsia="Arial" w:hAnsi="Arial"/>
                <w:sz w:val="13"/>
                <w:szCs w:val="13"/>
                <w:color w:val="auto"/>
              </w:rPr>
              <w:t>Tier 1 Capital (to total adjusted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372,797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3"/>
                <w:szCs w:val="13"/>
                <w:color w:val="auto"/>
              </w:rPr>
              <w:t>10.50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142,028</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177,535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10.76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207,792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5"/>
        </w:trPr>
        <w:tc>
          <w:tcPr>
            <w:tcW w:w="4440" w:type="dxa"/>
            <w:vAlign w:val="bottom"/>
          </w:tcPr>
          <w:p>
            <w:pPr>
              <w:ind w:left="140"/>
              <w:spacing w:after="0"/>
              <w:rPr>
                <w:sz w:val="20"/>
                <w:szCs w:val="20"/>
                <w:color w:val="auto"/>
              </w:rPr>
            </w:pPr>
            <w:r>
              <w:rPr>
                <w:rFonts w:ascii="Arial" w:cs="Arial" w:eastAsia="Arial" w:hAnsi="Arial"/>
                <w:sz w:val="13"/>
                <w:szCs w:val="13"/>
                <w:color w:val="auto"/>
              </w:rPr>
              <w:t>Total Risk-based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395,962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3"/>
                <w:szCs w:val="13"/>
                <w:color w:val="auto"/>
              </w:rPr>
              <w:t>11.43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277,057</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346,321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HomeTrust Bank</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80"/>
              <w:spacing w:after="0"/>
              <w:rPr>
                <w:sz w:val="20"/>
                <w:szCs w:val="20"/>
                <w:color w:val="auto"/>
              </w:rPr>
            </w:pPr>
            <w:r>
              <w:rPr>
                <w:rFonts w:ascii="Arial" w:cs="Arial" w:eastAsia="Arial" w:hAnsi="Arial"/>
                <w:sz w:val="13"/>
                <w:szCs w:val="13"/>
                <w:b w:val="1"/>
                <w:bCs w:val="1"/>
                <w:color w:val="auto"/>
              </w:rPr>
              <w:t>June 30, 2023</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CET1 Capital (to risk-weighted assets)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459,871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3"/>
                <w:szCs w:val="13"/>
                <w:color w:val="auto"/>
                <w:w w:val="87"/>
              </w:rPr>
              <w:t>11.14 %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185,791</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268,365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40" w:type="dxa"/>
            <w:vAlign w:val="bottom"/>
          </w:tcPr>
          <w:p>
            <w:pPr>
              <w:ind w:left="140"/>
              <w:spacing w:after="0"/>
              <w:rPr>
                <w:sz w:val="20"/>
                <w:szCs w:val="20"/>
                <w:color w:val="auto"/>
              </w:rPr>
            </w:pPr>
            <w:r>
              <w:rPr>
                <w:rFonts w:ascii="Arial" w:cs="Arial" w:eastAsia="Arial" w:hAnsi="Arial"/>
                <w:sz w:val="13"/>
                <w:szCs w:val="13"/>
                <w:color w:val="auto"/>
              </w:rPr>
              <w:t>Tier 1 Capital (to total adjusted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459,871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3"/>
                <w:szCs w:val="13"/>
                <w:color w:val="auto"/>
              </w:rPr>
              <w:t>10.68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172,221</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215,277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11.14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247,721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330,295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5"/>
        </w:trPr>
        <w:tc>
          <w:tcPr>
            <w:tcW w:w="4440" w:type="dxa"/>
            <w:vAlign w:val="bottom"/>
          </w:tcPr>
          <w:p>
            <w:pPr>
              <w:ind w:left="140"/>
              <w:spacing w:after="0"/>
              <w:rPr>
                <w:sz w:val="20"/>
                <w:szCs w:val="20"/>
                <w:color w:val="auto"/>
              </w:rPr>
            </w:pPr>
            <w:r>
              <w:rPr>
                <w:rFonts w:ascii="Arial" w:cs="Arial" w:eastAsia="Arial" w:hAnsi="Arial"/>
                <w:sz w:val="13"/>
                <w:szCs w:val="13"/>
                <w:color w:val="auto"/>
              </w:rPr>
              <w:t>Total Risk-based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499,431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3"/>
                <w:szCs w:val="13"/>
                <w:color w:val="auto"/>
              </w:rPr>
              <w:t>12.10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330,295</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412,869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57"/>
        </w:trPr>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June 30, 2022</w:t>
            </w:r>
          </w:p>
        </w:tc>
        <w:tc>
          <w:tcPr>
            <w:tcW w:w="1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CET1 Capital (to risk-weighted assets)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358,600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2"/>
              </w:rPr>
              <w:t>10.35 %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155,844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40" w:type="dxa"/>
            <w:vAlign w:val="bottom"/>
          </w:tcPr>
          <w:p>
            <w:pPr>
              <w:ind w:left="140"/>
              <w:spacing w:after="0"/>
              <w:rPr>
                <w:sz w:val="20"/>
                <w:szCs w:val="20"/>
                <w:color w:val="auto"/>
              </w:rPr>
            </w:pPr>
            <w:r>
              <w:rPr>
                <w:rFonts w:ascii="Arial" w:cs="Arial" w:eastAsia="Arial" w:hAnsi="Arial"/>
                <w:sz w:val="13"/>
                <w:szCs w:val="13"/>
                <w:color w:val="auto"/>
              </w:rPr>
              <w:t>Tier 1 Capital (to total adjusted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358,600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3"/>
                <w:szCs w:val="13"/>
                <w:color w:val="auto"/>
              </w:rPr>
              <w:t>10.11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141,814</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177,267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358,600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10.35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207,792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5"/>
        </w:trPr>
        <w:tc>
          <w:tcPr>
            <w:tcW w:w="4440" w:type="dxa"/>
            <w:vAlign w:val="bottom"/>
          </w:tcPr>
          <w:p>
            <w:pPr>
              <w:ind w:left="140"/>
              <w:spacing w:after="0"/>
              <w:rPr>
                <w:sz w:val="20"/>
                <w:szCs w:val="20"/>
                <w:color w:val="auto"/>
              </w:rPr>
            </w:pPr>
            <w:r>
              <w:rPr>
                <w:rFonts w:ascii="Arial" w:cs="Arial" w:eastAsia="Arial" w:hAnsi="Arial"/>
                <w:sz w:val="13"/>
                <w:szCs w:val="13"/>
                <w:color w:val="auto"/>
              </w:rPr>
              <w:t>Total Risk-based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381,765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3"/>
                <w:szCs w:val="13"/>
                <w:color w:val="auto"/>
              </w:rPr>
              <w:t>11.02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3"/>
              </w:rPr>
              <w:t>277,057</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346,321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As permitted by the interim final rule issued on March 27, 2020 by the federal banking regulatory agencies, the Company has elected the option to delay the estimated impact on regulatory capital of ASU 2016-13, which was adopted on July 1, 2020. The initial adoption of ASU 2016-13 as well as 25% of the quarterly increases in the ACL subsequent to adoption (collectively the “transition adjustments”) will be delayed for two years. After two years, the cumulative amount of the transition adjustments will become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2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June 30, 2023, the Company's and Bank's risk-based capital exceeded the required capital contribution buffer.</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Dividends paid by HomeTrust Bank are limited, without prior regulatory approval, to current year earnings and earnings less dividends paid during the preceding two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8" w:name="page79"/>
    <w:bookmarkEnd w:id="7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p>
      <w:pPr>
        <w:ind w:left="200" w:hanging="195"/>
        <w:spacing w:after="0"/>
        <w:tabs>
          <w:tab w:leader="none" w:pos="2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Parent Company Only Condensed Financial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parent company only condensed financial information: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80" w:type="dxa"/>
            <w:vAlign w:val="bottom"/>
          </w:tcPr>
          <w:p>
            <w:pPr>
              <w:ind w:left="20"/>
              <w:spacing w:after="0"/>
              <w:rPr>
                <w:sz w:val="20"/>
                <w:szCs w:val="20"/>
                <w:color w:val="auto"/>
              </w:rPr>
            </w:pPr>
            <w:r>
              <w:rPr>
                <w:rFonts w:ascii="Arial" w:cs="Arial" w:eastAsia="Arial" w:hAnsi="Arial"/>
                <w:sz w:val="13"/>
                <w:szCs w:val="13"/>
                <w:b w:val="1"/>
                <w:bCs w:val="1"/>
                <w:color w:val="auto"/>
              </w:rPr>
              <w:t>Condensed Balance Sheets</w:t>
            </w: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4"/>
                <w:szCs w:val="14"/>
                <w:color w:val="auto"/>
              </w:rPr>
            </w:pPr>
          </w:p>
        </w:tc>
        <w:tc>
          <w:tcPr>
            <w:tcW w:w="1120" w:type="dxa"/>
            <w:vAlign w:val="bottom"/>
          </w:tcPr>
          <w:p>
            <w:pPr>
              <w:jc w:val="right"/>
              <w:ind w:right="216"/>
              <w:spacing w:after="0"/>
              <w:rPr>
                <w:sz w:val="20"/>
                <w:szCs w:val="20"/>
                <w:color w:val="auto"/>
              </w:rPr>
            </w:pPr>
            <w:r>
              <w:rPr>
                <w:rFonts w:ascii="Arial" w:cs="Arial" w:eastAsia="Arial" w:hAnsi="Arial"/>
                <w:sz w:val="13"/>
                <w:szCs w:val="13"/>
                <w:b w:val="1"/>
                <w:bCs w:val="1"/>
                <w:color w:val="auto"/>
                <w:w w:val="96"/>
              </w:rPr>
              <w:t>June 30, 2022</w:t>
            </w:r>
          </w:p>
        </w:tc>
      </w:tr>
      <w:tr>
        <w:trPr>
          <w:trHeight w:val="152"/>
        </w:trPr>
        <w:tc>
          <w:tcPr>
            <w:tcW w:w="85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6,852</w:t>
            </w: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Investment in bank subsidiary</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493,289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374,648</w:t>
            </w: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ESOP loan receivable</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6,154</w:t>
            </w:r>
          </w:p>
        </w:tc>
      </w:tr>
      <w:tr>
        <w:trPr>
          <w:trHeight w:val="170"/>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1,252</w:t>
            </w:r>
          </w:p>
        </w:tc>
      </w:tr>
      <w:tr>
        <w:trPr>
          <w:trHeight w:val="163"/>
        </w:trPr>
        <w:tc>
          <w:tcPr>
            <w:tcW w:w="8580" w:type="dxa"/>
            <w:vAlign w:val="bottom"/>
          </w:tcPr>
          <w:p>
            <w:pPr>
              <w:ind w:left="14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501,469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388,906</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1"/>
        </w:trPr>
        <w:tc>
          <w:tcPr>
            <w:tcW w:w="85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9,971</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Revolving line of credit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0"/>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471,186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388,845</w:t>
            </w:r>
          </w:p>
        </w:tc>
      </w:tr>
      <w:tr>
        <w:trPr>
          <w:trHeight w:val="163"/>
        </w:trPr>
        <w:tc>
          <w:tcPr>
            <w:tcW w:w="8580" w:type="dxa"/>
            <w:vAlign w:val="bottom"/>
          </w:tcPr>
          <w:p>
            <w:pPr>
              <w:ind w:left="140"/>
              <w:spacing w:after="0"/>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501,469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388,906</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Year Ended June 30,</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Condensed Statements of Income</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2021</w:t>
            </w:r>
          </w:p>
        </w:tc>
      </w:tr>
      <w:tr>
        <w:trPr>
          <w:trHeight w:val="152"/>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Income</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7200" w:type="dxa"/>
            <w:vAlign w:val="bottom"/>
          </w:tcPr>
          <w:p>
            <w:pPr>
              <w:ind w:left="80"/>
              <w:spacing w:after="0"/>
              <w:rPr>
                <w:sz w:val="20"/>
                <w:szCs w:val="20"/>
                <w:color w:val="auto"/>
              </w:rPr>
            </w:pPr>
            <w:r>
              <w:rPr>
                <w:rFonts w:ascii="Arial" w:cs="Arial" w:eastAsia="Arial" w:hAnsi="Arial"/>
                <w:sz w:val="13"/>
                <w:szCs w:val="13"/>
                <w:color w:val="auto"/>
              </w:rPr>
              <w:t>Interest income</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158</w:t>
            </w:r>
          </w:p>
        </w:tc>
      </w:tr>
      <w:tr>
        <w:trPr>
          <w:trHeight w:val="172"/>
        </w:trPr>
        <w:tc>
          <w:tcPr>
            <w:tcW w:w="7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Equity in undistributed bank subsidiary income</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45,867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36,281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16,246</w:t>
            </w:r>
          </w:p>
        </w:tc>
      </w:tr>
      <w:tr>
        <w:trPr>
          <w:trHeight w:val="15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income</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46,004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36,430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16,404</w:t>
            </w:r>
          </w:p>
        </w:tc>
      </w:tr>
      <w:tr>
        <w:trPr>
          <w:trHeight w:val="152"/>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Expense</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7200" w:type="dxa"/>
            <w:vAlign w:val="bottom"/>
          </w:tcPr>
          <w:p>
            <w:pPr>
              <w:ind w:left="80"/>
              <w:spacing w:after="0"/>
              <w:rPr>
                <w:sz w:val="20"/>
                <w:szCs w:val="20"/>
                <w:color w:val="auto"/>
              </w:rPr>
            </w:pPr>
            <w:r>
              <w:rPr>
                <w:rFonts w:ascii="Arial" w:cs="Arial" w:eastAsia="Arial" w:hAnsi="Arial"/>
                <w:sz w:val="13"/>
                <w:szCs w:val="13"/>
                <w:color w:val="auto"/>
              </w:rPr>
              <w:t>Interest expense - junior subordinated debt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Interest expense - revolving line of credit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200" w:type="dxa"/>
            <w:vAlign w:val="bottom"/>
          </w:tcPr>
          <w:p>
            <w:pPr>
              <w:ind w:left="80"/>
              <w:spacing w:after="0"/>
              <w:rPr>
                <w:sz w:val="20"/>
                <w:szCs w:val="20"/>
                <w:color w:val="auto"/>
              </w:rPr>
            </w:pPr>
            <w:r>
              <w:rPr>
                <w:rFonts w:ascii="Arial" w:cs="Arial" w:eastAsia="Arial" w:hAnsi="Arial"/>
                <w:sz w:val="13"/>
                <w:szCs w:val="13"/>
                <w:color w:val="auto"/>
              </w:rPr>
              <w:t>Management fee expense</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474</w:t>
            </w:r>
          </w:p>
        </w:tc>
      </w:tr>
      <w:tr>
        <w:trPr>
          <w:trHeight w:val="172"/>
        </w:trPr>
        <w:tc>
          <w:tcPr>
            <w:tcW w:w="7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r>
      <w:tr>
        <w:trPr>
          <w:trHeight w:val="15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expense</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w:t>
            </w:r>
          </w:p>
        </w:tc>
      </w:tr>
      <w:tr>
        <w:trPr>
          <w:trHeight w:val="163"/>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15,675</w:t>
            </w:r>
          </w:p>
        </w:tc>
      </w:tr>
      <w:tr>
        <w:trPr>
          <w:trHeight w:val="168"/>
        </w:trPr>
        <w:tc>
          <w:tcPr>
            <w:tcW w:w="7200" w:type="dxa"/>
            <w:vAlign w:val="bottom"/>
          </w:tcPr>
          <w:p>
            <w:pPr>
              <w:ind w:left="20"/>
              <w:spacing w:after="0"/>
              <w:rPr>
                <w:sz w:val="20"/>
                <w:szCs w:val="20"/>
                <w:color w:val="auto"/>
              </w:rPr>
            </w:pPr>
            <w:r>
              <w:rPr>
                <w:rFonts w:ascii="Arial" w:cs="Arial" w:eastAsia="Arial" w:hAnsi="Arial"/>
                <w:sz w:val="13"/>
                <w:szCs w:val="13"/>
                <w:color w:val="auto"/>
              </w:rPr>
              <w:t>Income tax benefit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Condensed Statement of Cash Flows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r>
      <w:tr>
        <w:trPr>
          <w:trHeight w:val="152"/>
        </w:trPr>
        <w:tc>
          <w:tcPr>
            <w:tcW w:w="7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activities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2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44,604</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35,653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15,675</w:t>
            </w:r>
          </w:p>
        </w:tc>
      </w:tr>
      <w:tr>
        <w:trPr>
          <w:trHeight w:val="172"/>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Gain on sale of REO</w:t>
            </w:r>
          </w:p>
        </w:tc>
        <w:tc>
          <w:tcPr>
            <w:tcW w:w="3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Increase in other assets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Equity in undistributed bank subsidiary income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(45,867)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(36,281)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(16,246)</w:t>
            </w: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ESOP compensation expense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w:t>
            </w: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2,102</w:t>
            </w: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Decrease in other liabilities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58"/>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3"/>
                <w:szCs w:val="13"/>
                <w:b w:val="1"/>
                <w:bCs w:val="1"/>
                <w:color w:val="auto"/>
              </w:rPr>
              <w:t>Net cash provided by operating activities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2,160</w:t>
            </w:r>
          </w:p>
        </w:tc>
      </w:tr>
      <w:tr>
        <w:trPr>
          <w:trHeight w:val="152"/>
        </w:trPr>
        <w:tc>
          <w:tcPr>
            <w:tcW w:w="7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Increase in investment in bank subsidiary</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(1,330)</w:t>
            </w: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Dividends from bank subsidiary</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21,416</w:t>
            </w: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ESOP principal payments received</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Proceeds from sale of REO</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Net cash paid in merger</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2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37,339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20,339</w:t>
            </w:r>
          </w:p>
        </w:tc>
      </w:tr>
      <w:tr>
        <w:trPr>
          <w:trHeight w:val="148"/>
        </w:trPr>
        <w:tc>
          <w:tcPr>
            <w:tcW w:w="72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Financing activities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increase in revolving line of credit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Repayment of long-term debt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(24,728)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Common stock repurchased</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(16,155)</w:t>
            </w:r>
          </w:p>
        </w:tc>
      </w:tr>
      <w:tr>
        <w:trPr>
          <w:trHeight w:val="168"/>
        </w:trPr>
        <w:tc>
          <w:tcPr>
            <w:tcW w:w="7260" w:type="dxa"/>
            <w:vAlign w:val="bottom"/>
          </w:tcPr>
          <w:p>
            <w:pPr>
              <w:ind w:left="80"/>
              <w:spacing w:after="0"/>
              <w:rPr>
                <w:sz w:val="20"/>
                <w:szCs w:val="20"/>
                <w:color w:val="auto"/>
              </w:rPr>
            </w:pPr>
            <w:r>
              <w:rPr>
                <w:rFonts w:ascii="Arial" w:cs="Arial" w:eastAsia="Arial" w:hAnsi="Arial"/>
                <w:sz w:val="13"/>
                <w:szCs w:val="13"/>
                <w:color w:val="auto"/>
              </w:rPr>
              <w:t>Cash dividends paid</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(5,018)</w:t>
            </w:r>
          </w:p>
        </w:tc>
      </w:tr>
      <w:tr>
        <w:trPr>
          <w:trHeight w:val="172"/>
        </w:trPr>
        <w:tc>
          <w:tcPr>
            <w:tcW w:w="7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Retired stock</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68"/>
        </w:trPr>
        <w:tc>
          <w:tcPr>
            <w:tcW w:w="72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Exercised stock options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4,592</w:t>
            </w:r>
          </w:p>
        </w:tc>
      </w:tr>
      <w:tr>
        <w:trPr>
          <w:trHeight w:val="163"/>
        </w:trPr>
        <w:tc>
          <w:tcPr>
            <w:tcW w:w="72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(43,064)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(16,785)</w:t>
            </w:r>
          </w:p>
        </w:tc>
      </w:tr>
      <w:tr>
        <w:trPr>
          <w:trHeight w:val="158"/>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5,714</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6,852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3,888</w:t>
            </w:r>
          </w:p>
        </w:tc>
      </w:tr>
      <w:tr>
        <w:trPr>
          <w:trHeight w:val="163"/>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9,602</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00" w:hanging="195"/>
        <w:spacing w:after="0"/>
        <w:tabs>
          <w:tab w:leader="none" w:pos="2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Fair Value of Financial Instruments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9"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1"/>
          <w:szCs w:val="11"/>
          <w:color w:val="auto"/>
        </w:rPr>
        <w:t>Quoted prices (unadjusted) for identical assets or liabilities in active markets that the entity has the ability to access as of the measurement date.</w:t>
      </w:r>
    </w:p>
    <w:p>
      <w:pPr>
        <w:spacing w:after="0" w:line="31" w:lineRule="exact"/>
        <w:rPr>
          <w:sz w:val="20"/>
          <w:szCs w:val="20"/>
          <w:color w:val="auto"/>
        </w:rPr>
      </w:pPr>
    </w:p>
    <w:p>
      <w:pPr>
        <w:ind w:left="700" w:hanging="572"/>
        <w:spacing w:after="0" w:line="257" w:lineRule="auto"/>
        <w:tabs>
          <w:tab w:leader="none" w:pos="680" w:val="left"/>
        </w:tabs>
        <w:rPr>
          <w:sz w:val="20"/>
          <w:szCs w:val="20"/>
          <w:color w:val="auto"/>
        </w:rPr>
      </w:pPr>
      <w:r>
        <w:rPr>
          <w:rFonts w:ascii="Arial" w:cs="Arial" w:eastAsia="Arial" w:hAnsi="Arial"/>
          <w:sz w:val="13"/>
          <w:szCs w:val="13"/>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9"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1"/>
          <w:szCs w:val="11"/>
          <w:color w:val="auto"/>
        </w:rPr>
        <w:t>Significant unobservable inputs that reflect a company's own assumptions about the assumptions that market participants would use in pricing an asset or liability.</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A financial instrument's level within the fair value hierarchy is based on the lowest level of any input that is significant to the fair value measurement. The following is a description of valuation methodologies used for assets recorded at fair value. The Company does not have any liabilities recorded at fair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20"/>
                <w:szCs w:val="20"/>
                <w:color w:val="auto"/>
              </w:rPr>
            </w:pPr>
            <w:r>
              <w:rPr>
                <w:rFonts w:ascii="Arial" w:cs="Arial" w:eastAsia="Arial" w:hAnsi="Arial"/>
                <w:sz w:val="13"/>
                <w:szCs w:val="13"/>
                <w:b w:val="1"/>
                <w:bCs w:val="1"/>
                <w:color w:val="auto"/>
              </w:rPr>
              <w:t>Financial Assets Recorded at Fair Value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5780" w:type="dxa"/>
            <w:vAlign w:val="bottom"/>
          </w:tcPr>
          <w:p>
            <w:pPr>
              <w:spacing w:after="0"/>
              <w:rPr>
                <w:sz w:val="20"/>
                <w:szCs w:val="20"/>
                <w:color w:val="auto"/>
              </w:rPr>
            </w:pPr>
            <w:r>
              <w:rPr>
                <w:rFonts w:ascii="Arial" w:cs="Arial" w:eastAsia="Arial" w:hAnsi="Arial"/>
                <w:sz w:val="13"/>
                <w:szCs w:val="13"/>
                <w:color w:val="auto"/>
                <w:w w:val="90"/>
              </w:rPr>
              <w:t>The following table presents financial assets measured at fair value on a recurring basis at the dates indicated:</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0"/>
        </w:trPr>
        <w:tc>
          <w:tcPr>
            <w:tcW w:w="5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2"/>
              </w:rPr>
              <w:t>June 30, 2023</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66"/>
        </w:trPr>
        <w:tc>
          <w:tcPr>
            <w:tcW w:w="5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b w:val="1"/>
                <w:bCs w:val="1"/>
                <w:color w:val="auto"/>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Arial" w:cs="Arial" w:eastAsia="Arial" w:hAnsi="Arial"/>
                <w:sz w:val="13"/>
                <w:szCs w:val="13"/>
                <w:b w:val="1"/>
                <w:bCs w:val="1"/>
                <w:color w:val="auto"/>
              </w:rPr>
              <w:t>Level 3</w:t>
            </w:r>
          </w:p>
        </w:tc>
      </w:tr>
      <w:tr>
        <w:trPr>
          <w:trHeight w:val="152"/>
        </w:trPr>
        <w:tc>
          <w:tcPr>
            <w:tcW w:w="57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Debt securities available for sale</w:t>
            </w:r>
          </w:p>
        </w:tc>
        <w:tc>
          <w:tcPr>
            <w:tcW w:w="8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8"/>
        </w:trPr>
        <w:tc>
          <w:tcPr>
            <w:tcW w:w="5780" w:type="dxa"/>
            <w:vAlign w:val="bottom"/>
          </w:tcPr>
          <w:p>
            <w:pPr>
              <w:ind w:left="80"/>
              <w:spacing w:after="0"/>
              <w:rPr>
                <w:sz w:val="20"/>
                <w:szCs w:val="20"/>
                <w:color w:val="auto"/>
              </w:rPr>
            </w:pPr>
            <w:r>
              <w:rPr>
                <w:rFonts w:ascii="Arial" w:cs="Arial" w:eastAsia="Arial" w:hAnsi="Arial"/>
                <w:sz w:val="13"/>
                <w:szCs w:val="13"/>
                <w:color w:val="auto"/>
              </w:rPr>
              <w:t>U.S government agencies</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2"/>
        </w:trPr>
        <w:tc>
          <w:tcPr>
            <w:tcW w:w="5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MBS, residential</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107,414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8"/>
        </w:trPr>
        <w:tc>
          <w:tcPr>
            <w:tcW w:w="5780" w:type="dxa"/>
            <w:vAlign w:val="bottom"/>
          </w:tcPr>
          <w:p>
            <w:pPr>
              <w:ind w:left="80"/>
              <w:spacing w:after="0"/>
              <w:rPr>
                <w:sz w:val="20"/>
                <w:szCs w:val="20"/>
                <w:color w:val="auto"/>
              </w:rPr>
            </w:pPr>
            <w:r>
              <w:rPr>
                <w:rFonts w:ascii="Arial" w:cs="Arial" w:eastAsia="Arial" w:hAnsi="Arial"/>
                <w:sz w:val="13"/>
                <w:szCs w:val="13"/>
                <w:color w:val="auto"/>
              </w:rPr>
              <w:t>Municipal bonds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3,388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0"/>
        </w:trPr>
        <w:tc>
          <w:tcPr>
            <w:tcW w:w="5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bonds</w:t>
            </w: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26,410</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26,410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3"/>
        </w:trPr>
        <w:tc>
          <w:tcPr>
            <w:tcW w:w="5780" w:type="dxa"/>
            <w:vAlign w:val="bottom"/>
          </w:tcPr>
          <w:p>
            <w:pPr>
              <w:ind w:left="140"/>
              <w:spacing w:after="0"/>
              <w:rPr>
                <w:sz w:val="20"/>
                <w:szCs w:val="20"/>
                <w:color w:val="auto"/>
              </w:rPr>
            </w:pPr>
            <w:r>
              <w:rPr>
                <w:rFonts w:ascii="Arial" w:cs="Arial" w:eastAsia="Arial" w:hAnsi="Arial"/>
                <w:sz w:val="13"/>
                <w:szCs w:val="13"/>
                <w:b w:val="1"/>
                <w:bCs w:val="1"/>
                <w:color w:val="auto"/>
              </w:rPr>
              <w:t>Total debt securities available for sale</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151,926</w:t>
            </w:r>
          </w:p>
        </w:tc>
        <w:tc>
          <w:tcPr>
            <w:tcW w:w="10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22"/>
        </w:trPr>
        <w:tc>
          <w:tcPr>
            <w:tcW w:w="5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Loans held for sale</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95"/>
        </w:trPr>
        <w:tc>
          <w:tcPr>
            <w:tcW w:w="5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2"/>
              </w:rPr>
              <w:t>June 30, 2022</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60"/>
        </w:trPr>
        <w:tc>
          <w:tcPr>
            <w:tcW w:w="57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b w:val="1"/>
                <w:bCs w:val="1"/>
                <w:color w:val="auto"/>
              </w:rPr>
              <w:t>Level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3"/>
                <w:szCs w:val="13"/>
                <w:color w:val="auto"/>
              </w:rPr>
            </w:pPr>
          </w:p>
        </w:tc>
        <w:tc>
          <w:tcPr>
            <w:tcW w:w="1040" w:type="dxa"/>
            <w:vAlign w:val="bottom"/>
          </w:tcPr>
          <w:p>
            <w:pPr>
              <w:ind w:left="200"/>
              <w:spacing w:after="0"/>
              <w:rPr>
                <w:sz w:val="20"/>
                <w:szCs w:val="20"/>
                <w:color w:val="auto"/>
              </w:rPr>
            </w:pPr>
            <w:r>
              <w:rPr>
                <w:rFonts w:ascii="Arial" w:cs="Arial" w:eastAsia="Arial" w:hAnsi="Arial"/>
                <w:sz w:val="13"/>
                <w:szCs w:val="13"/>
                <w:b w:val="1"/>
                <w:bCs w:val="1"/>
                <w:color w:val="auto"/>
              </w:rPr>
              <w:t>Level 3</w:t>
            </w:r>
          </w:p>
        </w:tc>
      </w:tr>
      <w:tr>
        <w:trPr>
          <w:trHeight w:val="152"/>
        </w:trPr>
        <w:tc>
          <w:tcPr>
            <w:tcW w:w="57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Debt securities available for sale</w:t>
            </w:r>
          </w:p>
        </w:tc>
        <w:tc>
          <w:tcPr>
            <w:tcW w:w="8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8"/>
        </w:trPr>
        <w:tc>
          <w:tcPr>
            <w:tcW w:w="5780" w:type="dxa"/>
            <w:vAlign w:val="bottom"/>
          </w:tcPr>
          <w:p>
            <w:pPr>
              <w:ind w:left="80"/>
              <w:spacing w:after="0"/>
              <w:rPr>
                <w:sz w:val="20"/>
                <w:szCs w:val="20"/>
                <w:color w:val="auto"/>
              </w:rPr>
            </w:pPr>
            <w:r>
              <w:rPr>
                <w:rFonts w:ascii="Arial" w:cs="Arial" w:eastAsia="Arial" w:hAnsi="Arial"/>
                <w:sz w:val="13"/>
                <w:szCs w:val="13"/>
                <w:color w:val="auto"/>
              </w:rPr>
              <w:t>U.S government agencies</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18,459</w:t>
            </w:r>
          </w:p>
        </w:tc>
        <w:tc>
          <w:tcPr>
            <w:tcW w:w="10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18,459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2"/>
        </w:trPr>
        <w:tc>
          <w:tcPr>
            <w:tcW w:w="5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MBS, residential</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47,233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8"/>
        </w:trPr>
        <w:tc>
          <w:tcPr>
            <w:tcW w:w="5780" w:type="dxa"/>
            <w:vAlign w:val="bottom"/>
          </w:tcPr>
          <w:p>
            <w:pPr>
              <w:ind w:left="80"/>
              <w:spacing w:after="0"/>
              <w:rPr>
                <w:sz w:val="20"/>
                <w:szCs w:val="20"/>
                <w:color w:val="auto"/>
              </w:rPr>
            </w:pPr>
            <w:r>
              <w:rPr>
                <w:rFonts w:ascii="Arial" w:cs="Arial" w:eastAsia="Arial" w:hAnsi="Arial"/>
                <w:sz w:val="13"/>
                <w:szCs w:val="13"/>
                <w:color w:val="auto"/>
              </w:rPr>
              <w:t>Municipal bonds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5,558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0"/>
        </w:trPr>
        <w:tc>
          <w:tcPr>
            <w:tcW w:w="5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bonds</w:t>
            </w: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55,728</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55,728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3"/>
        </w:trPr>
        <w:tc>
          <w:tcPr>
            <w:tcW w:w="5780" w:type="dxa"/>
            <w:vAlign w:val="bottom"/>
          </w:tcPr>
          <w:p>
            <w:pPr>
              <w:ind w:left="140"/>
              <w:spacing w:after="0"/>
              <w:rPr>
                <w:sz w:val="20"/>
                <w:szCs w:val="20"/>
                <w:color w:val="auto"/>
              </w:rPr>
            </w:pPr>
            <w:r>
              <w:rPr>
                <w:rFonts w:ascii="Arial" w:cs="Arial" w:eastAsia="Arial" w:hAnsi="Arial"/>
                <w:sz w:val="13"/>
                <w:szCs w:val="13"/>
                <w:b w:val="1"/>
                <w:bCs w:val="1"/>
                <w:color w:val="auto"/>
              </w:rPr>
              <w:t>Total debt securities available for sale</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126,978</w:t>
            </w:r>
          </w:p>
        </w:tc>
        <w:tc>
          <w:tcPr>
            <w:tcW w:w="10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126,978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20"/>
        </w:trPr>
        <w:tc>
          <w:tcPr>
            <w:tcW w:w="5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Loans held for sale carried at fair value are valued at the individual loan level using quoted secondary market prices.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There were no transfers between levels during the years ended June 30, 2023 and 2022.</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financial assets measured at fair value on a non-recurring basis at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June 30, 2023</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66"/>
        </w:trPr>
        <w:tc>
          <w:tcPr>
            <w:tcW w:w="43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Level 2</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Level 3</w:t>
            </w:r>
          </w:p>
        </w:tc>
      </w:tr>
      <w:tr>
        <w:trPr>
          <w:trHeight w:val="152"/>
        </w:trPr>
        <w:tc>
          <w:tcPr>
            <w:tcW w:w="4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Collateral dependent loans</w:t>
            </w:r>
          </w:p>
        </w:tc>
        <w:tc>
          <w:tcPr>
            <w:tcW w:w="1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8"/>
        </w:trPr>
        <w:tc>
          <w:tcPr>
            <w:tcW w:w="4300" w:type="dxa"/>
            <w:vAlign w:val="bottom"/>
          </w:tcPr>
          <w:p>
            <w:pPr>
              <w:ind w:left="80"/>
              <w:spacing w:after="0"/>
              <w:rPr>
                <w:sz w:val="20"/>
                <w:szCs w:val="20"/>
                <w:color w:val="auto"/>
              </w:rPr>
            </w:pPr>
            <w:r>
              <w:rPr>
                <w:rFonts w:ascii="Arial" w:cs="Arial" w:eastAsia="Arial" w:hAnsi="Arial"/>
                <w:sz w:val="13"/>
                <w:szCs w:val="13"/>
                <w:b w:val="1"/>
                <w:bCs w:val="1"/>
                <w:color w:val="auto"/>
              </w:rPr>
              <w:t>Commercial real estate loans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2"/>
        </w:trPr>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real estate - owner occupied</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68"/>
        </w:trPr>
        <w:tc>
          <w:tcPr>
            <w:tcW w:w="4300" w:type="dxa"/>
            <w:vAlign w:val="bottom"/>
          </w:tcPr>
          <w:p>
            <w:pPr>
              <w:ind w:left="80"/>
              <w:spacing w:after="0"/>
              <w:rPr>
                <w:sz w:val="20"/>
                <w:szCs w:val="20"/>
                <w:color w:val="auto"/>
              </w:rPr>
            </w:pPr>
            <w:r>
              <w:rPr>
                <w:rFonts w:ascii="Arial" w:cs="Arial" w:eastAsia="Arial" w:hAnsi="Arial"/>
                <w:sz w:val="13"/>
                <w:szCs w:val="13"/>
                <w:b w:val="1"/>
                <w:bCs w:val="1"/>
                <w:color w:val="auto"/>
              </w:rPr>
              <w:t>Commercial loans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and industrial</w:t>
            </w:r>
          </w:p>
        </w:tc>
        <w:tc>
          <w:tcPr>
            <w:tcW w:w="1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63"/>
        </w:trPr>
        <w:tc>
          <w:tcPr>
            <w:tcW w:w="430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1180" w:type="dxa"/>
            <w:vAlign w:val="bottom"/>
          </w:tcPr>
          <w:p>
            <w:pPr>
              <w:jc w:val="right"/>
              <w:ind w:right="103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4"/>
                <w:szCs w:val="14"/>
                <w:color w:val="auto"/>
              </w:rPr>
            </w:pPr>
          </w:p>
        </w:tc>
        <w:tc>
          <w:tcPr>
            <w:tcW w:w="1200" w:type="dxa"/>
            <w:vAlign w:val="bottom"/>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16"/>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531</w:t>
            </w:r>
          </w:p>
        </w:tc>
      </w:tr>
      <w:tr>
        <w:trPr>
          <w:trHeight w:val="20"/>
        </w:trPr>
        <w:tc>
          <w:tcPr>
            <w:tcW w:w="4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000"/>
              <w:spacing w:after="0"/>
              <w:rPr>
                <w:sz w:val="20"/>
                <w:szCs w:val="20"/>
                <w:color w:val="auto"/>
              </w:rPr>
            </w:pPr>
            <w:r>
              <w:rPr>
                <w:rFonts w:ascii="Arial" w:cs="Arial" w:eastAsia="Arial" w:hAnsi="Arial"/>
                <w:sz w:val="13"/>
                <w:szCs w:val="13"/>
                <w:b w:val="1"/>
                <w:bCs w:val="1"/>
                <w:color w:val="auto"/>
              </w:rPr>
              <w:t>June 30, 2022</w:t>
            </w: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0"/>
        </w:trPr>
        <w:tc>
          <w:tcPr>
            <w:tcW w:w="4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360" w:type="dxa"/>
            <w:vAlign w:val="bottom"/>
          </w:tcPr>
          <w:p>
            <w:pPr>
              <w:spacing w:after="0"/>
              <w:rPr>
                <w:sz w:val="13"/>
                <w:szCs w:val="13"/>
                <w:color w:val="auto"/>
              </w:rPr>
            </w:pPr>
          </w:p>
        </w:tc>
        <w:tc>
          <w:tcPr>
            <w:tcW w:w="1880" w:type="dxa"/>
            <w:vAlign w:val="bottom"/>
            <w:gridSpan w:val="3"/>
          </w:tcPr>
          <w:p>
            <w:pPr>
              <w:ind w:left="280"/>
              <w:spacing w:after="0"/>
              <w:rPr>
                <w:sz w:val="20"/>
                <w:szCs w:val="20"/>
                <w:color w:val="auto"/>
              </w:rPr>
            </w:pPr>
            <w:r>
              <w:rPr>
                <w:rFonts w:ascii="Arial" w:cs="Arial" w:eastAsia="Arial" w:hAnsi="Arial"/>
                <w:sz w:val="13"/>
                <w:szCs w:val="13"/>
                <w:b w:val="1"/>
                <w:bCs w:val="1"/>
                <w:color w:val="auto"/>
              </w:rPr>
              <w:t>Level 1</w:t>
            </w:r>
          </w:p>
        </w:tc>
        <w:tc>
          <w:tcPr>
            <w:tcW w:w="1640" w:type="dxa"/>
            <w:vAlign w:val="bottom"/>
            <w:gridSpan w:val="3"/>
          </w:tcPr>
          <w:p>
            <w:pPr>
              <w:ind w:left="160"/>
              <w:spacing w:after="0"/>
              <w:rPr>
                <w:sz w:val="20"/>
                <w:szCs w:val="20"/>
                <w:color w:val="auto"/>
              </w:rPr>
            </w:pPr>
            <w:r>
              <w:rPr>
                <w:rFonts w:ascii="Arial" w:cs="Arial" w:eastAsia="Arial" w:hAnsi="Arial"/>
                <w:sz w:val="13"/>
                <w:szCs w:val="13"/>
                <w:b w:val="1"/>
                <w:bCs w:val="1"/>
                <w:color w:val="auto"/>
              </w:rPr>
              <w:t>Level 2</w:t>
            </w:r>
          </w:p>
        </w:tc>
        <w:tc>
          <w:tcPr>
            <w:tcW w:w="1320" w:type="dxa"/>
            <w:vAlign w:val="bottom"/>
          </w:tcPr>
          <w:p>
            <w:pPr>
              <w:jc w:val="right"/>
              <w:ind w:right="576"/>
              <w:spacing w:after="0"/>
              <w:rPr>
                <w:sz w:val="20"/>
                <w:szCs w:val="20"/>
                <w:color w:val="auto"/>
              </w:rPr>
            </w:pPr>
            <w:r>
              <w:rPr>
                <w:rFonts w:ascii="Arial" w:cs="Arial" w:eastAsia="Arial" w:hAnsi="Arial"/>
                <w:sz w:val="13"/>
                <w:szCs w:val="13"/>
                <w:b w:val="1"/>
                <w:bCs w:val="1"/>
                <w:color w:val="auto"/>
              </w:rPr>
              <w:t>Level 3</w:t>
            </w:r>
          </w:p>
        </w:tc>
      </w:tr>
      <w:tr>
        <w:trPr>
          <w:trHeight w:val="152"/>
        </w:trPr>
        <w:tc>
          <w:tcPr>
            <w:tcW w:w="43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Collateral dependent loans</w:t>
            </w: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300" w:type="dxa"/>
            <w:vAlign w:val="bottom"/>
          </w:tcPr>
          <w:p>
            <w:pPr>
              <w:ind w:left="80"/>
              <w:spacing w:after="0"/>
              <w:rPr>
                <w:sz w:val="20"/>
                <w:szCs w:val="20"/>
                <w:color w:val="auto"/>
              </w:rPr>
            </w:pPr>
            <w:r>
              <w:rPr>
                <w:rFonts w:ascii="Arial" w:cs="Arial" w:eastAsia="Arial" w:hAnsi="Arial"/>
                <w:sz w:val="13"/>
                <w:szCs w:val="13"/>
                <w:b w:val="1"/>
                <w:bCs w:val="1"/>
                <w:color w:val="auto"/>
              </w:rPr>
              <w:t>Commercial loans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2"/>
        </w:trPr>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and industrial</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gridSpan w:val="3"/>
            <w:shd w:val="clear" w:color="auto" w:fill="CCEEFF"/>
          </w:tcPr>
          <w:p>
            <w:pPr>
              <w:ind w:left="1120"/>
              <w:spacing w:after="0"/>
              <w:rPr>
                <w:sz w:val="20"/>
                <w:szCs w:val="20"/>
                <w:color w:val="auto"/>
              </w:rPr>
            </w:pPr>
            <w:r>
              <w:rPr>
                <w:rFonts w:ascii="Arial" w:cs="Arial" w:eastAsia="Arial" w:hAnsi="Arial"/>
                <w:sz w:val="13"/>
                <w:szCs w:val="13"/>
                <w:color w:val="auto"/>
              </w:rPr>
              <w:t>—   $</w:t>
            </w:r>
          </w:p>
        </w:tc>
        <w:tc>
          <w:tcPr>
            <w:tcW w:w="1640" w:type="dxa"/>
            <w:vAlign w:val="bottom"/>
            <w:gridSpan w:val="3"/>
            <w:shd w:val="clear" w:color="auto" w:fill="CCEEFF"/>
          </w:tcPr>
          <w:p>
            <w:pPr>
              <w:ind w:left="1000"/>
              <w:spacing w:after="0"/>
              <w:rPr>
                <w:sz w:val="20"/>
                <w:szCs w:val="20"/>
                <w:color w:val="auto"/>
              </w:rPr>
            </w:pPr>
            <w:r>
              <w:rPr>
                <w:rFonts w:ascii="Arial" w:cs="Arial" w:eastAsia="Arial" w:hAnsi="Arial"/>
                <w:sz w:val="13"/>
                <w:szCs w:val="13"/>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r>
    </w:tbl>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 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8"/>
          </w:tcPr>
          <w:p>
            <w:pPr>
              <w:spacing w:after="0"/>
              <w:rPr>
                <w:sz w:val="20"/>
                <w:szCs w:val="20"/>
                <w:color w:val="auto"/>
              </w:rPr>
            </w:pPr>
            <w:r>
              <w:rPr>
                <w:rFonts w:ascii="Arial" w:cs="Arial" w:eastAsia="Arial" w:hAnsi="Arial"/>
                <w:sz w:val="13"/>
                <w:szCs w:val="13"/>
                <w:color w:val="auto"/>
                <w:w w:val="87"/>
              </w:rPr>
              <w:t>The stated carrying value and estimated fair value amounts of financial instruments as of June 30, 2023 and June 30, 2022, are summarized below:</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3"/>
              </w:rPr>
              <w:t>Carrying</w:t>
            </w:r>
          </w:p>
        </w:tc>
        <w:tc>
          <w:tcPr>
            <w:tcW w:w="280" w:type="dxa"/>
            <w:vAlign w:val="bottom"/>
          </w:tcPr>
          <w:p>
            <w:pPr>
              <w:spacing w:after="0"/>
              <w:rPr>
                <w:sz w:val="10"/>
                <w:szCs w:val="10"/>
                <w:color w:val="auto"/>
              </w:rPr>
            </w:pPr>
          </w:p>
        </w:tc>
        <w:tc>
          <w:tcPr>
            <w:tcW w:w="1120" w:type="dxa"/>
            <w:vAlign w:val="bottom"/>
            <w:gridSpan w:val="2"/>
          </w:tcPr>
          <w:p>
            <w:pPr>
              <w:jc w:val="center"/>
              <w:ind w:right="380"/>
              <w:spacing w:after="0" w:line="120" w:lineRule="exact"/>
              <w:rPr>
                <w:sz w:val="20"/>
                <w:szCs w:val="20"/>
                <w:color w:val="auto"/>
              </w:rPr>
            </w:pPr>
            <w:r>
              <w:rPr>
                <w:rFonts w:ascii="Arial" w:cs="Arial" w:eastAsia="Arial" w:hAnsi="Arial"/>
                <w:sz w:val="13"/>
                <w:szCs w:val="13"/>
                <w:b w:val="1"/>
                <w:bCs w:val="1"/>
                <w:color w:val="auto"/>
                <w:w w:val="92"/>
              </w:rPr>
              <w:t>Fair</w:t>
            </w:r>
          </w:p>
        </w:tc>
        <w:tc>
          <w:tcPr>
            <w:tcW w:w="300" w:type="dxa"/>
            <w:vAlign w:val="bottom"/>
          </w:tcPr>
          <w:p>
            <w:pPr>
              <w:spacing w:after="0"/>
              <w:rPr>
                <w:sz w:val="10"/>
                <w:szCs w:val="1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0"/>
                <w:szCs w:val="10"/>
                <w:color w:val="auto"/>
              </w:rPr>
            </w:pPr>
          </w:p>
        </w:tc>
        <w:tc>
          <w:tcPr>
            <w:tcW w:w="104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2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Value</w:t>
            </w: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4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303,497</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303,497</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303,497</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 in other banks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Debt securities available for sale, at fair value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and FRB stock</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N/A</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SBIC investments, at cost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14,927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14,927</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held for sale, at fair value</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Loans held for sale, at the lower of cost or fair value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161,703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163,874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163,874</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net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3,611,630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3,455,390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3,455,390</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Accrued interest receivable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14,829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14,829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14,320</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Noninterest-bearing and NOW deposits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1,436,586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1,436,586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1,436,586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Money market accounts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Savings accounts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212,220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212,220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212,220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710,522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701,965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701,965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9,746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Borrowings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420" w:type="dxa"/>
            <w:vAlign w:val="bottom"/>
          </w:tcPr>
          <w:p>
            <w:pPr>
              <w:ind w:left="80"/>
              <w:spacing w:after="0"/>
              <w:rPr>
                <w:sz w:val="20"/>
                <w:szCs w:val="20"/>
                <w:color w:val="auto"/>
              </w:rPr>
            </w:pPr>
            <w:r>
              <w:rPr>
                <w:rFonts w:ascii="Arial" w:cs="Arial" w:eastAsia="Arial" w:hAnsi="Arial"/>
                <w:sz w:val="13"/>
                <w:szCs w:val="13"/>
                <w:color w:val="auto"/>
              </w:rPr>
              <w:t>Accrued interest payable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9"/>
        </w:trPr>
        <w:tc>
          <w:tcPr>
            <w:tcW w:w="4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June 30, 2022</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3"/>
              </w:rPr>
              <w:t>Carrying</w:t>
            </w:r>
          </w:p>
        </w:tc>
        <w:tc>
          <w:tcPr>
            <w:tcW w:w="280" w:type="dxa"/>
            <w:vAlign w:val="bottom"/>
          </w:tcPr>
          <w:p>
            <w:pPr>
              <w:spacing w:after="0"/>
              <w:rPr>
                <w:sz w:val="10"/>
                <w:szCs w:val="10"/>
                <w:color w:val="auto"/>
              </w:rPr>
            </w:pPr>
          </w:p>
        </w:tc>
        <w:tc>
          <w:tcPr>
            <w:tcW w:w="1120" w:type="dxa"/>
            <w:vAlign w:val="bottom"/>
            <w:gridSpan w:val="2"/>
          </w:tcPr>
          <w:p>
            <w:pPr>
              <w:jc w:val="center"/>
              <w:ind w:right="380"/>
              <w:spacing w:after="0" w:line="120" w:lineRule="exact"/>
              <w:rPr>
                <w:sz w:val="20"/>
                <w:szCs w:val="20"/>
                <w:color w:val="auto"/>
              </w:rPr>
            </w:pPr>
            <w:r>
              <w:rPr>
                <w:rFonts w:ascii="Arial" w:cs="Arial" w:eastAsia="Arial" w:hAnsi="Arial"/>
                <w:sz w:val="13"/>
                <w:szCs w:val="13"/>
                <w:b w:val="1"/>
                <w:bCs w:val="1"/>
                <w:color w:val="auto"/>
                <w:w w:val="92"/>
              </w:rPr>
              <w:t>Fair</w:t>
            </w:r>
          </w:p>
        </w:tc>
        <w:tc>
          <w:tcPr>
            <w:tcW w:w="300" w:type="dxa"/>
            <w:vAlign w:val="bottom"/>
          </w:tcPr>
          <w:p>
            <w:pPr>
              <w:spacing w:after="0"/>
              <w:rPr>
                <w:sz w:val="10"/>
                <w:szCs w:val="1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0"/>
                <w:szCs w:val="10"/>
                <w:color w:val="auto"/>
              </w:rPr>
            </w:pPr>
          </w:p>
        </w:tc>
        <w:tc>
          <w:tcPr>
            <w:tcW w:w="104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2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Value</w:t>
            </w: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4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105,119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105,119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105,119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paper, net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Certificates of deposit in other banks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23,551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Debt securities available for sale, at fair value</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FHLB and FRB stock</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N/A</w:t>
            </w:r>
          </w:p>
        </w:tc>
        <w:tc>
          <w:tcPr>
            <w:tcW w:w="300" w:type="dxa"/>
            <w:vAlign w:val="bottom"/>
          </w:tcPr>
          <w:p>
            <w:pPr>
              <w:spacing w:after="0"/>
              <w:rPr>
                <w:sz w:val="14"/>
                <w:szCs w:val="14"/>
                <w:color w:val="auto"/>
              </w:rPr>
            </w:pPr>
          </w:p>
        </w:tc>
        <w:tc>
          <w:tcPr>
            <w:tcW w:w="1100" w:type="dxa"/>
            <w:vAlign w:val="bottom"/>
            <w:gridSpan w:val="2"/>
          </w:tcPr>
          <w:p>
            <w:pPr>
              <w:ind w:left="760"/>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4"/>
                <w:szCs w:val="14"/>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SBIC investments, at cost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Loans held for sale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79,307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80,489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80,489</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net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2,734,605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2,687,293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2,687,293</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Accrued interest receivable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8,573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8,573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7,969</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Noninterest-bearing and NOW deposits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1,400,727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1,400,727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1,400,727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Money market accounts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969,661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969,661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969,661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rPr>
                <w:sz w:val="20"/>
                <w:szCs w:val="20"/>
                <w:color w:val="auto"/>
              </w:rPr>
            </w:pPr>
            <w:r>
              <w:rPr>
                <w:rFonts w:ascii="Arial" w:cs="Arial" w:eastAsia="Arial" w:hAnsi="Arial"/>
                <w:sz w:val="13"/>
                <w:szCs w:val="13"/>
                <w:color w:val="auto"/>
              </w:rPr>
              <w:t>Savings accounts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238,197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238,197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238,197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491,176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420" w:type="dxa"/>
            <w:vAlign w:val="bottom"/>
          </w:tcPr>
          <w:p>
            <w:pPr>
              <w:ind w:left="80"/>
              <w:spacing w:after="0"/>
              <w:rPr>
                <w:sz w:val="20"/>
                <w:szCs w:val="20"/>
                <w:color w:val="auto"/>
              </w:rPr>
            </w:pPr>
            <w:r>
              <w:rPr>
                <w:rFonts w:ascii="Arial" w:cs="Arial" w:eastAsia="Arial" w:hAnsi="Arial"/>
                <w:sz w:val="13"/>
                <w:szCs w:val="13"/>
                <w:color w:val="auto"/>
              </w:rPr>
              <w:t>Accrued interest payable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spacing w:after="0" w:line="348" w:lineRule="auto"/>
        <w:rPr>
          <w:sz w:val="20"/>
          <w:szCs w:val="20"/>
          <w:color w:val="auto"/>
        </w:rPr>
      </w:pPr>
      <w:r>
        <w:rPr>
          <w:rFonts w:ascii="Arial" w:cs="Arial" w:eastAsia="Arial" w:hAnsi="Arial"/>
          <w:sz w:val="11"/>
          <w:szCs w:val="11"/>
          <w:color w:val="auto"/>
        </w:rPr>
        <w:t>The Company had off-balance sheet financial commitments, which include approximately $950,387 and $921,239 of commitments to originate loans, undisbursed portions of construction loans, unused lines of credit, and standing letters of credit at June 30, 2023 and 2022, respectively (see "Note 17 – Commitments and Contingencies"). Since these commitments are based on current rates, the carrying amount approximates the fair value.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2"/>
          <w:szCs w:val="12"/>
          <w:i w:val="1"/>
          <w:iCs w:val="1"/>
          <w:u w:val="single" w:color="auto"/>
          <w:color w:val="auto"/>
        </w:rPr>
        <w:t>Evaluation of Disclosure Controls and Procedures</w:t>
      </w:r>
      <w:r>
        <w:rPr>
          <w:rFonts w:ascii="Arial" w:cs="Arial" w:eastAsia="Arial" w:hAnsi="Arial"/>
          <w:sz w:val="12"/>
          <w:szCs w:val="12"/>
          <w:i w:val="1"/>
          <w:iCs w:val="1"/>
          <w:color w:val="auto"/>
        </w:rPr>
        <w:t xml:space="preserve">: </w:t>
      </w:r>
      <w:r>
        <w:rPr>
          <w:rFonts w:ascii="Arial" w:cs="Arial" w:eastAsia="Arial" w:hAnsi="Arial"/>
          <w:sz w:val="12"/>
          <w:szCs w:val="12"/>
          <w:color w:val="auto"/>
        </w:rPr>
        <w:t>An evaluation of the Company’s disclosure controls and procedures (as defined in Section 13a-15(e) of the Securities Exchange Act of 1934 (the “Act”)) was carried out</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supervision and with the participation of the Company’s Chief Executive Officer, Chief Financial Officer, and several other members of the Company’s senior management as of the end of the period covered by this report. The Company’s Chief Executive Officer and Chief Financial Officer concluded that the Company’s disclosure controls and procedures as of June 30, 2023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i w:val="1"/>
          <w:iCs w:val="1"/>
          <w:u w:val="single" w:color="auto"/>
          <w:color w:val="auto"/>
        </w:rPr>
        <w:t>Report of Management on Internal Control over Financial Reporting</w:t>
      </w:r>
      <w:r>
        <w:rPr>
          <w:rFonts w:ascii="Arial" w:cs="Arial" w:eastAsia="Arial" w:hAnsi="Arial"/>
          <w:sz w:val="13"/>
          <w:szCs w:val="13"/>
          <w:i w:val="1"/>
          <w:iCs w:val="1"/>
          <w:color w:val="auto"/>
        </w:rPr>
        <w:t xml:space="preserve">: </w:t>
      </w:r>
      <w:r>
        <w:rPr>
          <w:rFonts w:ascii="Arial" w:cs="Arial" w:eastAsia="Arial" w:hAnsi="Arial"/>
          <w:sz w:val="13"/>
          <w:szCs w:val="13"/>
          <w:color w:val="auto"/>
        </w:rPr>
        <w:t>The management of the Company is responsible for establishing and maintaining adequate internal control over financial reporting. The internal</w:t>
      </w:r>
      <w:r>
        <w:rPr>
          <w:rFonts w:ascii="Arial" w:cs="Arial" w:eastAsia="Arial" w:hAnsi="Arial"/>
          <w:sz w:val="13"/>
          <w:szCs w:val="13"/>
          <w:i w:val="1"/>
          <w:iCs w:val="1"/>
          <w:color w:val="auto"/>
        </w:rPr>
        <w:t xml:space="preserve"> </w:t>
      </w:r>
      <w:r>
        <w:rPr>
          <w:rFonts w:ascii="Arial" w:cs="Arial" w:eastAsia="Arial" w:hAnsi="Arial"/>
          <w:sz w:val="13"/>
          <w:szCs w:val="13"/>
          <w:color w:val="auto"/>
        </w:rPr>
        <w:t>control process has been designed under our supervision to provide reasonable assurance regarding the reliability of financial reporting and the preparation of the Company’s financial statements for external reporting purposes in accordance with accounting principles generally accepted in the United States of America.</w:t>
      </w:r>
    </w:p>
    <w:p>
      <w:pPr>
        <w:spacing w:after="0" w:line="41"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 xml:space="preserve">Management conducted an assessment of the effectiveness of the Company’s internal control over financial reporting as of June 30, 2023, utilizing the framework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2013 </w:t>
      </w:r>
      <w:r>
        <w:rPr>
          <w:rFonts w:ascii="Arial" w:cs="Arial" w:eastAsia="Arial" w:hAnsi="Arial"/>
          <w:sz w:val="11"/>
          <w:szCs w:val="11"/>
          <w:color w:val="auto"/>
        </w:rPr>
        <w:t>issued by the Committee of Sponsoring Organizations of the Treadway Commission. As permitted by SEC guidance, management excluded from its assessment the operations of the Quantum Capital Corp., which</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merged with on February 12, 2023 as described in “Note 3 – Merger with Quantum” of the Notes to Consolidated Financial Statements included in Item 8 in this report. Quantum Capital Corp. represented 14.3% of the consolidated total assets as of June 30, 2023. Based on this assessment, management has determined that the Company’s internal control over financial reporting as of June 30, 2023 was effective.</w:t>
      </w:r>
    </w:p>
    <w:p>
      <w:pPr>
        <w:spacing w:after="0" w:line="1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accounting principles generally accepted in the United States;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FORVIS, LLP, an independent registered public accounting firm, has audited the consolidated financial statements included in this Annual Report and has issued a report on the effectiveness of our internal control over financial reporting, which report is included in Item 8 of this Form 10-K. The audit report expresses an unqualified opinion on the effectiveness of the Company's internal control over financial reporting as of June 30, 2023.</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i w:val="1"/>
          <w:iCs w:val="1"/>
          <w:u w:val="single" w:color="auto"/>
          <w:color w:val="auto"/>
        </w:rPr>
        <w:t>Changes in Internal Controls</w:t>
      </w:r>
      <w:r>
        <w:rPr>
          <w:rFonts w:ascii="Arial" w:cs="Arial" w:eastAsia="Arial" w:hAnsi="Arial"/>
          <w:sz w:val="13"/>
          <w:szCs w:val="13"/>
          <w:i w:val="1"/>
          <w:iCs w:val="1"/>
          <w:color w:val="auto"/>
        </w:rPr>
        <w:t xml:space="preserve">: </w:t>
      </w:r>
      <w:r>
        <w:rPr>
          <w:rFonts w:ascii="Arial" w:cs="Arial" w:eastAsia="Arial" w:hAnsi="Arial"/>
          <w:sz w:val="13"/>
          <w:szCs w:val="13"/>
          <w:color w:val="auto"/>
        </w:rPr>
        <w:t>There have been no changes in the Company’s internal control over financial reporting during the quarter ended June 30, 2023 that have materially affected, or are reasonably likely to</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materially affect,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9C. Disclosure Regarding Foreign Jurisdictions that Prevent Inspections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III</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this Item will be contained in our definitive Proxy Statement for our 2023 Annual Meeting of Stockholders being held on November 13, 2023, and is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this Item will be contained in our definitive Proxy Statement for our 2023 Annual Meeting of Stockholders being held on November 13, 2023, and is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Stockholder Matters</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 information concerning security ownership of certain beneficial owners and management required by this item is incorporated herein by reference from our definitive proxy statement for our Annual Meeting of Shareholders being held on November 13, 2023, a copy of which will be filed with the Securities and Exchange Commission no later than 120 days after the end of our fiscal year. Management is not aware of any arrangements, including any pledge by any person of securities of the Company, the operation of which may at a subsequent date result in a change in control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Arial" w:cs="Arial" w:eastAsia="Arial" w:hAnsi="Arial"/>
                <w:sz w:val="13"/>
                <w:szCs w:val="13"/>
                <w:color w:val="auto"/>
              </w:rPr>
              <w:t>The information concerning our equity incentive plan required by this item is set forth below.</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4"/>
              </w:rPr>
              <w:t># of securities to be issued upon</w:t>
            </w:r>
          </w:p>
        </w:tc>
        <w:tc>
          <w:tcPr>
            <w:tcW w:w="80" w:type="dxa"/>
            <w:vAlign w:val="bottom"/>
          </w:tcPr>
          <w:p>
            <w:pPr>
              <w:spacing w:after="0"/>
              <w:rPr>
                <w:sz w:val="12"/>
                <w:szCs w:val="12"/>
                <w:color w:val="auto"/>
              </w:rPr>
            </w:pPr>
          </w:p>
        </w:tc>
        <w:tc>
          <w:tcPr>
            <w:tcW w:w="17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Weighted-average exercise</w:t>
            </w:r>
          </w:p>
        </w:tc>
        <w:tc>
          <w:tcPr>
            <w:tcW w:w="21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 of securities remaining available for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21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6"/>
              </w:rPr>
              <w:t>future issuance under equity</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860" w:type="dxa"/>
            <w:vAlign w:val="bottom"/>
            <w:gridSpan w:val="2"/>
          </w:tcPr>
          <w:p>
            <w:pPr>
              <w:jc w:val="center"/>
              <w:ind w:right="120"/>
              <w:spacing w:after="0" w:line="128" w:lineRule="exact"/>
              <w:rPr>
                <w:sz w:val="20"/>
                <w:szCs w:val="20"/>
                <w:color w:val="auto"/>
              </w:rPr>
            </w:pPr>
            <w:r>
              <w:rPr>
                <w:rFonts w:ascii="Arial" w:cs="Arial" w:eastAsia="Arial" w:hAnsi="Arial"/>
                <w:sz w:val="13"/>
                <w:szCs w:val="13"/>
                <w:b w:val="1"/>
                <w:bCs w:val="1"/>
                <w:color w:val="auto"/>
                <w:w w:val="84"/>
              </w:rPr>
              <w:t>exercise of outstanding options,</w:t>
            </w:r>
          </w:p>
        </w:tc>
        <w:tc>
          <w:tcPr>
            <w:tcW w:w="80" w:type="dxa"/>
            <w:vAlign w:val="bottom"/>
          </w:tcPr>
          <w:p>
            <w:pPr>
              <w:spacing w:after="0"/>
              <w:rPr>
                <w:sz w:val="11"/>
                <w:szCs w:val="11"/>
                <w:color w:val="auto"/>
              </w:rPr>
            </w:pPr>
          </w:p>
        </w:tc>
        <w:tc>
          <w:tcPr>
            <w:tcW w:w="176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5"/>
              </w:rPr>
              <w:t>price of outstanding options,</w:t>
            </w:r>
          </w:p>
        </w:tc>
        <w:tc>
          <w:tcPr>
            <w:tcW w:w="21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5"/>
              </w:rPr>
              <w:t>compensation plans (excluding</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warrants, and rights</w:t>
            </w:r>
          </w:p>
        </w:tc>
        <w:tc>
          <w:tcPr>
            <w:tcW w:w="8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warrants, and rights</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87"/>
              </w:rPr>
              <w:t>securities reflected in column (a))</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320" w:type="dxa"/>
            <w:vAlign w:val="bottom"/>
          </w:tcPr>
          <w:p>
            <w:pPr>
              <w:ind w:left="20"/>
              <w:spacing w:after="0"/>
              <w:rPr>
                <w:sz w:val="20"/>
                <w:szCs w:val="20"/>
                <w:color w:val="auto"/>
              </w:rPr>
            </w:pPr>
            <w:r>
              <w:rPr>
                <w:rFonts w:ascii="Arial" w:cs="Arial" w:eastAsia="Arial" w:hAnsi="Arial"/>
                <w:sz w:val="13"/>
                <w:szCs w:val="13"/>
                <w:b w:val="1"/>
                <w:bCs w:val="1"/>
                <w:color w:val="auto"/>
              </w:rPr>
              <w:t>Plan Category</w:t>
            </w:r>
          </w:p>
        </w:tc>
        <w:tc>
          <w:tcPr>
            <w:tcW w:w="1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w:t>
            </w:r>
          </w:p>
        </w:tc>
        <w:tc>
          <w:tcPr>
            <w:tcW w:w="8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(b)</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569,224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863,924</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this Item will be contained in our definitive Proxy Statement for our 2023 Annual Meeting of Stockholders being held on November 13, 2023, and is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this Item will be contained in our definitive Proxy Statement for our 2023 Annual Meeting of Stockholders being held on November 13, 2023, and is incorporated herein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Independent Registered Public Accounting Firm is FORVIS, LLP (PCAOB Firm ID No. 686) located in Springfield, Missouri.</w:t>
      </w:r>
    </w:p>
    <w:p>
      <w:pPr>
        <w:spacing w:after="0" w:line="112"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PART IV</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(a)(1) Financial Statements: See Part II – Item 8. Financial Statements and Supplementary Data.</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(a)(2) Financial Statement Schedules: All financial statement schedules have been omitted as the information is not required under the related instructions or is not applicable.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(a)(3) Exhibits: See Exhibit Index.</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 Exhibits: The following exhibits are filed as part of this Form 10-K and this list constitutes the Exhibit Index.</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Regulation S-K</w:t>
            </w: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60" w:type="dxa"/>
            <w:vAlign w:val="bottom"/>
            <w:gridSpan w:val="13"/>
            <w:vMerge w:val="restart"/>
          </w:tcPr>
          <w:p>
            <w:pPr>
              <w:ind w:left="640"/>
              <w:spacing w:after="0"/>
              <w:rPr>
                <w:sz w:val="20"/>
                <w:szCs w:val="20"/>
                <w:color w:val="auto"/>
              </w:rPr>
            </w:pPr>
            <w:r>
              <w:rPr>
                <w:rFonts w:ascii="Arial" w:cs="Arial" w:eastAsia="Arial" w:hAnsi="Arial"/>
                <w:sz w:val="13"/>
                <w:szCs w:val="13"/>
                <w:b w:val="1"/>
                <w:bCs w:val="1"/>
                <w:color w:val="auto"/>
              </w:rPr>
              <w:t>Document</w:t>
            </w:r>
          </w:p>
        </w:tc>
        <w:tc>
          <w:tcPr>
            <w:tcW w:w="80" w:type="dxa"/>
            <w:vAlign w:val="bottom"/>
            <w:vMerge w:val="restart"/>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9"/>
              </w:rPr>
              <w:t>Reference to Prior Filing or</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Exhibit #</w:t>
            </w: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1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Exhibit # Attached Hereto</w:t>
            </w:r>
          </w:p>
        </w:tc>
        <w:tc>
          <w:tcPr>
            <w:tcW w:w="0" w:type="dxa"/>
            <w:vAlign w:val="bottom"/>
          </w:tcPr>
          <w:p>
            <w:pPr>
              <w:spacing w:after="0"/>
              <w:rPr>
                <w:sz w:val="1"/>
                <w:szCs w:val="1"/>
                <w:color w:val="auto"/>
              </w:rPr>
            </w:pPr>
          </w:p>
        </w:tc>
      </w:tr>
      <w:tr>
        <w:trPr>
          <w:trHeight w:val="311"/>
        </w:trPr>
        <w:tc>
          <w:tcPr>
            <w:tcW w:w="1080" w:type="dxa"/>
            <w:vAlign w:val="bottom"/>
          </w:tcPr>
          <w:p>
            <w:pPr>
              <w:jc w:val="center"/>
              <w:spacing w:after="0"/>
              <w:rPr>
                <w:sz w:val="20"/>
                <w:szCs w:val="20"/>
                <w:color w:val="auto"/>
              </w:rPr>
            </w:pPr>
            <w:r>
              <w:rPr>
                <w:rFonts w:ascii="Arial" w:cs="Arial" w:eastAsia="Arial" w:hAnsi="Arial"/>
                <w:sz w:val="13"/>
                <w:szCs w:val="13"/>
                <w:color w:val="auto"/>
                <w:w w:val="88"/>
              </w:rPr>
              <w:t>2.1</w:t>
            </w:r>
          </w:p>
        </w:tc>
        <w:tc>
          <w:tcPr>
            <w:tcW w:w="100" w:type="dxa"/>
            <w:vAlign w:val="bottom"/>
          </w:tcPr>
          <w:p>
            <w:pPr>
              <w:spacing w:after="0"/>
              <w:rPr>
                <w:sz w:val="24"/>
                <w:szCs w:val="24"/>
                <w:color w:val="auto"/>
              </w:rPr>
            </w:pPr>
          </w:p>
        </w:tc>
        <w:tc>
          <w:tcPr>
            <w:tcW w:w="7120" w:type="dxa"/>
            <w:vAlign w:val="bottom"/>
            <w:tcBorders>
              <w:bottom w:val="single" w:sz="8" w:color="0000FF"/>
            </w:tcBorders>
            <w:gridSpan w:val="15"/>
          </w:tcPr>
          <w:p>
            <w:pPr>
              <w:spacing w:after="0"/>
              <w:rPr>
                <w:rFonts w:ascii="Arial" w:cs="Arial" w:eastAsia="Arial" w:hAnsi="Arial"/>
                <w:sz w:val="13"/>
                <w:szCs w:val="13"/>
                <w:color w:val="0000FF"/>
                <w:w w:val="88"/>
              </w:rPr>
            </w:pPr>
            <w:hyperlink r:id="rId92">
              <w:r>
                <w:rPr>
                  <w:rFonts w:ascii="Arial" w:cs="Arial" w:eastAsia="Arial" w:hAnsi="Arial"/>
                  <w:sz w:val="13"/>
                  <w:szCs w:val="13"/>
                  <w:color w:val="0000FF"/>
                  <w:w w:val="88"/>
                </w:rPr>
                <w:t>Agreement and Plan of Merger, dated as of September 20, 2016, by and between HomeTrust Bancshares, Inc. and TriSummit Bancorp, Inc.</w:t>
              </w:r>
            </w:hyperlink>
          </w:p>
        </w:tc>
        <w:tc>
          <w:tcPr>
            <w:tcW w:w="1240" w:type="dxa"/>
            <w:vAlign w:val="bottom"/>
            <w:gridSpan w:val="2"/>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(a)</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8"/>
              </w:rPr>
              <w:t>2.2</w:t>
            </w:r>
          </w:p>
        </w:tc>
        <w:tc>
          <w:tcPr>
            <w:tcW w:w="100" w:type="dxa"/>
            <w:vAlign w:val="bottom"/>
          </w:tcPr>
          <w:p>
            <w:pPr>
              <w:spacing w:after="0"/>
              <w:rPr>
                <w:sz w:val="13"/>
                <w:szCs w:val="13"/>
                <w:color w:val="auto"/>
              </w:rPr>
            </w:pPr>
          </w:p>
        </w:tc>
        <w:tc>
          <w:tcPr>
            <w:tcW w:w="6880" w:type="dxa"/>
            <w:vAlign w:val="bottom"/>
            <w:tcBorders>
              <w:bottom w:val="single" w:sz="8" w:color="0000FF"/>
            </w:tcBorders>
            <w:gridSpan w:val="13"/>
          </w:tcPr>
          <w:p>
            <w:pPr>
              <w:spacing w:after="0"/>
              <w:rPr>
                <w:rFonts w:ascii="Arial" w:cs="Arial" w:eastAsia="Arial" w:hAnsi="Arial"/>
                <w:sz w:val="13"/>
                <w:szCs w:val="13"/>
                <w:color w:val="0000FF"/>
                <w:w w:val="88"/>
              </w:rPr>
            </w:pPr>
            <w:hyperlink r:id="rId93">
              <w:r>
                <w:rPr>
                  <w:rFonts w:ascii="Arial" w:cs="Arial" w:eastAsia="Arial" w:hAnsi="Arial"/>
                  <w:sz w:val="13"/>
                  <w:szCs w:val="13"/>
                  <w:color w:val="0000FF"/>
                  <w:w w:val="88"/>
                </w:rPr>
                <w:t>Purchase and Assumption Agreement, dated as of June 9, 2014, between Bank of America, National Association and HomeTrust Bank</w:t>
              </w:r>
            </w:hyperlink>
          </w:p>
        </w:tc>
        <w:tc>
          <w:tcPr>
            <w:tcW w:w="1480" w:type="dxa"/>
            <w:vAlign w:val="bottom"/>
            <w:gridSpan w:val="4"/>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(b)</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8"/>
              </w:rPr>
              <w:t>2.3</w:t>
            </w:r>
          </w:p>
        </w:tc>
        <w:tc>
          <w:tcPr>
            <w:tcW w:w="100" w:type="dxa"/>
            <w:vAlign w:val="bottom"/>
          </w:tcPr>
          <w:p>
            <w:pPr>
              <w:spacing w:after="0"/>
              <w:rPr>
                <w:sz w:val="13"/>
                <w:szCs w:val="13"/>
                <w:color w:val="auto"/>
              </w:rPr>
            </w:pPr>
          </w:p>
        </w:tc>
        <w:tc>
          <w:tcPr>
            <w:tcW w:w="8360" w:type="dxa"/>
            <w:vAlign w:val="bottom"/>
            <w:gridSpan w:val="17"/>
          </w:tcPr>
          <w:p>
            <w:pPr>
              <w:spacing w:after="0"/>
              <w:rPr>
                <w:rFonts w:ascii="Arial" w:cs="Arial" w:eastAsia="Arial" w:hAnsi="Arial"/>
                <w:sz w:val="13"/>
                <w:szCs w:val="13"/>
                <w:color w:val="0000FF"/>
              </w:rPr>
            </w:pPr>
            <w:hyperlink r:id="rId94">
              <w:r>
                <w:rPr>
                  <w:rFonts w:ascii="Arial" w:cs="Arial" w:eastAsia="Arial" w:hAnsi="Arial"/>
                  <w:sz w:val="13"/>
                  <w:szCs w:val="13"/>
                  <w:color w:val="0000FF"/>
                </w:rPr>
                <w:t>Agreement and Plan of Merger, dated as of January 22, 2014, by and between HomeTrust Bancshares, Inc. and Jefferson Bancshares, Inc.</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(c)</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8"/>
              </w:rPr>
              <w:t>2.4</w:t>
            </w:r>
          </w:p>
        </w:tc>
        <w:tc>
          <w:tcPr>
            <w:tcW w:w="10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1"/>
          </w:tcPr>
          <w:p>
            <w:pPr>
              <w:spacing w:after="0"/>
              <w:rPr>
                <w:rFonts w:ascii="Arial" w:cs="Arial" w:eastAsia="Arial" w:hAnsi="Arial"/>
                <w:sz w:val="13"/>
                <w:szCs w:val="13"/>
                <w:color w:val="0000FF"/>
                <w:w w:val="87"/>
              </w:rPr>
            </w:pPr>
            <w:hyperlink r:id="rId95">
              <w:r>
                <w:rPr>
                  <w:rFonts w:ascii="Arial" w:cs="Arial" w:eastAsia="Arial" w:hAnsi="Arial"/>
                  <w:sz w:val="13"/>
                  <w:szCs w:val="13"/>
                  <w:color w:val="0000FF"/>
                  <w:w w:val="87"/>
                </w:rPr>
                <w:t>Agreement and Plan of Merger, dated as of July 24, 2022, by and between HomeTrust Bancshares, Inc. and Quantum Capital Corp.</w:t>
              </w:r>
            </w:hyperlink>
          </w:p>
        </w:tc>
        <w:tc>
          <w:tcPr>
            <w:tcW w:w="320" w:type="dxa"/>
            <w:vAlign w:val="bottom"/>
            <w:tcBorders>
              <w:top w:val="single" w:sz="8" w:color="0000FF"/>
            </w:tcBorders>
            <w:gridSpan w:val="3"/>
          </w:tcPr>
          <w:p>
            <w:pPr>
              <w:spacing w:after="0"/>
              <w:rPr>
                <w:sz w:val="13"/>
                <w:szCs w:val="13"/>
                <w:color w:val="auto"/>
              </w:rPr>
            </w:pPr>
          </w:p>
        </w:tc>
        <w:tc>
          <w:tcPr>
            <w:tcW w:w="1340" w:type="dxa"/>
            <w:vAlign w:val="bottom"/>
            <w:gridSpan w:val="3"/>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rPr>
              <w:t>(r)</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8"/>
              </w:rPr>
              <w:t>3.1</w:t>
            </w:r>
          </w:p>
        </w:tc>
        <w:tc>
          <w:tcPr>
            <w:tcW w:w="100" w:type="dxa"/>
            <w:vAlign w:val="bottom"/>
          </w:tcPr>
          <w:p>
            <w:pPr>
              <w:spacing w:after="0"/>
              <w:rPr>
                <w:sz w:val="13"/>
                <w:szCs w:val="13"/>
                <w:color w:val="auto"/>
              </w:rPr>
            </w:pPr>
          </w:p>
        </w:tc>
        <w:tc>
          <w:tcPr>
            <w:tcW w:w="8360" w:type="dxa"/>
            <w:vAlign w:val="bottom"/>
            <w:gridSpan w:val="17"/>
          </w:tcPr>
          <w:p>
            <w:pPr>
              <w:spacing w:after="0"/>
              <w:rPr>
                <w:rFonts w:ascii="Arial" w:cs="Arial" w:eastAsia="Arial" w:hAnsi="Arial"/>
                <w:sz w:val="13"/>
                <w:szCs w:val="13"/>
                <w:color w:val="0000FF"/>
              </w:rPr>
            </w:pPr>
            <w:hyperlink r:id="rId96">
              <w:r>
                <w:rPr>
                  <w:rFonts w:ascii="Arial" w:cs="Arial" w:eastAsia="Arial" w:hAnsi="Arial"/>
                  <w:sz w:val="13"/>
                  <w:szCs w:val="13"/>
                  <w:color w:val="0000FF"/>
                </w:rPr>
                <w:t>Charter of HomeTrust Bancshares, Inc.</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100" w:type="dxa"/>
            <w:vAlign w:val="bottom"/>
          </w:tcPr>
          <w:p>
            <w:pPr>
              <w:spacing w:after="0"/>
              <w:rPr>
                <w:sz w:val="13"/>
                <w:szCs w:val="13"/>
                <w:color w:val="auto"/>
              </w:rPr>
            </w:pPr>
          </w:p>
        </w:tc>
        <w:tc>
          <w:tcPr>
            <w:tcW w:w="322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87"/>
              </w:rPr>
              <w:t>Amended and Restated Bylaws of HomeTrust Bancshares, Inc.</w:t>
            </w:r>
          </w:p>
        </w:tc>
        <w:tc>
          <w:tcPr>
            <w:tcW w:w="5140" w:type="dxa"/>
            <w:vAlign w:val="bottom"/>
            <w:gridSpan w:val="14"/>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8"/>
              </w:rPr>
              <w:t>4.1</w:t>
            </w:r>
          </w:p>
        </w:tc>
        <w:tc>
          <w:tcPr>
            <w:tcW w:w="100" w:type="dxa"/>
            <w:vAlign w:val="bottom"/>
          </w:tcPr>
          <w:p>
            <w:pPr>
              <w:spacing w:after="0"/>
              <w:rPr>
                <w:sz w:val="13"/>
                <w:szCs w:val="13"/>
                <w:color w:val="auto"/>
              </w:rPr>
            </w:pPr>
          </w:p>
        </w:tc>
        <w:tc>
          <w:tcPr>
            <w:tcW w:w="658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88"/>
              </w:rPr>
              <w:t>Description of HomeTrust Bancshares, Inc. Securities Registered Pursuant to Section 12 of the Securities Exchange Act of 1934.</w:t>
            </w:r>
          </w:p>
        </w:tc>
        <w:tc>
          <w:tcPr>
            <w:tcW w:w="1780" w:type="dxa"/>
            <w:vAlign w:val="bottom"/>
            <w:gridSpan w:val="8"/>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8"/>
              </w:rPr>
              <w:t>4.1</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8360" w:type="dxa"/>
            <w:vAlign w:val="bottom"/>
            <w:gridSpan w:val="17"/>
          </w:tcPr>
          <w:p>
            <w:pPr>
              <w:spacing w:after="0"/>
              <w:rPr>
                <w:rFonts w:ascii="Arial" w:cs="Arial" w:eastAsia="Arial" w:hAnsi="Arial"/>
                <w:sz w:val="13"/>
                <w:szCs w:val="13"/>
                <w:color w:val="0000FF"/>
              </w:rPr>
            </w:pPr>
            <w:hyperlink r:id="rId97">
              <w:r>
                <w:rPr>
                  <w:rFonts w:ascii="Arial" w:cs="Arial" w:eastAsia="Arial" w:hAnsi="Arial"/>
                  <w:sz w:val="13"/>
                  <w:szCs w:val="13"/>
                  <w:color w:val="0000FF"/>
                </w:rPr>
                <w:t>HomeTrust Bancshares, Inc. Senior Leadership Incentive Plan (formerly known as Operating Committee Incentive Program)</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(v)</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Pr>
          <w:p>
            <w:pPr>
              <w:spacing w:after="0"/>
              <w:rPr>
                <w:sz w:val="13"/>
                <w:szCs w:val="13"/>
                <w:color w:val="auto"/>
              </w:rPr>
            </w:pPr>
          </w:p>
        </w:tc>
        <w:tc>
          <w:tcPr>
            <w:tcW w:w="8360" w:type="dxa"/>
            <w:vAlign w:val="bottom"/>
            <w:gridSpan w:val="17"/>
          </w:tcPr>
          <w:p>
            <w:pPr>
              <w:spacing w:after="0"/>
              <w:rPr>
                <w:rFonts w:ascii="Arial" w:cs="Arial" w:eastAsia="Arial" w:hAnsi="Arial"/>
                <w:sz w:val="13"/>
                <w:szCs w:val="13"/>
                <w:color w:val="0000FF"/>
              </w:rPr>
            </w:pPr>
            <w:hyperlink r:id="rId98">
              <w:r>
                <w:rPr>
                  <w:rFonts w:ascii="Arial" w:cs="Arial" w:eastAsia="Arial" w:hAnsi="Arial"/>
                  <w:sz w:val="13"/>
                  <w:szCs w:val="13"/>
                  <w:color w:val="0000FF"/>
                </w:rPr>
                <w:t>Amended and Restated Employment and Transition Agreement between HomeTrust Bancshares, Inc. and Dana L. Stonestreet</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(v)</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10.3</w:t>
            </w:r>
          </w:p>
        </w:tc>
        <w:tc>
          <w:tcPr>
            <w:tcW w:w="10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6"/>
          </w:tcPr>
          <w:p>
            <w:pPr>
              <w:spacing w:after="0"/>
              <w:rPr>
                <w:rFonts w:ascii="Arial" w:cs="Arial" w:eastAsia="Arial" w:hAnsi="Arial"/>
                <w:sz w:val="13"/>
                <w:szCs w:val="13"/>
                <w:color w:val="0000FF"/>
                <w:w w:val="87"/>
              </w:rPr>
            </w:pPr>
            <w:hyperlink r:id="rId99">
              <w:r>
                <w:rPr>
                  <w:rFonts w:ascii="Arial" w:cs="Arial" w:eastAsia="Arial" w:hAnsi="Arial"/>
                  <w:sz w:val="13"/>
                  <w:szCs w:val="13"/>
                  <w:color w:val="0000FF"/>
                  <w:w w:val="87"/>
                </w:rPr>
                <w:t>Amended and Restated Employment Agreement between HomeTrust Bancshares, Inc. and C. Hunter Westbrook</w:t>
              </w:r>
            </w:hyperlink>
          </w:p>
        </w:tc>
        <w:tc>
          <w:tcPr>
            <w:tcW w:w="680" w:type="dxa"/>
            <w:vAlign w:val="bottom"/>
            <w:tcBorders>
              <w:top w:val="single" w:sz="8" w:color="0000FF"/>
            </w:tcBorders>
            <w:gridSpan w:val="2"/>
          </w:tcPr>
          <w:p>
            <w:pPr>
              <w:spacing w:after="0"/>
              <w:rPr>
                <w:sz w:val="13"/>
                <w:szCs w:val="13"/>
                <w:color w:val="auto"/>
              </w:rPr>
            </w:pPr>
          </w:p>
        </w:tc>
        <w:tc>
          <w:tcPr>
            <w:tcW w:w="1940" w:type="dxa"/>
            <w:vAlign w:val="bottom"/>
            <w:gridSpan w:val="9"/>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(g)</w:t>
            </w: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10.3A</w:t>
            </w:r>
          </w:p>
        </w:tc>
        <w:tc>
          <w:tcPr>
            <w:tcW w:w="8360" w:type="dxa"/>
            <w:vAlign w:val="bottom"/>
            <w:gridSpan w:val="17"/>
          </w:tcPr>
          <w:p>
            <w:pPr>
              <w:spacing w:after="0"/>
              <w:rPr>
                <w:rFonts w:ascii="Arial" w:cs="Arial" w:eastAsia="Arial" w:hAnsi="Arial"/>
                <w:sz w:val="13"/>
                <w:szCs w:val="13"/>
                <w:color w:val="0000FF"/>
              </w:rPr>
            </w:pPr>
            <w:hyperlink r:id="rId100">
              <w:r>
                <w:rPr>
                  <w:rFonts w:ascii="Arial" w:cs="Arial" w:eastAsia="Arial" w:hAnsi="Arial"/>
                  <w:sz w:val="13"/>
                  <w:szCs w:val="13"/>
                  <w:color w:val="0000FF"/>
                </w:rPr>
                <w:t>Amendment No. 1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(s)</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10.3B</w:t>
            </w:r>
          </w:p>
        </w:tc>
        <w:tc>
          <w:tcPr>
            <w:tcW w:w="8360" w:type="dxa"/>
            <w:vAlign w:val="bottom"/>
            <w:gridSpan w:val="17"/>
          </w:tcPr>
          <w:p>
            <w:pPr>
              <w:spacing w:after="0"/>
              <w:rPr>
                <w:rFonts w:ascii="Arial" w:cs="Arial" w:eastAsia="Arial" w:hAnsi="Arial"/>
                <w:sz w:val="13"/>
                <w:szCs w:val="13"/>
                <w:color w:val="0000FF"/>
              </w:rPr>
            </w:pPr>
            <w:hyperlink r:id="rId101">
              <w:r>
                <w:rPr>
                  <w:rFonts w:ascii="Arial" w:cs="Arial" w:eastAsia="Arial" w:hAnsi="Arial"/>
                  <w:sz w:val="13"/>
                  <w:szCs w:val="13"/>
                  <w:color w:val="0000FF"/>
                </w:rPr>
                <w:t>Amendment No. 2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(h)</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10.3C</w:t>
            </w:r>
          </w:p>
        </w:tc>
        <w:tc>
          <w:tcPr>
            <w:tcW w:w="8360" w:type="dxa"/>
            <w:vAlign w:val="bottom"/>
            <w:gridSpan w:val="17"/>
          </w:tcPr>
          <w:p>
            <w:pPr>
              <w:spacing w:after="0"/>
              <w:rPr>
                <w:rFonts w:ascii="Arial" w:cs="Arial" w:eastAsia="Arial" w:hAnsi="Arial"/>
                <w:sz w:val="13"/>
                <w:szCs w:val="13"/>
                <w:color w:val="0000FF"/>
              </w:rPr>
            </w:pPr>
            <w:hyperlink r:id="rId102">
              <w:r>
                <w:rPr>
                  <w:rFonts w:ascii="Arial" w:cs="Arial" w:eastAsia="Arial" w:hAnsi="Arial"/>
                  <w:sz w:val="13"/>
                  <w:szCs w:val="13"/>
                  <w:color w:val="0000FF"/>
                </w:rPr>
                <w:t>Amendment No. 3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(q)</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10.3D</w:t>
            </w:r>
          </w:p>
        </w:tc>
        <w:tc>
          <w:tcPr>
            <w:tcW w:w="8360" w:type="dxa"/>
            <w:vAlign w:val="bottom"/>
            <w:gridSpan w:val="17"/>
          </w:tcPr>
          <w:p>
            <w:pPr>
              <w:spacing w:after="0"/>
              <w:rPr>
                <w:rFonts w:ascii="Arial" w:cs="Arial" w:eastAsia="Arial" w:hAnsi="Arial"/>
                <w:sz w:val="13"/>
                <w:szCs w:val="13"/>
                <w:color w:val="0000FF"/>
              </w:rPr>
            </w:pPr>
            <w:hyperlink r:id="rId103">
              <w:r>
                <w:rPr>
                  <w:rFonts w:ascii="Arial" w:cs="Arial" w:eastAsia="Arial" w:hAnsi="Arial"/>
                  <w:sz w:val="13"/>
                  <w:szCs w:val="13"/>
                  <w:color w:val="0000FF"/>
                </w:rPr>
                <w:t>Amendment No. 4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(e)</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10.4</w:t>
            </w:r>
          </w:p>
        </w:tc>
        <w:tc>
          <w:tcPr>
            <w:tcW w:w="100" w:type="dxa"/>
            <w:vAlign w:val="bottom"/>
          </w:tcPr>
          <w:p>
            <w:pPr>
              <w:spacing w:after="0"/>
              <w:rPr>
                <w:sz w:val="13"/>
                <w:szCs w:val="13"/>
                <w:color w:val="auto"/>
              </w:rPr>
            </w:pPr>
          </w:p>
        </w:tc>
        <w:tc>
          <w:tcPr>
            <w:tcW w:w="6840" w:type="dxa"/>
            <w:vAlign w:val="bottom"/>
            <w:tcBorders>
              <w:top w:val="single" w:sz="8" w:color="0000FF"/>
            </w:tcBorders>
            <w:gridSpan w:val="12"/>
          </w:tcPr>
          <w:p>
            <w:pPr>
              <w:spacing w:after="0"/>
              <w:rPr>
                <w:rFonts w:ascii="Arial" w:cs="Arial" w:eastAsia="Arial" w:hAnsi="Arial"/>
                <w:sz w:val="13"/>
                <w:szCs w:val="13"/>
                <w:color w:val="0000FF"/>
              </w:rPr>
            </w:pPr>
            <w:hyperlink r:id="rId99">
              <w:r>
                <w:rPr>
                  <w:rFonts w:ascii="Arial" w:cs="Arial" w:eastAsia="Arial" w:hAnsi="Arial"/>
                  <w:sz w:val="13"/>
                  <w:szCs w:val="13"/>
                  <w:color w:val="0000FF"/>
                </w:rPr>
                <w:t>Amended and Restated Employment Agreement between HomeTrust Bancshares, Inc. and Tony J. VunCannon</w:t>
              </w:r>
            </w:hyperlink>
          </w:p>
        </w:tc>
        <w:tc>
          <w:tcPr>
            <w:tcW w:w="1520" w:type="dxa"/>
            <w:vAlign w:val="bottom"/>
            <w:gridSpan w:val="5"/>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(g)</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10.4A</w:t>
            </w:r>
          </w:p>
        </w:tc>
        <w:tc>
          <w:tcPr>
            <w:tcW w:w="8360" w:type="dxa"/>
            <w:vAlign w:val="bottom"/>
            <w:gridSpan w:val="17"/>
          </w:tcPr>
          <w:p>
            <w:pPr>
              <w:spacing w:after="0"/>
              <w:rPr>
                <w:rFonts w:ascii="Arial" w:cs="Arial" w:eastAsia="Arial" w:hAnsi="Arial"/>
                <w:sz w:val="13"/>
                <w:szCs w:val="13"/>
                <w:color w:val="0000FF"/>
              </w:rPr>
            </w:pPr>
            <w:hyperlink r:id="rId104">
              <w:r>
                <w:rPr>
                  <w:rFonts w:ascii="Arial" w:cs="Arial" w:eastAsia="Arial" w:hAnsi="Arial"/>
                  <w:sz w:val="13"/>
                  <w:szCs w:val="13"/>
                  <w:color w:val="0000FF"/>
                </w:rPr>
                <w:t>Amendment No. 1 to Amended and Restated Employment Agreement between HomeTrust Bancshares, Inc. and Tony VunCannon</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(v)</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10.5</w:t>
            </w:r>
          </w:p>
        </w:tc>
        <w:tc>
          <w:tcPr>
            <w:tcW w:w="100" w:type="dxa"/>
            <w:vAlign w:val="bottom"/>
          </w:tcPr>
          <w:p>
            <w:pPr>
              <w:spacing w:after="0"/>
              <w:rPr>
                <w:sz w:val="13"/>
                <w:szCs w:val="13"/>
                <w:color w:val="auto"/>
              </w:rPr>
            </w:pPr>
          </w:p>
        </w:tc>
        <w:tc>
          <w:tcPr>
            <w:tcW w:w="6660" w:type="dxa"/>
            <w:vAlign w:val="bottom"/>
            <w:tcBorders>
              <w:top w:val="single" w:sz="8" w:color="0000FF"/>
            </w:tcBorders>
            <w:gridSpan w:val="10"/>
          </w:tcPr>
          <w:p>
            <w:pPr>
              <w:spacing w:after="0"/>
              <w:rPr>
                <w:rFonts w:ascii="Arial" w:cs="Arial" w:eastAsia="Arial" w:hAnsi="Arial"/>
                <w:sz w:val="13"/>
                <w:szCs w:val="13"/>
                <w:color w:val="0000FF"/>
              </w:rPr>
            </w:pPr>
            <w:hyperlink r:id="rId96">
              <w:r>
                <w:rPr>
                  <w:rFonts w:ascii="Arial" w:cs="Arial" w:eastAsia="Arial" w:hAnsi="Arial"/>
                  <w:sz w:val="13"/>
                  <w:szCs w:val="13"/>
                  <w:color w:val="0000FF"/>
                </w:rPr>
                <w:t>HomeTrust Bank Executive Supplemental Retirement Income Master Agreement (“SERP”)</w:t>
              </w:r>
            </w:hyperlink>
          </w:p>
        </w:tc>
        <w:tc>
          <w:tcPr>
            <w:tcW w:w="1700" w:type="dxa"/>
            <w:vAlign w:val="bottom"/>
            <w:gridSpan w:val="7"/>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10.6</w:t>
            </w:r>
          </w:p>
        </w:tc>
        <w:tc>
          <w:tcPr>
            <w:tcW w:w="10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rPr>
                <w:rFonts w:ascii="Arial" w:cs="Arial" w:eastAsia="Arial" w:hAnsi="Arial"/>
                <w:sz w:val="13"/>
                <w:szCs w:val="13"/>
                <w:color w:val="0000FF"/>
                <w:w w:val="88"/>
              </w:rPr>
            </w:pPr>
            <w:hyperlink r:id="rId105">
              <w:r>
                <w:rPr>
                  <w:rFonts w:ascii="Arial" w:cs="Arial" w:eastAsia="Arial" w:hAnsi="Arial"/>
                  <w:sz w:val="13"/>
                  <w:szCs w:val="13"/>
                  <w:color w:val="0000FF"/>
                  <w:w w:val="88"/>
                </w:rPr>
                <w:t>Amendment No. 1 to SERP</w:t>
              </w:r>
            </w:hyperlink>
          </w:p>
        </w:tc>
        <w:tc>
          <w:tcPr>
            <w:tcW w:w="3260" w:type="dxa"/>
            <w:vAlign w:val="bottom"/>
            <w:tcBorders>
              <w:top w:val="single" w:sz="8" w:color="0000FF"/>
            </w:tcBorders>
            <w:gridSpan w:val="3"/>
          </w:tcPr>
          <w:p>
            <w:pPr>
              <w:spacing w:after="0"/>
              <w:rPr>
                <w:sz w:val="13"/>
                <w:szCs w:val="13"/>
                <w:color w:val="auto"/>
              </w:rPr>
            </w:pPr>
          </w:p>
        </w:tc>
        <w:tc>
          <w:tcPr>
            <w:tcW w:w="3680" w:type="dxa"/>
            <w:vAlign w:val="bottom"/>
            <w:gridSpan w:val="13"/>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(m)</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10.7</w:t>
            </w:r>
          </w:p>
        </w:tc>
        <w:tc>
          <w:tcPr>
            <w:tcW w:w="100" w:type="dxa"/>
            <w:vAlign w:val="bottom"/>
          </w:tcPr>
          <w:p>
            <w:pPr>
              <w:spacing w:after="0"/>
              <w:rPr>
                <w:sz w:val="13"/>
                <w:szCs w:val="13"/>
                <w:color w:val="auto"/>
              </w:rPr>
            </w:pPr>
          </w:p>
        </w:tc>
        <w:tc>
          <w:tcPr>
            <w:tcW w:w="1420" w:type="dxa"/>
            <w:vAlign w:val="bottom"/>
            <w:tcBorders>
              <w:bottom w:val="single" w:sz="8" w:color="0000FF"/>
            </w:tcBorders>
          </w:tcPr>
          <w:p>
            <w:pPr>
              <w:spacing w:after="0"/>
              <w:rPr>
                <w:rFonts w:ascii="Arial" w:cs="Arial" w:eastAsia="Arial" w:hAnsi="Arial"/>
                <w:sz w:val="13"/>
                <w:szCs w:val="13"/>
                <w:color w:val="0000FF"/>
                <w:w w:val="88"/>
              </w:rPr>
            </w:pPr>
            <w:hyperlink r:id="rId106">
              <w:r>
                <w:rPr>
                  <w:rFonts w:ascii="Arial" w:cs="Arial" w:eastAsia="Arial" w:hAnsi="Arial"/>
                  <w:sz w:val="13"/>
                  <w:szCs w:val="13"/>
                  <w:color w:val="0000FF"/>
                  <w:w w:val="88"/>
                </w:rPr>
                <w:t>Amendment No. 2 to SERP</w:t>
              </w:r>
            </w:hyperlink>
          </w:p>
        </w:tc>
        <w:tc>
          <w:tcPr>
            <w:tcW w:w="6940" w:type="dxa"/>
            <w:vAlign w:val="bottom"/>
            <w:gridSpan w:val="16"/>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rPr>
              <w:t>(l)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Regulation S-K</w:t>
            </w: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00" w:type="dxa"/>
            <w:vAlign w:val="bottom"/>
            <w:gridSpan w:val="23"/>
            <w:vMerge w:val="restart"/>
          </w:tcPr>
          <w:p>
            <w:pPr>
              <w:ind w:left="8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Exhibit #</w:t>
            </w:r>
          </w:p>
        </w:tc>
        <w:tc>
          <w:tcPr>
            <w:tcW w:w="100" w:type="dxa"/>
            <w:vAlign w:val="bottom"/>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10.7A</w:t>
            </w:r>
          </w:p>
        </w:tc>
        <w:tc>
          <w:tcPr>
            <w:tcW w:w="8280" w:type="dxa"/>
            <w:vAlign w:val="bottom"/>
            <w:gridSpan w:val="41"/>
          </w:tcPr>
          <w:p>
            <w:pPr>
              <w:spacing w:after="0"/>
              <w:rPr>
                <w:rFonts w:ascii="Arial" w:cs="Arial" w:eastAsia="Arial" w:hAnsi="Arial"/>
                <w:sz w:val="13"/>
                <w:szCs w:val="13"/>
                <w:color w:val="0000FF"/>
              </w:rPr>
            </w:pPr>
            <w:hyperlink r:id="rId96">
              <w:r>
                <w:rPr>
                  <w:rFonts w:ascii="Arial" w:cs="Arial" w:eastAsia="Arial" w:hAnsi="Arial"/>
                  <w:sz w:val="13"/>
                  <w:szCs w:val="13"/>
                  <w:color w:val="0000FF"/>
                </w:rPr>
                <w:t>SERP Joinder Agreement for F. Edward Broadwell, Jr.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10.7B</w:t>
            </w:r>
          </w:p>
        </w:tc>
        <w:tc>
          <w:tcPr>
            <w:tcW w:w="2540" w:type="dxa"/>
            <w:vAlign w:val="bottom"/>
            <w:tcBorders>
              <w:top w:val="single" w:sz="8" w:color="0000FF"/>
              <w:bottom w:val="single" w:sz="8" w:color="0000FF"/>
            </w:tcBorders>
            <w:gridSpan w:val="4"/>
          </w:tcPr>
          <w:p>
            <w:pPr>
              <w:spacing w:after="0"/>
              <w:rPr>
                <w:rFonts w:ascii="Arial" w:cs="Arial" w:eastAsia="Arial" w:hAnsi="Arial"/>
                <w:sz w:val="13"/>
                <w:szCs w:val="13"/>
                <w:color w:val="0000FF"/>
                <w:w w:val="87"/>
              </w:rPr>
            </w:pPr>
            <w:hyperlink r:id="rId96">
              <w:r>
                <w:rPr>
                  <w:rFonts w:ascii="Arial" w:cs="Arial" w:eastAsia="Arial" w:hAnsi="Arial"/>
                  <w:sz w:val="13"/>
                  <w:szCs w:val="13"/>
                  <w:color w:val="0000FF"/>
                  <w:w w:val="87"/>
                </w:rPr>
                <w:t>SERP Joinder Agreement for Dana L. Stonestreet</w:t>
              </w:r>
            </w:hyperlink>
          </w:p>
        </w:tc>
        <w:tc>
          <w:tcPr>
            <w:tcW w:w="240" w:type="dxa"/>
            <w:vAlign w:val="bottom"/>
            <w:tcBorders>
              <w:top w:val="single" w:sz="8" w:color="0000FF"/>
            </w:tcBorders>
            <w:gridSpan w:val="3"/>
          </w:tcPr>
          <w:p>
            <w:pPr>
              <w:spacing w:after="0"/>
              <w:rPr>
                <w:sz w:val="13"/>
                <w:szCs w:val="13"/>
                <w:color w:val="auto"/>
              </w:rPr>
            </w:pPr>
          </w:p>
        </w:tc>
        <w:tc>
          <w:tcPr>
            <w:tcW w:w="5500" w:type="dxa"/>
            <w:vAlign w:val="bottom"/>
            <w:gridSpan w:val="3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10.7C</w:t>
            </w:r>
          </w:p>
        </w:tc>
        <w:tc>
          <w:tcPr>
            <w:tcW w:w="2540" w:type="dxa"/>
            <w:vAlign w:val="bottom"/>
            <w:tcBorders>
              <w:bottom w:val="single" w:sz="8" w:color="0000FF"/>
            </w:tcBorders>
            <w:gridSpan w:val="4"/>
          </w:tcPr>
          <w:p>
            <w:pPr>
              <w:spacing w:after="0"/>
              <w:rPr>
                <w:rFonts w:ascii="Arial" w:cs="Arial" w:eastAsia="Arial" w:hAnsi="Arial"/>
                <w:sz w:val="13"/>
                <w:szCs w:val="13"/>
                <w:color w:val="0000FF"/>
                <w:w w:val="88"/>
              </w:rPr>
            </w:pPr>
            <w:hyperlink r:id="rId96">
              <w:r>
                <w:rPr>
                  <w:rFonts w:ascii="Arial" w:cs="Arial" w:eastAsia="Arial" w:hAnsi="Arial"/>
                  <w:sz w:val="13"/>
                  <w:szCs w:val="13"/>
                  <w:color w:val="0000FF"/>
                  <w:w w:val="88"/>
                </w:rPr>
                <w:t>SERP Joinder Agreement for Tony J. VunCannon</w:t>
              </w:r>
            </w:hyperlink>
          </w:p>
        </w:tc>
        <w:tc>
          <w:tcPr>
            <w:tcW w:w="5740" w:type="dxa"/>
            <w:vAlign w:val="bottom"/>
            <w:gridSpan w:val="3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10.7D</w:t>
            </w:r>
          </w:p>
        </w:tc>
        <w:tc>
          <w:tcPr>
            <w:tcW w:w="8280" w:type="dxa"/>
            <w:vAlign w:val="bottom"/>
            <w:gridSpan w:val="41"/>
          </w:tcPr>
          <w:p>
            <w:pPr>
              <w:spacing w:after="0"/>
              <w:rPr>
                <w:rFonts w:ascii="Arial" w:cs="Arial" w:eastAsia="Arial" w:hAnsi="Arial"/>
                <w:sz w:val="13"/>
                <w:szCs w:val="13"/>
                <w:color w:val="0000FF"/>
              </w:rPr>
            </w:pPr>
            <w:hyperlink r:id="rId96">
              <w:r>
                <w:rPr>
                  <w:rFonts w:ascii="Arial" w:cs="Arial" w:eastAsia="Arial" w:hAnsi="Arial"/>
                  <w:sz w:val="13"/>
                  <w:szCs w:val="13"/>
                  <w:color w:val="0000FF"/>
                </w:rPr>
                <w:t>SERP Joinder Agreement for Howard L. Sellinger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10.7E</w:t>
            </w:r>
          </w:p>
        </w:tc>
        <w:tc>
          <w:tcPr>
            <w:tcW w:w="2560" w:type="dxa"/>
            <w:vAlign w:val="bottom"/>
            <w:tcBorders>
              <w:top w:val="single" w:sz="8" w:color="0000FF"/>
            </w:tcBorders>
            <w:gridSpan w:val="5"/>
          </w:tcPr>
          <w:p>
            <w:pPr>
              <w:spacing w:after="0"/>
              <w:rPr>
                <w:rFonts w:ascii="Arial" w:cs="Arial" w:eastAsia="Arial" w:hAnsi="Arial"/>
                <w:sz w:val="13"/>
                <w:szCs w:val="13"/>
                <w:color w:val="0000FF"/>
              </w:rPr>
            </w:pPr>
            <w:hyperlink r:id="rId96">
              <w:r>
                <w:rPr>
                  <w:rFonts w:ascii="Arial" w:cs="Arial" w:eastAsia="Arial" w:hAnsi="Arial"/>
                  <w:sz w:val="13"/>
                  <w:szCs w:val="13"/>
                  <w:color w:val="0000FF"/>
                </w:rPr>
                <w:t>SERP Joinder Agreement for Stan Allen</w:t>
              </w:r>
            </w:hyperlink>
          </w:p>
        </w:tc>
        <w:tc>
          <w:tcPr>
            <w:tcW w:w="5720" w:type="dxa"/>
            <w:vAlign w:val="bottom"/>
            <w:gridSpan w:val="3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10.7F</w:t>
            </w:r>
          </w:p>
        </w:tc>
        <w:tc>
          <w:tcPr>
            <w:tcW w:w="8280" w:type="dxa"/>
            <w:vAlign w:val="bottom"/>
            <w:gridSpan w:val="41"/>
          </w:tcPr>
          <w:p>
            <w:pPr>
              <w:spacing w:after="0"/>
              <w:rPr>
                <w:rFonts w:ascii="Arial" w:cs="Arial" w:eastAsia="Arial" w:hAnsi="Arial"/>
                <w:sz w:val="13"/>
                <w:szCs w:val="13"/>
                <w:color w:val="0000FF"/>
              </w:rPr>
            </w:pPr>
            <w:hyperlink r:id="rId96">
              <w:r>
                <w:rPr>
                  <w:rFonts w:ascii="Arial" w:cs="Arial" w:eastAsia="Arial" w:hAnsi="Arial"/>
                  <w:sz w:val="13"/>
                  <w:szCs w:val="13"/>
                  <w:color w:val="0000FF"/>
                </w:rPr>
                <w:t>SERP Joinder Agreement for Sidney A. Biesecker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10.7G</w:t>
            </w:r>
          </w:p>
        </w:tc>
        <w:tc>
          <w:tcPr>
            <w:tcW w:w="2460" w:type="dxa"/>
            <w:vAlign w:val="bottom"/>
            <w:tcBorders>
              <w:top w:val="single" w:sz="8" w:color="0000FF"/>
              <w:bottom w:val="single" w:sz="8" w:color="0000FF"/>
            </w:tcBorders>
            <w:gridSpan w:val="3"/>
          </w:tcPr>
          <w:p>
            <w:pPr>
              <w:spacing w:after="0"/>
              <w:rPr>
                <w:rFonts w:ascii="Arial" w:cs="Arial" w:eastAsia="Arial" w:hAnsi="Arial"/>
                <w:sz w:val="13"/>
                <w:szCs w:val="13"/>
                <w:color w:val="0000FF"/>
                <w:w w:val="89"/>
              </w:rPr>
            </w:pPr>
            <w:hyperlink r:id="rId96">
              <w:r>
                <w:rPr>
                  <w:rFonts w:ascii="Arial" w:cs="Arial" w:eastAsia="Arial" w:hAnsi="Arial"/>
                  <w:sz w:val="13"/>
                  <w:szCs w:val="13"/>
                  <w:color w:val="0000FF"/>
                  <w:w w:val="89"/>
                </w:rPr>
                <w:t>SERP Joinder Agreement for Peggy C. Melville</w:t>
              </w:r>
            </w:hyperlink>
          </w:p>
        </w:tc>
        <w:tc>
          <w:tcPr>
            <w:tcW w:w="100" w:type="dxa"/>
            <w:vAlign w:val="bottom"/>
            <w:tcBorders>
              <w:top w:val="single" w:sz="8" w:color="0000FF"/>
            </w:tcBorders>
            <w:gridSpan w:val="2"/>
          </w:tcPr>
          <w:p>
            <w:pPr>
              <w:spacing w:after="0"/>
              <w:rPr>
                <w:sz w:val="13"/>
                <w:szCs w:val="13"/>
                <w:color w:val="auto"/>
              </w:rPr>
            </w:pPr>
          </w:p>
        </w:tc>
        <w:tc>
          <w:tcPr>
            <w:tcW w:w="5720" w:type="dxa"/>
            <w:vAlign w:val="bottom"/>
            <w:gridSpan w:val="3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10.7H</w:t>
            </w:r>
          </w:p>
        </w:tc>
        <w:tc>
          <w:tcPr>
            <w:tcW w:w="2380" w:type="dxa"/>
            <w:vAlign w:val="bottom"/>
            <w:tcBorders>
              <w:bottom w:val="single" w:sz="8" w:color="0000FF"/>
            </w:tcBorders>
            <w:gridSpan w:val="2"/>
          </w:tcPr>
          <w:p>
            <w:pPr>
              <w:spacing w:after="0"/>
              <w:rPr>
                <w:rFonts w:ascii="Arial" w:cs="Arial" w:eastAsia="Arial" w:hAnsi="Arial"/>
                <w:sz w:val="13"/>
                <w:szCs w:val="13"/>
                <w:color w:val="0000FF"/>
                <w:w w:val="90"/>
              </w:rPr>
            </w:pPr>
            <w:hyperlink r:id="rId96">
              <w:r>
                <w:rPr>
                  <w:rFonts w:ascii="Arial" w:cs="Arial" w:eastAsia="Arial" w:hAnsi="Arial"/>
                  <w:sz w:val="13"/>
                  <w:szCs w:val="13"/>
                  <w:color w:val="0000FF"/>
                  <w:w w:val="90"/>
                </w:rPr>
                <w:t>SERP Joinder Agreement for William T. Flynt</w:t>
              </w:r>
            </w:hyperlink>
          </w:p>
        </w:tc>
        <w:tc>
          <w:tcPr>
            <w:tcW w:w="5900" w:type="dxa"/>
            <w:vAlign w:val="bottom"/>
            <w:gridSpan w:val="3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10.7I</w:t>
            </w:r>
          </w:p>
        </w:tc>
        <w:tc>
          <w:tcPr>
            <w:tcW w:w="8280" w:type="dxa"/>
            <w:vAlign w:val="bottom"/>
            <w:gridSpan w:val="41"/>
          </w:tcPr>
          <w:p>
            <w:pPr>
              <w:spacing w:after="0"/>
              <w:rPr>
                <w:rFonts w:ascii="Arial" w:cs="Arial" w:eastAsia="Arial" w:hAnsi="Arial"/>
                <w:sz w:val="13"/>
                <w:szCs w:val="13"/>
                <w:color w:val="0000FF"/>
                <w:w w:val="91"/>
              </w:rPr>
            </w:pPr>
            <w:hyperlink r:id="rId108">
              <w:r>
                <w:rPr>
                  <w:rFonts w:ascii="Arial" w:cs="Arial" w:eastAsia="Arial" w:hAnsi="Arial"/>
                  <w:sz w:val="13"/>
                  <w:szCs w:val="13"/>
                  <w:color w:val="0000FF"/>
                  <w:w w:val="91"/>
                </w:rPr>
                <w:t>Amended and Restated Supplemental Income Agreement between HomeTrust Bank, as successor to Industrial Federal Savings Bank, and Sidney Biesecker</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10.8</w:t>
            </w:r>
          </w:p>
        </w:tc>
        <w:tc>
          <w:tcPr>
            <w:tcW w:w="1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5"/>
          </w:tcPr>
          <w:p>
            <w:pPr>
              <w:spacing w:after="0"/>
              <w:rPr>
                <w:rFonts w:ascii="Arial" w:cs="Arial" w:eastAsia="Arial" w:hAnsi="Arial"/>
                <w:sz w:val="13"/>
                <w:szCs w:val="13"/>
                <w:color w:val="0000FF"/>
                <w:w w:val="91"/>
              </w:rPr>
            </w:pPr>
            <w:hyperlink r:id="rId96">
              <w:r>
                <w:rPr>
                  <w:rFonts w:ascii="Arial" w:cs="Arial" w:eastAsia="Arial" w:hAnsi="Arial"/>
                  <w:sz w:val="13"/>
                  <w:szCs w:val="13"/>
                  <w:color w:val="0000FF"/>
                  <w:w w:val="91"/>
                </w:rPr>
                <w:t>HomeTrust Bank Director Emeritus Plan (“Director Emeritus Plan”)</w:t>
              </w:r>
            </w:hyperlink>
          </w:p>
        </w:tc>
        <w:tc>
          <w:tcPr>
            <w:tcW w:w="4440" w:type="dxa"/>
            <w:vAlign w:val="bottom"/>
            <w:tcBorders>
              <w:top w:val="single" w:sz="8" w:color="0000FF"/>
            </w:tcBorders>
            <w:gridSpan w:val="25"/>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10.8A</w:t>
            </w:r>
          </w:p>
        </w:tc>
        <w:tc>
          <w:tcPr>
            <w:tcW w:w="3260" w:type="dxa"/>
            <w:vAlign w:val="bottom"/>
            <w:tcBorders>
              <w:bottom w:val="single" w:sz="8" w:color="0000FF"/>
            </w:tcBorders>
            <w:gridSpan w:val="10"/>
          </w:tcPr>
          <w:p>
            <w:pPr>
              <w:spacing w:after="0"/>
              <w:rPr>
                <w:rFonts w:ascii="Arial" w:cs="Arial" w:eastAsia="Arial" w:hAnsi="Arial"/>
                <w:sz w:val="13"/>
                <w:szCs w:val="13"/>
                <w:color w:val="0000FF"/>
                <w:w w:val="91"/>
              </w:rPr>
            </w:pPr>
            <w:hyperlink r:id="rId96">
              <w:r>
                <w:rPr>
                  <w:rFonts w:ascii="Arial" w:cs="Arial" w:eastAsia="Arial" w:hAnsi="Arial"/>
                  <w:sz w:val="13"/>
                  <w:szCs w:val="13"/>
                  <w:color w:val="0000FF"/>
                  <w:w w:val="91"/>
                </w:rPr>
                <w:t>Director Emeritus Plan Joinder Agreement for William T. Flynt</w:t>
              </w:r>
            </w:hyperlink>
          </w:p>
        </w:tc>
        <w:tc>
          <w:tcPr>
            <w:tcW w:w="502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10.8B</w:t>
            </w:r>
          </w:p>
        </w:tc>
        <w:tc>
          <w:tcPr>
            <w:tcW w:w="3300" w:type="dxa"/>
            <w:vAlign w:val="bottom"/>
            <w:tcBorders>
              <w:bottom w:val="single" w:sz="8" w:color="0000FF"/>
            </w:tcBorders>
            <w:gridSpan w:val="11"/>
          </w:tcPr>
          <w:p>
            <w:pPr>
              <w:spacing w:after="0"/>
              <w:rPr>
                <w:rFonts w:ascii="Arial" w:cs="Arial" w:eastAsia="Arial" w:hAnsi="Arial"/>
                <w:sz w:val="13"/>
                <w:szCs w:val="13"/>
                <w:color w:val="0000FF"/>
                <w:w w:val="89"/>
              </w:rPr>
            </w:pPr>
            <w:hyperlink r:id="rId96">
              <w:r>
                <w:rPr>
                  <w:rFonts w:ascii="Arial" w:cs="Arial" w:eastAsia="Arial" w:hAnsi="Arial"/>
                  <w:sz w:val="13"/>
                  <w:szCs w:val="13"/>
                  <w:color w:val="0000FF"/>
                  <w:w w:val="89"/>
                </w:rPr>
                <w:t>Director Emeritus Plan Joinder Agreement for J. Steven Goforth</w:t>
              </w:r>
            </w:hyperlink>
          </w:p>
        </w:tc>
        <w:tc>
          <w:tcPr>
            <w:tcW w:w="4980" w:type="dxa"/>
            <w:vAlign w:val="bottom"/>
            <w:gridSpan w:val="3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10.8C</w:t>
            </w:r>
          </w:p>
        </w:tc>
        <w:tc>
          <w:tcPr>
            <w:tcW w:w="3240" w:type="dxa"/>
            <w:vAlign w:val="bottom"/>
            <w:tcBorders>
              <w:bottom w:val="single" w:sz="8" w:color="0000FF"/>
            </w:tcBorders>
            <w:gridSpan w:val="9"/>
          </w:tcPr>
          <w:p>
            <w:pPr>
              <w:spacing w:after="0"/>
              <w:rPr>
                <w:rFonts w:ascii="Arial" w:cs="Arial" w:eastAsia="Arial" w:hAnsi="Arial"/>
                <w:sz w:val="13"/>
                <w:szCs w:val="13"/>
                <w:color w:val="0000FF"/>
                <w:w w:val="90"/>
              </w:rPr>
            </w:pPr>
            <w:hyperlink r:id="rId96">
              <w:r>
                <w:rPr>
                  <w:rFonts w:ascii="Arial" w:cs="Arial" w:eastAsia="Arial" w:hAnsi="Arial"/>
                  <w:sz w:val="13"/>
                  <w:szCs w:val="13"/>
                  <w:color w:val="0000FF"/>
                  <w:w w:val="90"/>
                </w:rPr>
                <w:t>Director Emeritus Plan Joinder Agreement for Craig C. Koontz</w:t>
              </w:r>
            </w:hyperlink>
          </w:p>
        </w:tc>
        <w:tc>
          <w:tcPr>
            <w:tcW w:w="5040" w:type="dxa"/>
            <w:vAlign w:val="bottom"/>
            <w:gridSpan w:val="3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10.8D</w:t>
            </w:r>
          </w:p>
        </w:tc>
        <w:tc>
          <w:tcPr>
            <w:tcW w:w="3340" w:type="dxa"/>
            <w:vAlign w:val="bottom"/>
            <w:tcBorders>
              <w:bottom w:val="single" w:sz="8" w:color="0000FF"/>
            </w:tcBorders>
            <w:gridSpan w:val="13"/>
          </w:tcPr>
          <w:p>
            <w:pPr>
              <w:spacing w:after="0"/>
              <w:rPr>
                <w:rFonts w:ascii="Arial" w:cs="Arial" w:eastAsia="Arial" w:hAnsi="Arial"/>
                <w:sz w:val="13"/>
                <w:szCs w:val="13"/>
                <w:color w:val="0000FF"/>
                <w:w w:val="90"/>
              </w:rPr>
            </w:pPr>
            <w:hyperlink r:id="rId96">
              <w:r>
                <w:rPr>
                  <w:rFonts w:ascii="Arial" w:cs="Arial" w:eastAsia="Arial" w:hAnsi="Arial"/>
                  <w:sz w:val="13"/>
                  <w:szCs w:val="13"/>
                  <w:color w:val="0000FF"/>
                  <w:w w:val="90"/>
                </w:rPr>
                <w:t>Director Emeritus Plan Joinder Agreement for Larry S. McDevitt</w:t>
              </w:r>
            </w:hyperlink>
          </w:p>
        </w:tc>
        <w:tc>
          <w:tcPr>
            <w:tcW w:w="494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10.8E</w:t>
            </w:r>
          </w:p>
        </w:tc>
        <w:tc>
          <w:tcPr>
            <w:tcW w:w="3400" w:type="dxa"/>
            <w:vAlign w:val="bottom"/>
            <w:tcBorders>
              <w:bottom w:val="single" w:sz="8" w:color="0000FF"/>
            </w:tcBorders>
            <w:gridSpan w:val="14"/>
          </w:tcPr>
          <w:p>
            <w:pPr>
              <w:spacing w:after="0"/>
              <w:rPr>
                <w:rFonts w:ascii="Arial" w:cs="Arial" w:eastAsia="Arial" w:hAnsi="Arial"/>
                <w:sz w:val="13"/>
                <w:szCs w:val="13"/>
                <w:color w:val="0000FF"/>
                <w:w w:val="90"/>
              </w:rPr>
            </w:pPr>
            <w:hyperlink r:id="rId96">
              <w:r>
                <w:rPr>
                  <w:rFonts w:ascii="Arial" w:cs="Arial" w:eastAsia="Arial" w:hAnsi="Arial"/>
                  <w:sz w:val="13"/>
                  <w:szCs w:val="13"/>
                  <w:color w:val="0000FF"/>
                  <w:w w:val="90"/>
                </w:rPr>
                <w:t>Director Emeritus Plan Joinder Agreement for F.K. McFarland, III</w:t>
              </w:r>
            </w:hyperlink>
          </w:p>
        </w:tc>
        <w:tc>
          <w:tcPr>
            <w:tcW w:w="4880" w:type="dxa"/>
            <w:vAlign w:val="bottom"/>
            <w:gridSpan w:val="2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10.8F</w:t>
            </w:r>
          </w:p>
        </w:tc>
        <w:tc>
          <w:tcPr>
            <w:tcW w:w="8280" w:type="dxa"/>
            <w:vAlign w:val="bottom"/>
            <w:gridSpan w:val="41"/>
          </w:tcPr>
          <w:p>
            <w:pPr>
              <w:spacing w:after="0"/>
              <w:rPr>
                <w:rFonts w:ascii="Arial" w:cs="Arial" w:eastAsia="Arial" w:hAnsi="Arial"/>
                <w:sz w:val="13"/>
                <w:szCs w:val="13"/>
                <w:color w:val="0000FF"/>
              </w:rPr>
            </w:pPr>
            <w:hyperlink r:id="rId96">
              <w:r>
                <w:rPr>
                  <w:rFonts w:ascii="Arial" w:cs="Arial" w:eastAsia="Arial" w:hAnsi="Arial"/>
                  <w:sz w:val="13"/>
                  <w:szCs w:val="13"/>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10.8G</w:t>
            </w:r>
          </w:p>
        </w:tc>
        <w:tc>
          <w:tcPr>
            <w:tcW w:w="3600" w:type="dxa"/>
            <w:vAlign w:val="bottom"/>
            <w:tcBorders>
              <w:bottom w:val="single" w:sz="8" w:color="0000FF"/>
            </w:tcBorders>
            <w:gridSpan w:val="17"/>
          </w:tcPr>
          <w:p>
            <w:pPr>
              <w:spacing w:after="0"/>
              <w:rPr>
                <w:rFonts w:ascii="Arial" w:cs="Arial" w:eastAsia="Arial" w:hAnsi="Arial"/>
                <w:sz w:val="13"/>
                <w:szCs w:val="13"/>
                <w:color w:val="0000FF"/>
                <w:w w:val="88"/>
              </w:rPr>
            </w:pPr>
            <w:hyperlink r:id="rId96">
              <w:r>
                <w:rPr>
                  <w:rFonts w:ascii="Arial" w:cs="Arial" w:eastAsia="Arial" w:hAnsi="Arial"/>
                  <w:sz w:val="13"/>
                  <w:szCs w:val="13"/>
                  <w:color w:val="0000FF"/>
                  <w:w w:val="88"/>
                </w:rPr>
                <w:t>Director Emeritus Plan Joinder Agreement for Robert E. Shepherd, Sr.</w:t>
              </w:r>
            </w:hyperlink>
          </w:p>
        </w:tc>
        <w:tc>
          <w:tcPr>
            <w:tcW w:w="468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10.9</w:t>
            </w:r>
          </w:p>
        </w:tc>
        <w:tc>
          <w:tcPr>
            <w:tcW w:w="100" w:type="dxa"/>
            <w:vAlign w:val="bottom"/>
          </w:tcPr>
          <w:p>
            <w:pPr>
              <w:spacing w:after="0"/>
              <w:rPr>
                <w:sz w:val="13"/>
                <w:szCs w:val="13"/>
                <w:color w:val="auto"/>
              </w:rPr>
            </w:pPr>
          </w:p>
        </w:tc>
        <w:tc>
          <w:tcPr>
            <w:tcW w:w="8280" w:type="dxa"/>
            <w:vAlign w:val="bottom"/>
            <w:gridSpan w:val="41"/>
          </w:tcPr>
          <w:p>
            <w:pPr>
              <w:spacing w:after="0"/>
              <w:rPr>
                <w:rFonts w:ascii="Arial" w:cs="Arial" w:eastAsia="Arial" w:hAnsi="Arial"/>
                <w:sz w:val="13"/>
                <w:szCs w:val="13"/>
                <w:color w:val="0000FF"/>
              </w:rPr>
            </w:pPr>
            <w:hyperlink r:id="rId96">
              <w:r>
                <w:rPr>
                  <w:rFonts w:ascii="Arial" w:cs="Arial" w:eastAsia="Arial" w:hAnsi="Arial"/>
                  <w:sz w:val="13"/>
                  <w:szCs w:val="13"/>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8"/>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10.9A</w:t>
            </w:r>
          </w:p>
        </w:tc>
        <w:tc>
          <w:tcPr>
            <w:tcW w:w="4660" w:type="dxa"/>
            <w:vAlign w:val="bottom"/>
            <w:tcBorders>
              <w:bottom w:val="single" w:sz="8" w:color="0000FF"/>
            </w:tcBorders>
            <w:gridSpan w:val="25"/>
          </w:tcPr>
          <w:p>
            <w:pPr>
              <w:spacing w:after="0"/>
              <w:rPr>
                <w:rFonts w:ascii="Arial" w:cs="Arial" w:eastAsia="Arial" w:hAnsi="Arial"/>
                <w:sz w:val="13"/>
                <w:szCs w:val="13"/>
                <w:color w:val="0000FF"/>
                <w:w w:val="90"/>
              </w:rPr>
            </w:pPr>
            <w:hyperlink r:id="rId105">
              <w:r>
                <w:rPr>
                  <w:rFonts w:ascii="Arial" w:cs="Arial" w:eastAsia="Arial" w:hAnsi="Arial"/>
                  <w:sz w:val="13"/>
                  <w:szCs w:val="13"/>
                  <w:color w:val="0000FF"/>
                  <w:w w:val="90"/>
                </w:rPr>
                <w:t>Amendment No. 1 to HomeTrust Bank Defined Contribution Executive Medical Care Plan</w:t>
              </w:r>
            </w:hyperlink>
          </w:p>
        </w:tc>
        <w:tc>
          <w:tcPr>
            <w:tcW w:w="36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10.9B</w:t>
            </w:r>
          </w:p>
        </w:tc>
        <w:tc>
          <w:tcPr>
            <w:tcW w:w="5520" w:type="dxa"/>
            <w:vAlign w:val="bottom"/>
            <w:tcBorders>
              <w:bottom w:val="single" w:sz="8" w:color="0000FF"/>
            </w:tcBorders>
            <w:gridSpan w:val="30"/>
          </w:tcPr>
          <w:p>
            <w:pPr>
              <w:spacing w:after="0"/>
              <w:rPr>
                <w:rFonts w:ascii="Arial" w:cs="Arial" w:eastAsia="Arial" w:hAnsi="Arial"/>
                <w:sz w:val="13"/>
                <w:szCs w:val="13"/>
                <w:color w:val="0000FF"/>
                <w:w w:val="89"/>
              </w:rPr>
            </w:pPr>
            <w:hyperlink r:id="rId105">
              <w:r>
                <w:rPr>
                  <w:rFonts w:ascii="Arial" w:cs="Arial" w:eastAsia="Arial" w:hAnsi="Arial"/>
                  <w:sz w:val="13"/>
                  <w:szCs w:val="13"/>
                  <w:color w:val="0000FF"/>
                  <w:w w:val="89"/>
                </w:rPr>
                <w:t>Form of Joinder Agreement Under the HomeTrust Bank Defined Contribution Executive Medical Care Plan</w:t>
              </w:r>
            </w:hyperlink>
          </w:p>
        </w:tc>
        <w:tc>
          <w:tcPr>
            <w:tcW w:w="27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10.9C</w:t>
            </w:r>
          </w:p>
        </w:tc>
        <w:tc>
          <w:tcPr>
            <w:tcW w:w="4660" w:type="dxa"/>
            <w:vAlign w:val="bottom"/>
            <w:tcBorders>
              <w:bottom w:val="single" w:sz="8" w:color="0000FF"/>
            </w:tcBorders>
            <w:gridSpan w:val="25"/>
          </w:tcPr>
          <w:p>
            <w:pPr>
              <w:spacing w:after="0"/>
              <w:rPr>
                <w:rFonts w:ascii="Arial" w:cs="Arial" w:eastAsia="Arial" w:hAnsi="Arial"/>
                <w:sz w:val="13"/>
                <w:szCs w:val="13"/>
                <w:color w:val="0000FF"/>
                <w:w w:val="90"/>
              </w:rPr>
            </w:pPr>
            <w:hyperlink r:id="rId109">
              <w:r>
                <w:rPr>
                  <w:rFonts w:ascii="Arial" w:cs="Arial" w:eastAsia="Arial" w:hAnsi="Arial"/>
                  <w:sz w:val="13"/>
                  <w:szCs w:val="13"/>
                  <w:color w:val="0000FF"/>
                  <w:w w:val="90"/>
                </w:rPr>
                <w:t>Amendment No. 2 to HomeTrust Bank Defined Contribution Executive Medical Care Plan</w:t>
              </w:r>
            </w:hyperlink>
          </w:p>
        </w:tc>
        <w:tc>
          <w:tcPr>
            <w:tcW w:w="36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10.9D</w:t>
            </w:r>
          </w:p>
        </w:tc>
        <w:tc>
          <w:tcPr>
            <w:tcW w:w="4640" w:type="dxa"/>
            <w:vAlign w:val="bottom"/>
            <w:tcBorders>
              <w:bottom w:val="single" w:sz="8" w:color="0000FF"/>
            </w:tcBorders>
            <w:gridSpan w:val="24"/>
          </w:tcPr>
          <w:p>
            <w:pPr>
              <w:spacing w:after="0"/>
              <w:rPr>
                <w:rFonts w:ascii="Arial" w:cs="Arial" w:eastAsia="Arial" w:hAnsi="Arial"/>
                <w:sz w:val="13"/>
                <w:szCs w:val="13"/>
                <w:color w:val="0000FF"/>
                <w:w w:val="90"/>
              </w:rPr>
            </w:pPr>
            <w:hyperlink r:id="rId110">
              <w:r>
                <w:rPr>
                  <w:rFonts w:ascii="Arial" w:cs="Arial" w:eastAsia="Arial" w:hAnsi="Arial"/>
                  <w:sz w:val="13"/>
                  <w:szCs w:val="13"/>
                  <w:color w:val="0000FF"/>
                  <w:w w:val="90"/>
                </w:rPr>
                <w:t>Amendment No. 3 to HomeTrust Bank Defined Contribution Executive Medical Care Plan</w:t>
              </w:r>
            </w:hyperlink>
          </w:p>
        </w:tc>
        <w:tc>
          <w:tcPr>
            <w:tcW w:w="36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10.10</w:t>
            </w:r>
          </w:p>
        </w:tc>
        <w:tc>
          <w:tcPr>
            <w:tcW w:w="100" w:type="dxa"/>
            <w:vAlign w:val="bottom"/>
          </w:tcPr>
          <w:p>
            <w:pPr>
              <w:spacing w:after="0"/>
              <w:rPr>
                <w:sz w:val="13"/>
                <w:szCs w:val="13"/>
                <w:color w:val="auto"/>
              </w:rPr>
            </w:pPr>
          </w:p>
        </w:tc>
        <w:tc>
          <w:tcPr>
            <w:tcW w:w="2680" w:type="dxa"/>
            <w:vAlign w:val="bottom"/>
            <w:tcBorders>
              <w:bottom w:val="single" w:sz="8" w:color="0000FF"/>
            </w:tcBorders>
            <w:gridSpan w:val="6"/>
          </w:tcPr>
          <w:p>
            <w:pPr>
              <w:spacing w:after="0"/>
              <w:rPr>
                <w:rFonts w:ascii="Arial" w:cs="Arial" w:eastAsia="Arial" w:hAnsi="Arial"/>
                <w:sz w:val="13"/>
                <w:szCs w:val="13"/>
                <w:color w:val="0000FF"/>
                <w:w w:val="88"/>
              </w:rPr>
            </w:pPr>
            <w:hyperlink r:id="rId96">
              <w:r>
                <w:rPr>
                  <w:rFonts w:ascii="Arial" w:cs="Arial" w:eastAsia="Arial" w:hAnsi="Arial"/>
                  <w:sz w:val="13"/>
                  <w:szCs w:val="13"/>
                  <w:color w:val="0000FF"/>
                  <w:w w:val="88"/>
                </w:rPr>
                <w:t>HomeTrust Bank 2005 Deferred Compensation Plan</w:t>
              </w:r>
            </w:hyperlink>
          </w:p>
        </w:tc>
        <w:tc>
          <w:tcPr>
            <w:tcW w:w="5600" w:type="dxa"/>
            <w:vAlign w:val="bottom"/>
            <w:gridSpan w:val="3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10.10A</w:t>
            </w:r>
          </w:p>
        </w:tc>
        <w:tc>
          <w:tcPr>
            <w:tcW w:w="8280" w:type="dxa"/>
            <w:vAlign w:val="bottom"/>
            <w:gridSpan w:val="41"/>
          </w:tcPr>
          <w:p>
            <w:pPr>
              <w:spacing w:after="0"/>
              <w:rPr>
                <w:rFonts w:ascii="Arial" w:cs="Arial" w:eastAsia="Arial" w:hAnsi="Arial"/>
                <w:sz w:val="13"/>
                <w:szCs w:val="13"/>
                <w:color w:val="0000FF"/>
              </w:rPr>
            </w:pPr>
            <w:hyperlink r:id="rId105">
              <w:r>
                <w:rPr>
                  <w:rFonts w:ascii="Arial" w:cs="Arial" w:eastAsia="Arial" w:hAnsi="Arial"/>
                  <w:sz w:val="13"/>
                  <w:szCs w:val="13"/>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10.11</w:t>
            </w:r>
          </w:p>
        </w:tc>
        <w:tc>
          <w:tcPr>
            <w:tcW w:w="10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8"/>
          </w:tcPr>
          <w:p>
            <w:pPr>
              <w:spacing w:after="0"/>
              <w:rPr>
                <w:rFonts w:ascii="Arial" w:cs="Arial" w:eastAsia="Arial" w:hAnsi="Arial"/>
                <w:sz w:val="13"/>
                <w:szCs w:val="13"/>
                <w:color w:val="0000FF"/>
                <w:w w:val="88"/>
              </w:rPr>
            </w:pPr>
            <w:hyperlink r:id="rId96">
              <w:r>
                <w:rPr>
                  <w:rFonts w:ascii="Arial" w:cs="Arial" w:eastAsia="Arial" w:hAnsi="Arial"/>
                  <w:sz w:val="13"/>
                  <w:szCs w:val="13"/>
                  <w:color w:val="0000FF"/>
                  <w:w w:val="88"/>
                </w:rPr>
                <w:t>HomeTrust Bank Pre-2005 Deferred Compensation Plan</w:t>
              </w:r>
            </w:hyperlink>
          </w:p>
        </w:tc>
        <w:tc>
          <w:tcPr>
            <w:tcW w:w="880" w:type="dxa"/>
            <w:vAlign w:val="bottom"/>
            <w:tcBorders>
              <w:top w:val="single" w:sz="8" w:color="0000FF"/>
            </w:tcBorders>
            <w:gridSpan w:val="10"/>
          </w:tcPr>
          <w:p>
            <w:pPr>
              <w:spacing w:after="0"/>
              <w:rPr>
                <w:sz w:val="13"/>
                <w:szCs w:val="13"/>
                <w:color w:val="auto"/>
              </w:rPr>
            </w:pPr>
          </w:p>
        </w:tc>
        <w:tc>
          <w:tcPr>
            <w:tcW w:w="450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10.11A</w:t>
            </w:r>
          </w:p>
        </w:tc>
        <w:tc>
          <w:tcPr>
            <w:tcW w:w="4000" w:type="dxa"/>
            <w:vAlign w:val="bottom"/>
            <w:tcBorders>
              <w:bottom w:val="single" w:sz="8" w:color="0000FF"/>
            </w:tcBorders>
            <w:gridSpan w:val="19"/>
          </w:tcPr>
          <w:p>
            <w:pPr>
              <w:spacing w:after="0"/>
              <w:rPr>
                <w:rFonts w:ascii="Arial" w:cs="Arial" w:eastAsia="Arial" w:hAnsi="Arial"/>
                <w:sz w:val="13"/>
                <w:szCs w:val="13"/>
                <w:color w:val="0000FF"/>
                <w:w w:val="88"/>
              </w:rPr>
            </w:pPr>
            <w:hyperlink r:id="rId105">
              <w:r>
                <w:rPr>
                  <w:rFonts w:ascii="Arial" w:cs="Arial" w:eastAsia="Arial" w:hAnsi="Arial"/>
                  <w:sz w:val="13"/>
                  <w:szCs w:val="13"/>
                  <w:color w:val="0000FF"/>
                  <w:w w:val="88"/>
                </w:rPr>
                <w:t>Amendment No. 1 to HomeTrust Bank Pre-2005 Deferred Compensation Plan</w:t>
              </w:r>
            </w:hyperlink>
          </w:p>
        </w:tc>
        <w:tc>
          <w:tcPr>
            <w:tcW w:w="428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10.12</w:t>
            </w:r>
          </w:p>
        </w:tc>
        <w:tc>
          <w:tcPr>
            <w:tcW w:w="100" w:type="dxa"/>
            <w:vAlign w:val="bottom"/>
          </w:tcPr>
          <w:p>
            <w:pPr>
              <w:spacing w:after="0"/>
              <w:rPr>
                <w:sz w:val="13"/>
                <w:szCs w:val="13"/>
                <w:color w:val="auto"/>
              </w:rPr>
            </w:pPr>
          </w:p>
        </w:tc>
        <w:tc>
          <w:tcPr>
            <w:tcW w:w="4760" w:type="dxa"/>
            <w:vAlign w:val="bottom"/>
            <w:tcBorders>
              <w:bottom w:val="single" w:sz="8" w:color="0000FF"/>
            </w:tcBorders>
            <w:gridSpan w:val="27"/>
          </w:tcPr>
          <w:p>
            <w:pPr>
              <w:spacing w:after="0"/>
              <w:rPr>
                <w:rFonts w:ascii="Arial" w:cs="Arial" w:eastAsia="Arial" w:hAnsi="Arial"/>
                <w:sz w:val="13"/>
                <w:szCs w:val="13"/>
                <w:color w:val="0000FF"/>
                <w:w w:val="89"/>
              </w:rPr>
            </w:pPr>
            <w:hyperlink r:id="rId111">
              <w:r>
                <w:rPr>
                  <w:rFonts w:ascii="Arial" w:cs="Arial" w:eastAsia="Arial" w:hAnsi="Arial"/>
                  <w:sz w:val="13"/>
                  <w:szCs w:val="13"/>
                  <w:color w:val="0000FF"/>
                  <w:w w:val="89"/>
                </w:rPr>
                <w:t>HomeTrust Bancshares, Inc. 2013 Omnibus Incentive Plan (“2013 Omnibus Incentive Plan”)</w:t>
              </w:r>
            </w:hyperlink>
          </w:p>
        </w:tc>
        <w:tc>
          <w:tcPr>
            <w:tcW w:w="35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10.12A</w:t>
            </w:r>
          </w:p>
        </w:tc>
        <w:tc>
          <w:tcPr>
            <w:tcW w:w="8280" w:type="dxa"/>
            <w:vAlign w:val="bottom"/>
            <w:gridSpan w:val="41"/>
          </w:tcPr>
          <w:p>
            <w:pPr>
              <w:spacing w:after="0"/>
              <w:rPr>
                <w:rFonts w:ascii="Arial" w:cs="Arial" w:eastAsia="Arial" w:hAnsi="Arial"/>
                <w:sz w:val="13"/>
                <w:szCs w:val="13"/>
                <w:color w:val="0000FF"/>
              </w:rPr>
            </w:pPr>
            <w:hyperlink r:id="rId112">
              <w:r>
                <w:rPr>
                  <w:rFonts w:ascii="Arial" w:cs="Arial" w:eastAsia="Arial" w:hAnsi="Arial"/>
                  <w:sz w:val="13"/>
                  <w:szCs w:val="13"/>
                  <w:color w:val="0000FF"/>
                </w:rPr>
                <w:t>Form of Incentive Stock Option Award Agreement under 2013 Omnibus Incentive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120" w:type="dxa"/>
            <w:vAlign w:val="bottom"/>
            <w:gridSpan w:val="20"/>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10.12B</w:t>
            </w:r>
          </w:p>
        </w:tc>
        <w:tc>
          <w:tcPr>
            <w:tcW w:w="4740" w:type="dxa"/>
            <w:vAlign w:val="bottom"/>
            <w:tcBorders>
              <w:bottom w:val="single" w:sz="8" w:color="0000FF"/>
            </w:tcBorders>
            <w:gridSpan w:val="26"/>
          </w:tcPr>
          <w:p>
            <w:pPr>
              <w:spacing w:after="0"/>
              <w:rPr>
                <w:rFonts w:ascii="Arial" w:cs="Arial" w:eastAsia="Arial" w:hAnsi="Arial"/>
                <w:sz w:val="13"/>
                <w:szCs w:val="13"/>
                <w:color w:val="0000FF"/>
                <w:w w:val="90"/>
              </w:rPr>
            </w:pPr>
            <w:hyperlink r:id="rId112">
              <w:r>
                <w:rPr>
                  <w:rFonts w:ascii="Arial" w:cs="Arial" w:eastAsia="Arial" w:hAnsi="Arial"/>
                  <w:sz w:val="13"/>
                  <w:szCs w:val="13"/>
                  <w:color w:val="0000FF"/>
                  <w:w w:val="90"/>
                </w:rPr>
                <w:t>Form of Non-Qualified Stock Option Award Agreement under 2013 Omnibus Incentive Plan</w:t>
              </w:r>
            </w:hyperlink>
          </w:p>
        </w:tc>
        <w:tc>
          <w:tcPr>
            <w:tcW w:w="35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10.12C</w:t>
            </w:r>
          </w:p>
        </w:tc>
        <w:tc>
          <w:tcPr>
            <w:tcW w:w="8280" w:type="dxa"/>
            <w:vAlign w:val="bottom"/>
            <w:gridSpan w:val="41"/>
          </w:tcPr>
          <w:p>
            <w:pPr>
              <w:spacing w:after="0"/>
              <w:rPr>
                <w:rFonts w:ascii="Arial" w:cs="Arial" w:eastAsia="Arial" w:hAnsi="Arial"/>
                <w:sz w:val="13"/>
                <w:szCs w:val="13"/>
                <w:color w:val="0000FF"/>
              </w:rPr>
            </w:pPr>
            <w:hyperlink r:id="rId112">
              <w:r>
                <w:rPr>
                  <w:rFonts w:ascii="Arial" w:cs="Arial" w:eastAsia="Arial" w:hAnsi="Arial"/>
                  <w:sz w:val="13"/>
                  <w:szCs w:val="13"/>
                  <w:color w:val="0000FF"/>
                </w:rPr>
                <w:t>Form of Stock Appreciation Right Award Agreement under 2013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10.12D</w:t>
            </w:r>
          </w:p>
        </w:tc>
        <w:tc>
          <w:tcPr>
            <w:tcW w:w="4580" w:type="dxa"/>
            <w:vAlign w:val="bottom"/>
            <w:tcBorders>
              <w:top w:val="single" w:sz="8" w:color="0000FF"/>
            </w:tcBorders>
            <w:gridSpan w:val="23"/>
          </w:tcPr>
          <w:p>
            <w:pPr>
              <w:spacing w:after="0"/>
              <w:rPr>
                <w:rFonts w:ascii="Arial" w:cs="Arial" w:eastAsia="Arial" w:hAnsi="Arial"/>
                <w:sz w:val="13"/>
                <w:szCs w:val="13"/>
                <w:color w:val="0000FF"/>
                <w:w w:val="98"/>
              </w:rPr>
            </w:pPr>
            <w:hyperlink r:id="rId112">
              <w:r>
                <w:rPr>
                  <w:rFonts w:ascii="Arial" w:cs="Arial" w:eastAsia="Arial" w:hAnsi="Arial"/>
                  <w:sz w:val="13"/>
                  <w:szCs w:val="13"/>
                  <w:color w:val="0000FF"/>
                  <w:w w:val="98"/>
                </w:rPr>
                <w:t>Form of Restricted Stock Award Agreement under 2013 Omnibus Incentive Plan</w:t>
              </w:r>
            </w:hyperlink>
          </w:p>
        </w:tc>
        <w:tc>
          <w:tcPr>
            <w:tcW w:w="37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120" w:type="dxa"/>
            <w:vAlign w:val="bottom"/>
            <w:gridSpan w:val="20"/>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10.12E</w:t>
            </w:r>
          </w:p>
        </w:tc>
        <w:tc>
          <w:tcPr>
            <w:tcW w:w="8280" w:type="dxa"/>
            <w:vAlign w:val="bottom"/>
            <w:gridSpan w:val="41"/>
          </w:tcPr>
          <w:p>
            <w:pPr>
              <w:spacing w:after="0"/>
              <w:rPr>
                <w:rFonts w:ascii="Arial" w:cs="Arial" w:eastAsia="Arial" w:hAnsi="Arial"/>
                <w:sz w:val="13"/>
                <w:szCs w:val="13"/>
                <w:color w:val="0000FF"/>
              </w:rPr>
            </w:pPr>
            <w:hyperlink r:id="rId112">
              <w:r>
                <w:rPr>
                  <w:rFonts w:ascii="Arial" w:cs="Arial" w:eastAsia="Arial" w:hAnsi="Arial"/>
                  <w:sz w:val="13"/>
                  <w:szCs w:val="13"/>
                  <w:color w:val="0000FF"/>
                </w:rPr>
                <w:t>Form of Restricted Stock Unit Award Agreement under 2013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21"/>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10.13</w:t>
            </w:r>
          </w:p>
        </w:tc>
        <w:tc>
          <w:tcPr>
            <w:tcW w:w="100" w:type="dxa"/>
            <w:vAlign w:val="bottom"/>
          </w:tcPr>
          <w:p>
            <w:pPr>
              <w:spacing w:after="0"/>
              <w:rPr>
                <w:sz w:val="13"/>
                <w:szCs w:val="13"/>
                <w:color w:val="auto"/>
              </w:rPr>
            </w:pPr>
          </w:p>
        </w:tc>
        <w:tc>
          <w:tcPr>
            <w:tcW w:w="4740" w:type="dxa"/>
            <w:vAlign w:val="bottom"/>
            <w:tcBorders>
              <w:bottom w:val="single" w:sz="8" w:color="0000FF"/>
            </w:tcBorders>
            <w:gridSpan w:val="26"/>
          </w:tcPr>
          <w:p>
            <w:pPr>
              <w:spacing w:after="0"/>
              <w:rPr>
                <w:rFonts w:ascii="Arial" w:cs="Arial" w:eastAsia="Arial" w:hAnsi="Arial"/>
                <w:sz w:val="13"/>
                <w:szCs w:val="13"/>
                <w:color w:val="0000FF"/>
                <w:w w:val="89"/>
              </w:rPr>
            </w:pPr>
            <w:hyperlink r:id="rId113">
              <w:r>
                <w:rPr>
                  <w:rFonts w:ascii="Arial" w:cs="Arial" w:eastAsia="Arial" w:hAnsi="Arial"/>
                  <w:sz w:val="13"/>
                  <w:szCs w:val="13"/>
                  <w:color w:val="0000FF"/>
                  <w:w w:val="89"/>
                </w:rPr>
                <w:t>HomeTrust Bancshares, Inc. 2022 Omnibus Incentive Plan ("2022 Omnibus Incentive Plan")</w:t>
              </w:r>
            </w:hyperlink>
          </w:p>
        </w:tc>
        <w:tc>
          <w:tcPr>
            <w:tcW w:w="35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10.13A</w:t>
            </w:r>
          </w:p>
        </w:tc>
        <w:tc>
          <w:tcPr>
            <w:tcW w:w="8280" w:type="dxa"/>
            <w:vAlign w:val="bottom"/>
            <w:gridSpan w:val="41"/>
          </w:tcPr>
          <w:p>
            <w:pPr>
              <w:spacing w:after="0"/>
              <w:rPr>
                <w:rFonts w:ascii="Arial" w:cs="Arial" w:eastAsia="Arial" w:hAnsi="Arial"/>
                <w:sz w:val="13"/>
                <w:szCs w:val="13"/>
                <w:color w:val="0000FF"/>
              </w:rPr>
            </w:pPr>
            <w:hyperlink r:id="rId114">
              <w:r>
                <w:rPr>
                  <w:rFonts w:ascii="Arial" w:cs="Arial" w:eastAsia="Arial" w:hAnsi="Arial"/>
                  <w:sz w:val="13"/>
                  <w:szCs w:val="13"/>
                  <w:color w:val="0000FF"/>
                </w:rPr>
                <w:t>Form of Non-Qualified Stock Option Award Agreement under the Registrant’s 2022 Omnibus Incentive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5020" w:type="dxa"/>
            <w:vAlign w:val="bottom"/>
            <w:gridSpan w:val="2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10.13B</w:t>
            </w:r>
          </w:p>
        </w:tc>
        <w:tc>
          <w:tcPr>
            <w:tcW w:w="8280" w:type="dxa"/>
            <w:vAlign w:val="bottom"/>
            <w:gridSpan w:val="41"/>
          </w:tcPr>
          <w:p>
            <w:pPr>
              <w:spacing w:after="0"/>
              <w:rPr>
                <w:rFonts w:ascii="Arial" w:cs="Arial" w:eastAsia="Arial" w:hAnsi="Arial"/>
                <w:sz w:val="13"/>
                <w:szCs w:val="13"/>
                <w:color w:val="0000FF"/>
              </w:rPr>
            </w:pPr>
            <w:hyperlink r:id="rId114">
              <w:r>
                <w:rPr>
                  <w:rFonts w:ascii="Arial" w:cs="Arial" w:eastAsia="Arial" w:hAnsi="Arial"/>
                  <w:sz w:val="13"/>
                  <w:szCs w:val="13"/>
                  <w:color w:val="0000FF"/>
                </w:rPr>
                <w:t>Form of Restricted Stock Award Agreement for Employees under the Registrant’s 2022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10.13C</w:t>
            </w:r>
          </w:p>
        </w:tc>
        <w:tc>
          <w:tcPr>
            <w:tcW w:w="5640" w:type="dxa"/>
            <w:vAlign w:val="bottom"/>
            <w:tcBorders>
              <w:top w:val="single" w:sz="8" w:color="0000FF"/>
              <w:bottom w:val="single" w:sz="8" w:color="0000FF"/>
            </w:tcBorders>
            <w:gridSpan w:val="32"/>
          </w:tcPr>
          <w:p>
            <w:pPr>
              <w:spacing w:after="0"/>
              <w:rPr>
                <w:rFonts w:ascii="Arial" w:cs="Arial" w:eastAsia="Arial" w:hAnsi="Arial"/>
                <w:sz w:val="13"/>
                <w:szCs w:val="13"/>
                <w:color w:val="0000FF"/>
                <w:w w:val="89"/>
              </w:rPr>
            </w:pPr>
            <w:hyperlink r:id="rId114">
              <w:r>
                <w:rPr>
                  <w:rFonts w:ascii="Arial" w:cs="Arial" w:eastAsia="Arial" w:hAnsi="Arial"/>
                  <w:sz w:val="13"/>
                  <w:szCs w:val="13"/>
                  <w:color w:val="0000FF"/>
                  <w:w w:val="89"/>
                </w:rPr>
                <w:t>Form of Restricted Stock Award Agreement for Directors under the Registrant’s 2022 Omnibus Incentive Plan</w:t>
              </w:r>
            </w:hyperlink>
          </w:p>
        </w:tc>
        <w:tc>
          <w:tcPr>
            <w:tcW w:w="80" w:type="dxa"/>
            <w:vAlign w:val="bottom"/>
            <w:tcBorders>
              <w:top w:val="single" w:sz="8" w:color="0000FF"/>
            </w:tcBorders>
          </w:tcPr>
          <w:p>
            <w:pPr>
              <w:spacing w:after="0"/>
              <w:rPr>
                <w:sz w:val="13"/>
                <w:szCs w:val="13"/>
                <w:color w:val="auto"/>
              </w:rPr>
            </w:pPr>
          </w:p>
        </w:tc>
        <w:tc>
          <w:tcPr>
            <w:tcW w:w="25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10.14</w:t>
            </w:r>
          </w:p>
        </w:tc>
        <w:tc>
          <w:tcPr>
            <w:tcW w:w="100" w:type="dxa"/>
            <w:vAlign w:val="bottom"/>
          </w:tcPr>
          <w:p>
            <w:pPr>
              <w:spacing w:after="0"/>
              <w:rPr>
                <w:sz w:val="13"/>
                <w:szCs w:val="13"/>
                <w:color w:val="auto"/>
              </w:rPr>
            </w:pPr>
          </w:p>
        </w:tc>
        <w:tc>
          <w:tcPr>
            <w:tcW w:w="6500" w:type="dxa"/>
            <w:vAlign w:val="bottom"/>
            <w:tcBorders>
              <w:bottom w:val="single" w:sz="8" w:color="0000FF"/>
            </w:tcBorders>
            <w:gridSpan w:val="38"/>
          </w:tcPr>
          <w:p>
            <w:pPr>
              <w:spacing w:after="0"/>
              <w:rPr>
                <w:rFonts w:ascii="Arial" w:cs="Arial" w:eastAsia="Arial" w:hAnsi="Arial"/>
                <w:sz w:val="13"/>
                <w:szCs w:val="13"/>
                <w:color w:val="0000FF"/>
                <w:w w:val="88"/>
              </w:rPr>
            </w:pPr>
            <w:hyperlink r:id="rId115">
              <w:r>
                <w:rPr>
                  <w:rFonts w:ascii="Arial" w:cs="Arial" w:eastAsia="Arial" w:hAnsi="Arial"/>
                  <w:sz w:val="13"/>
                  <w:szCs w:val="13"/>
                  <w:color w:val="0000FF"/>
                  <w:w w:val="88"/>
                </w:rPr>
                <w:t>Retirement Payment Agreement, dated as of September 1, 1987, between HomeTrust Bank and Larry S. McDevitt, as amended</w:t>
              </w:r>
            </w:hyperlink>
          </w:p>
        </w:tc>
        <w:tc>
          <w:tcPr>
            <w:tcW w:w="17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10.15</w:t>
            </w:r>
          </w:p>
        </w:tc>
        <w:tc>
          <w:tcPr>
            <w:tcW w:w="100" w:type="dxa"/>
            <w:vAlign w:val="bottom"/>
          </w:tcPr>
          <w:p>
            <w:pPr>
              <w:spacing w:after="0"/>
              <w:rPr>
                <w:sz w:val="13"/>
                <w:szCs w:val="13"/>
                <w:color w:val="auto"/>
              </w:rPr>
            </w:pPr>
          </w:p>
        </w:tc>
        <w:tc>
          <w:tcPr>
            <w:tcW w:w="5120" w:type="dxa"/>
            <w:vAlign w:val="bottom"/>
            <w:tcBorders>
              <w:bottom w:val="single" w:sz="8" w:color="0000FF"/>
            </w:tcBorders>
            <w:gridSpan w:val="29"/>
          </w:tcPr>
          <w:p>
            <w:pPr>
              <w:spacing w:after="0"/>
              <w:rPr>
                <w:rFonts w:ascii="Arial" w:cs="Arial" w:eastAsia="Arial" w:hAnsi="Arial"/>
                <w:sz w:val="13"/>
                <w:szCs w:val="13"/>
                <w:color w:val="0000FF"/>
                <w:w w:val="88"/>
              </w:rPr>
            </w:pPr>
            <w:hyperlink r:id="rId116">
              <w:r>
                <w:rPr>
                  <w:rFonts w:ascii="Arial" w:cs="Arial" w:eastAsia="Arial" w:hAnsi="Arial"/>
                  <w:sz w:val="13"/>
                  <w:szCs w:val="13"/>
                  <w:color w:val="0000FF"/>
                  <w:w w:val="88"/>
                </w:rPr>
                <w:t>Change in Control Severance Agreement between HomeTrust Bancshares, Inc. and Marty Caywood</w:t>
              </w:r>
            </w:hyperlink>
          </w:p>
        </w:tc>
        <w:tc>
          <w:tcPr>
            <w:tcW w:w="31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10.15A</w:t>
            </w:r>
          </w:p>
        </w:tc>
        <w:tc>
          <w:tcPr>
            <w:tcW w:w="6220" w:type="dxa"/>
            <w:vAlign w:val="bottom"/>
            <w:tcBorders>
              <w:bottom w:val="single" w:sz="8" w:color="0000FF"/>
            </w:tcBorders>
            <w:gridSpan w:val="35"/>
          </w:tcPr>
          <w:p>
            <w:pPr>
              <w:spacing w:after="0"/>
              <w:rPr>
                <w:rFonts w:ascii="Arial" w:cs="Arial" w:eastAsia="Arial" w:hAnsi="Arial"/>
                <w:sz w:val="13"/>
                <w:szCs w:val="13"/>
                <w:color w:val="0000FF"/>
                <w:w w:val="88"/>
              </w:rPr>
            </w:pPr>
            <w:hyperlink r:id="rId117">
              <w:r>
                <w:rPr>
                  <w:rFonts w:ascii="Arial" w:cs="Arial" w:eastAsia="Arial" w:hAnsi="Arial"/>
                  <w:sz w:val="13"/>
                  <w:szCs w:val="13"/>
                  <w:color w:val="0000FF"/>
                  <w:w w:val="88"/>
                </w:rPr>
                <w:t>Amendment No. 1 to Change in Control Severance Agreement between HomeTrust Bancshares, Inc. and Marty Caywood</w:t>
              </w:r>
            </w:hyperlink>
          </w:p>
        </w:tc>
        <w:tc>
          <w:tcPr>
            <w:tcW w:w="20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10.16</w:t>
            </w:r>
          </w:p>
        </w:tc>
        <w:tc>
          <w:tcPr>
            <w:tcW w:w="100" w:type="dxa"/>
            <w:vAlign w:val="bottom"/>
          </w:tcPr>
          <w:p>
            <w:pPr>
              <w:spacing w:after="0"/>
              <w:rPr>
                <w:sz w:val="13"/>
                <w:szCs w:val="13"/>
                <w:color w:val="auto"/>
              </w:rPr>
            </w:pPr>
          </w:p>
        </w:tc>
        <w:tc>
          <w:tcPr>
            <w:tcW w:w="8280" w:type="dxa"/>
            <w:vAlign w:val="bottom"/>
            <w:gridSpan w:val="41"/>
          </w:tcPr>
          <w:p>
            <w:pPr>
              <w:spacing w:after="0"/>
              <w:rPr>
                <w:rFonts w:ascii="Arial" w:cs="Arial" w:eastAsia="Arial" w:hAnsi="Arial"/>
                <w:sz w:val="13"/>
                <w:szCs w:val="13"/>
                <w:color w:val="0000FF"/>
              </w:rPr>
            </w:pPr>
            <w:hyperlink r:id="rId99">
              <w:r>
                <w:rPr>
                  <w:rFonts w:ascii="Arial" w:cs="Arial" w:eastAsia="Arial" w:hAnsi="Arial"/>
                  <w:sz w:val="13"/>
                  <w:szCs w:val="13"/>
                  <w:color w:val="0000FF"/>
                </w:rPr>
                <w:t>Amended and Restated Change in Control Severance Agreement between HomeTrust Bancshares, Inc. and Keith J. Houghton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5020" w:type="dxa"/>
            <w:vAlign w:val="bottom"/>
            <w:gridSpan w:val="28"/>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10.16A</w:t>
            </w:r>
          </w:p>
        </w:tc>
        <w:tc>
          <w:tcPr>
            <w:tcW w:w="7540" w:type="dxa"/>
            <w:vAlign w:val="bottom"/>
            <w:tcBorders>
              <w:bottom w:val="single" w:sz="8" w:color="0000FF"/>
            </w:tcBorders>
            <w:gridSpan w:val="39"/>
          </w:tcPr>
          <w:p>
            <w:pPr>
              <w:spacing w:after="0"/>
              <w:rPr>
                <w:rFonts w:ascii="Arial" w:cs="Arial" w:eastAsia="Arial" w:hAnsi="Arial"/>
                <w:sz w:val="13"/>
                <w:szCs w:val="13"/>
                <w:color w:val="0000FF"/>
                <w:w w:val="88"/>
              </w:rPr>
            </w:pPr>
            <w:hyperlink r:id="rId118">
              <w:r>
                <w:rPr>
                  <w:rFonts w:ascii="Arial" w:cs="Arial" w:eastAsia="Arial" w:hAnsi="Arial"/>
                  <w:sz w:val="13"/>
                  <w:szCs w:val="13"/>
                  <w:color w:val="0000FF"/>
                  <w:w w:val="88"/>
                </w:rPr>
                <w:t>Amendment No. 1 to Amended and Restated Change in Control Severance Agreement between HomeTrust Bancshares, Inc. and Keith J. Houghton</w:t>
              </w:r>
            </w:hyperlink>
          </w:p>
        </w:tc>
        <w:tc>
          <w:tcPr>
            <w:tcW w:w="7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10.17</w:t>
            </w:r>
          </w:p>
        </w:tc>
        <w:tc>
          <w:tcPr>
            <w:tcW w:w="100" w:type="dxa"/>
            <w:vAlign w:val="bottom"/>
          </w:tcPr>
          <w:p>
            <w:pPr>
              <w:spacing w:after="0"/>
              <w:rPr>
                <w:sz w:val="13"/>
                <w:szCs w:val="13"/>
                <w:color w:val="auto"/>
              </w:rPr>
            </w:pPr>
          </w:p>
        </w:tc>
        <w:tc>
          <w:tcPr>
            <w:tcW w:w="8280" w:type="dxa"/>
            <w:vAlign w:val="bottom"/>
            <w:gridSpan w:val="41"/>
          </w:tcPr>
          <w:p>
            <w:pPr>
              <w:spacing w:after="0"/>
              <w:rPr>
                <w:sz w:val="20"/>
                <w:szCs w:val="20"/>
                <w:color w:val="auto"/>
              </w:rPr>
            </w:pPr>
            <w:r>
              <w:rPr>
                <w:rFonts w:ascii="Arial" w:cs="Arial" w:eastAsia="Arial" w:hAnsi="Arial"/>
                <w:sz w:val="13"/>
                <w:szCs w:val="13"/>
                <w:color w:val="0000FF"/>
              </w:rPr>
              <w:t>Amended and Restated Change in Control Severance Agreement between HomeTrust Bancshares, Inc. and John Sprink</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gridSpan w:val="28"/>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10.18</w:t>
            </w:r>
          </w:p>
        </w:tc>
        <w:tc>
          <w:tcPr>
            <w:tcW w:w="100" w:type="dxa"/>
            <w:vAlign w:val="bottom"/>
          </w:tcPr>
          <w:p>
            <w:pPr>
              <w:spacing w:after="0"/>
              <w:rPr>
                <w:sz w:val="13"/>
                <w:szCs w:val="13"/>
                <w:color w:val="auto"/>
              </w:rPr>
            </w:pPr>
          </w:p>
        </w:tc>
        <w:tc>
          <w:tcPr>
            <w:tcW w:w="8280" w:type="dxa"/>
            <w:vAlign w:val="bottom"/>
            <w:gridSpan w:val="41"/>
          </w:tcPr>
          <w:p>
            <w:pPr>
              <w:spacing w:after="0"/>
              <w:rPr>
                <w:rFonts w:ascii="Arial" w:cs="Arial" w:eastAsia="Arial" w:hAnsi="Arial"/>
                <w:sz w:val="13"/>
                <w:szCs w:val="13"/>
                <w:color w:val="0000FF"/>
              </w:rPr>
            </w:pPr>
            <w:hyperlink r:id="rId109">
              <w:r>
                <w:rPr>
                  <w:rFonts w:ascii="Arial" w:cs="Arial" w:eastAsia="Arial" w:hAnsi="Arial"/>
                  <w:sz w:val="13"/>
                  <w:szCs w:val="13"/>
                  <w:color w:val="0000FF"/>
                </w:rPr>
                <w:t>Amended and Restated Change in Control Severance Agreement between HomeTrust Bancshares, Inc. and Mark DeMarcus</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10.18A</w:t>
            </w:r>
          </w:p>
        </w:tc>
        <w:tc>
          <w:tcPr>
            <w:tcW w:w="6320" w:type="dxa"/>
            <w:vAlign w:val="bottom"/>
            <w:tcBorders>
              <w:top w:val="single" w:sz="8" w:color="0000FF"/>
            </w:tcBorders>
            <w:gridSpan w:val="36"/>
          </w:tcPr>
          <w:p>
            <w:pPr>
              <w:spacing w:after="0"/>
              <w:rPr>
                <w:rFonts w:ascii="Arial" w:cs="Arial" w:eastAsia="Arial" w:hAnsi="Arial"/>
                <w:sz w:val="13"/>
                <w:szCs w:val="13"/>
                <w:color w:val="0000FF"/>
                <w:w w:val="89"/>
              </w:rPr>
            </w:pPr>
            <w:hyperlink r:id="rId119">
              <w:r>
                <w:rPr>
                  <w:rFonts w:ascii="Arial" w:cs="Arial" w:eastAsia="Arial" w:hAnsi="Arial"/>
                  <w:sz w:val="13"/>
                  <w:szCs w:val="13"/>
                  <w:color w:val="0000FF"/>
                  <w:w w:val="89"/>
                </w:rPr>
                <w:t>Amendment No. 1 to Change in Control Severance Agreement between HomeTrust Bancshares, Inc. and Mark DeMarcus</w:t>
              </w:r>
            </w:hyperlink>
          </w:p>
        </w:tc>
        <w:tc>
          <w:tcPr>
            <w:tcW w:w="19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10.19</w:t>
            </w:r>
          </w:p>
        </w:tc>
        <w:tc>
          <w:tcPr>
            <w:tcW w:w="10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28"/>
          </w:tcPr>
          <w:p>
            <w:pPr>
              <w:spacing w:after="0"/>
              <w:rPr>
                <w:rFonts w:ascii="Arial" w:cs="Arial" w:eastAsia="Arial" w:hAnsi="Arial"/>
                <w:sz w:val="13"/>
                <w:szCs w:val="13"/>
                <w:color w:val="0000FF"/>
                <w:w w:val="88"/>
              </w:rPr>
            </w:pPr>
            <w:hyperlink r:id="rId109">
              <w:r>
                <w:rPr>
                  <w:rFonts w:ascii="Arial" w:cs="Arial" w:eastAsia="Arial" w:hAnsi="Arial"/>
                  <w:sz w:val="13"/>
                  <w:szCs w:val="13"/>
                  <w:color w:val="0000FF"/>
                  <w:w w:val="88"/>
                </w:rPr>
                <w:t>Change in Control Severance Agreement between HomeTrust Bancshares, Inc. and Kristin Powell</w:t>
              </w:r>
            </w:hyperlink>
          </w:p>
        </w:tc>
        <w:tc>
          <w:tcPr>
            <w:tcW w:w="1200" w:type="dxa"/>
            <w:vAlign w:val="bottom"/>
            <w:tcBorders>
              <w:top w:val="single" w:sz="8" w:color="0000FF"/>
            </w:tcBorders>
            <w:gridSpan w:val="7"/>
          </w:tcPr>
          <w:p>
            <w:pPr>
              <w:spacing w:after="0"/>
              <w:rPr>
                <w:sz w:val="13"/>
                <w:szCs w:val="13"/>
                <w:color w:val="auto"/>
              </w:rPr>
            </w:pPr>
          </w:p>
        </w:tc>
        <w:tc>
          <w:tcPr>
            <w:tcW w:w="20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 w:hanging="36"/>
        <w:spacing w:after="0" w:line="315" w:lineRule="auto"/>
        <w:rPr>
          <w:sz w:val="20"/>
          <w:szCs w:val="20"/>
          <w:color w:val="auto"/>
        </w:rPr>
      </w:pPr>
      <w:r>
        <w:rPr>
          <w:rFonts w:ascii="Arial" w:cs="Arial" w:eastAsia="Arial" w:hAnsi="Arial"/>
          <w:sz w:val="11"/>
          <w:szCs w:val="11"/>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11049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w:t>
      </w:r>
    </w:p>
    <w:p>
      <w:pPr>
        <w:sectPr>
          <w:pgSz w:w="11900" w:h="16838" w:orient="portrait"/>
          <w:cols w:equalWidth="0" w:num="2">
            <w:col w:w="9460" w:space="200"/>
            <w:col w:w="1500"/>
          </w:cols>
          <w:pgMar w:left="300" w:top="743" w:right="4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Regulation S-K</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780" w:type="dxa"/>
            <w:vAlign w:val="bottom"/>
            <w:gridSpan w:val="6"/>
            <w:vMerge w:val="restart"/>
          </w:tcPr>
          <w:p>
            <w:pPr>
              <w:ind w:left="2360"/>
              <w:spacing w:after="0"/>
              <w:rPr>
                <w:sz w:val="20"/>
                <w:szCs w:val="20"/>
                <w:color w:val="auto"/>
              </w:rPr>
            </w:pPr>
            <w:r>
              <w:rPr>
                <w:rFonts w:ascii="Arial" w:cs="Arial" w:eastAsia="Arial" w:hAnsi="Arial"/>
                <w:sz w:val="13"/>
                <w:szCs w:val="13"/>
                <w:b w:val="1"/>
                <w:bCs w:val="1"/>
                <w:color w:val="auto"/>
              </w:rPr>
              <w:t>Document</w:t>
            </w:r>
          </w:p>
        </w:tc>
        <w:tc>
          <w:tcPr>
            <w:tcW w:w="80" w:type="dxa"/>
            <w:vAlign w:val="bottom"/>
            <w:vMerge w:val="restart"/>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9"/>
              </w:rPr>
              <w:t>Reference to Prior Filing or</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Exhibit #</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780" w:type="dxa"/>
            <w:vAlign w:val="bottom"/>
            <w:tcBorders>
              <w:bottom w:val="single" w:sz="8" w:color="auto"/>
            </w:tcBorders>
            <w:gridSpan w:val="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Exhibit # Attached Hereto</w:t>
            </w:r>
          </w:p>
        </w:tc>
        <w:tc>
          <w:tcPr>
            <w:tcW w:w="0" w:type="dxa"/>
            <w:vAlign w:val="bottom"/>
          </w:tcPr>
          <w:p>
            <w:pPr>
              <w:spacing w:after="0"/>
              <w:rPr>
                <w:sz w:val="1"/>
                <w:szCs w:val="1"/>
                <w:color w:val="auto"/>
              </w:rPr>
            </w:pPr>
          </w:p>
        </w:tc>
      </w:tr>
      <w:tr>
        <w:trPr>
          <w:trHeight w:val="163"/>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10.19A</w:t>
            </w:r>
          </w:p>
        </w:tc>
        <w:tc>
          <w:tcPr>
            <w:tcW w:w="8360" w:type="dxa"/>
            <w:vAlign w:val="bottom"/>
            <w:gridSpan w:val="10"/>
          </w:tcPr>
          <w:p>
            <w:pPr>
              <w:spacing w:after="0"/>
              <w:rPr>
                <w:rFonts w:ascii="Arial" w:cs="Arial" w:eastAsia="Arial" w:hAnsi="Arial"/>
                <w:sz w:val="13"/>
                <w:szCs w:val="13"/>
                <w:color w:val="0000FF"/>
              </w:rPr>
            </w:pPr>
            <w:hyperlink r:id="rId122">
              <w:r>
                <w:rPr>
                  <w:rFonts w:ascii="Arial" w:cs="Arial" w:eastAsia="Arial" w:hAnsi="Arial"/>
                  <w:sz w:val="13"/>
                  <w:szCs w:val="13"/>
                  <w:color w:val="0000FF"/>
                </w:rPr>
                <w:t>Amendment No. 1 to Change in Control Severance Agreement between HomeTrust Bancshares, Inc. and Kristin Powell</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(v)</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10.20</w:t>
            </w:r>
          </w:p>
        </w:tc>
        <w:tc>
          <w:tcPr>
            <w:tcW w:w="100" w:type="dxa"/>
            <w:vAlign w:val="bottom"/>
          </w:tcPr>
          <w:p>
            <w:pPr>
              <w:spacing w:after="0"/>
              <w:rPr>
                <w:sz w:val="13"/>
                <w:szCs w:val="13"/>
                <w:color w:val="auto"/>
              </w:rPr>
            </w:pPr>
          </w:p>
        </w:tc>
        <w:tc>
          <w:tcPr>
            <w:tcW w:w="6120" w:type="dxa"/>
            <w:vAlign w:val="bottom"/>
            <w:tcBorders>
              <w:top w:val="single" w:sz="8" w:color="0000FF"/>
            </w:tcBorders>
            <w:gridSpan w:val="5"/>
          </w:tcPr>
          <w:p>
            <w:pPr>
              <w:spacing w:after="0"/>
              <w:rPr>
                <w:rFonts w:ascii="Arial" w:cs="Arial" w:eastAsia="Arial" w:hAnsi="Arial"/>
                <w:sz w:val="13"/>
                <w:szCs w:val="13"/>
                <w:color w:val="0000FF"/>
              </w:rPr>
            </w:pPr>
            <w:hyperlink r:id="rId123">
              <w:r>
                <w:rPr>
                  <w:rFonts w:ascii="Arial" w:cs="Arial" w:eastAsia="Arial" w:hAnsi="Arial"/>
                  <w:sz w:val="13"/>
                  <w:szCs w:val="13"/>
                  <w:color w:val="0000FF"/>
                </w:rPr>
                <w:t>Change in Control Severance Agreement between HomeTrust Bancshares, Inc. and Megan Pelletier</w:t>
              </w:r>
            </w:hyperlink>
          </w:p>
        </w:tc>
        <w:tc>
          <w:tcPr>
            <w:tcW w:w="2240" w:type="dxa"/>
            <w:vAlign w:val="bottom"/>
            <w:gridSpan w:val="5"/>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(v)</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21.0</w:t>
            </w:r>
          </w:p>
        </w:tc>
        <w:tc>
          <w:tcPr>
            <w:tcW w:w="100" w:type="dxa"/>
            <w:vAlign w:val="bottom"/>
          </w:tcPr>
          <w:p>
            <w:pPr>
              <w:spacing w:after="0"/>
              <w:rPr>
                <w:sz w:val="13"/>
                <w:szCs w:val="13"/>
                <w:color w:val="auto"/>
              </w:rPr>
            </w:pPr>
          </w:p>
        </w:tc>
        <w:tc>
          <w:tcPr>
            <w:tcW w:w="5080" w:type="dxa"/>
            <w:vAlign w:val="bottom"/>
            <w:tcBorders>
              <w:top w:val="single" w:sz="8" w:color="0000FF"/>
            </w:tcBorders>
            <w:gridSpan w:val="4"/>
          </w:tcPr>
          <w:p>
            <w:pPr>
              <w:spacing w:after="0"/>
              <w:rPr>
                <w:sz w:val="20"/>
                <w:szCs w:val="20"/>
                <w:color w:val="auto"/>
              </w:rPr>
            </w:pPr>
            <w:r>
              <w:rPr>
                <w:rFonts w:ascii="Arial" w:cs="Arial" w:eastAsia="Arial" w:hAnsi="Arial"/>
                <w:sz w:val="13"/>
                <w:szCs w:val="13"/>
                <w:color w:val="0000FF"/>
              </w:rPr>
              <w:t>Subsidiaries of the Registrant</w:t>
            </w:r>
          </w:p>
        </w:tc>
        <w:tc>
          <w:tcPr>
            <w:tcW w:w="3280" w:type="dxa"/>
            <w:vAlign w:val="bottom"/>
            <w:gridSpan w:val="6"/>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6"/>
              </w:rPr>
              <w:t>21.0</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23.0</w:t>
            </w:r>
          </w:p>
        </w:tc>
        <w:tc>
          <w:tcPr>
            <w:tcW w:w="100" w:type="dxa"/>
            <w:vAlign w:val="bottom"/>
          </w:tcPr>
          <w:p>
            <w:pPr>
              <w:spacing w:after="0"/>
              <w:rPr>
                <w:sz w:val="13"/>
                <w:szCs w:val="13"/>
                <w:color w:val="auto"/>
              </w:rPr>
            </w:pPr>
          </w:p>
        </w:tc>
        <w:tc>
          <w:tcPr>
            <w:tcW w:w="150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Consent of FORVIS, LLP</w:t>
            </w:r>
          </w:p>
        </w:tc>
        <w:tc>
          <w:tcPr>
            <w:tcW w:w="6860" w:type="dxa"/>
            <w:vAlign w:val="bottom"/>
            <w:gridSpan w:val="7"/>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6"/>
              </w:rPr>
              <w:t>23.0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31.1</w:t>
            </w:r>
          </w:p>
        </w:tc>
        <w:tc>
          <w:tcPr>
            <w:tcW w:w="100" w:type="dxa"/>
            <w:vAlign w:val="bottom"/>
          </w:tcPr>
          <w:p>
            <w:pPr>
              <w:spacing w:after="0"/>
              <w:rPr>
                <w:sz w:val="13"/>
                <w:szCs w:val="13"/>
                <w:color w:val="auto"/>
              </w:rPr>
            </w:pPr>
          </w:p>
        </w:tc>
        <w:tc>
          <w:tcPr>
            <w:tcW w:w="8360" w:type="dxa"/>
            <w:vAlign w:val="bottom"/>
            <w:gridSpan w:val="10"/>
          </w:tcPr>
          <w:p>
            <w:pPr>
              <w:spacing w:after="0"/>
              <w:rPr>
                <w:sz w:val="20"/>
                <w:szCs w:val="20"/>
                <w:color w:val="auto"/>
              </w:rPr>
            </w:pPr>
            <w:r>
              <w:rPr>
                <w:rFonts w:ascii="Arial" w:cs="Arial" w:eastAsia="Arial" w:hAnsi="Arial"/>
                <w:sz w:val="13"/>
                <w:szCs w:val="13"/>
                <w:color w:val="0000FF"/>
                <w:w w:val="90"/>
              </w:rPr>
              <w:t>Certification of Chief Executive Officer pursuant to Securities Exchange Act Rules 13a-14(a) and 15d-14(a) as adopted pursuant to Section 302 of the Sarbanes-</w:t>
            </w:r>
          </w:p>
        </w:tc>
        <w:tc>
          <w:tcPr>
            <w:tcW w:w="1740" w:type="dxa"/>
            <w:vAlign w:val="bottom"/>
          </w:tcPr>
          <w:p>
            <w:pPr>
              <w:jc w:val="center"/>
              <w:spacing w:after="0"/>
              <w:rPr>
                <w:sz w:val="20"/>
                <w:szCs w:val="20"/>
                <w:color w:val="auto"/>
              </w:rPr>
            </w:pPr>
            <w:r>
              <w:rPr>
                <w:rFonts w:ascii="Arial" w:cs="Arial" w:eastAsia="Arial" w:hAnsi="Arial"/>
                <w:sz w:val="13"/>
                <w:szCs w:val="13"/>
                <w:color w:val="auto"/>
                <w:w w:val="86"/>
              </w:rPr>
              <w:t>31.1</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9"/>
              </w:rPr>
              <w:t>Oxley Act of 2002</w:t>
            </w:r>
          </w:p>
        </w:tc>
        <w:tc>
          <w:tcPr>
            <w:tcW w:w="7240" w:type="dxa"/>
            <w:vAlign w:val="bottom"/>
            <w:tcBorders>
              <w:top w:val="single" w:sz="8" w:color="0000FF"/>
            </w:tcBorders>
            <w:gridSpan w:val="7"/>
          </w:tcPr>
          <w:p>
            <w:pPr>
              <w:spacing w:after="0"/>
              <w:rPr>
                <w:sz w:val="9"/>
                <w:szCs w:val="9"/>
                <w:color w:val="auto"/>
              </w:rPr>
            </w:pPr>
          </w:p>
        </w:tc>
        <w:tc>
          <w:tcPr>
            <w:tcW w:w="160" w:type="dxa"/>
            <w:vAlign w:val="bottom"/>
            <w:gridSpan w:val="2"/>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31.2</w:t>
            </w:r>
          </w:p>
        </w:tc>
        <w:tc>
          <w:tcPr>
            <w:tcW w:w="100" w:type="dxa"/>
            <w:vAlign w:val="bottom"/>
          </w:tcPr>
          <w:p>
            <w:pPr>
              <w:spacing w:after="0"/>
              <w:rPr>
                <w:sz w:val="13"/>
                <w:szCs w:val="13"/>
                <w:color w:val="auto"/>
              </w:rPr>
            </w:pPr>
          </w:p>
        </w:tc>
        <w:tc>
          <w:tcPr>
            <w:tcW w:w="8360" w:type="dxa"/>
            <w:vAlign w:val="bottom"/>
            <w:gridSpan w:val="10"/>
          </w:tcPr>
          <w:p>
            <w:pPr>
              <w:spacing w:after="0"/>
              <w:rPr>
                <w:sz w:val="20"/>
                <w:szCs w:val="20"/>
                <w:color w:val="auto"/>
              </w:rPr>
            </w:pPr>
            <w:r>
              <w:rPr>
                <w:rFonts w:ascii="Arial" w:cs="Arial" w:eastAsia="Arial" w:hAnsi="Arial"/>
                <w:sz w:val="13"/>
                <w:szCs w:val="13"/>
                <w:color w:val="0000FF"/>
                <w:w w:val="90"/>
              </w:rPr>
              <w:t>Certification of Chief Financial Officer pursuant to Securities Exchange Act Rules 13a-14(a) and 15d-14(a) as adopted pursuant to Section 302 of the Sarbanes-</w:t>
            </w:r>
          </w:p>
        </w:tc>
        <w:tc>
          <w:tcPr>
            <w:tcW w:w="1740" w:type="dxa"/>
            <w:vAlign w:val="bottom"/>
          </w:tcPr>
          <w:p>
            <w:pPr>
              <w:jc w:val="center"/>
              <w:spacing w:after="0"/>
              <w:rPr>
                <w:sz w:val="20"/>
                <w:szCs w:val="20"/>
                <w:color w:val="auto"/>
              </w:rPr>
            </w:pPr>
            <w:r>
              <w:rPr>
                <w:rFonts w:ascii="Arial" w:cs="Arial" w:eastAsia="Arial" w:hAnsi="Arial"/>
                <w:sz w:val="13"/>
                <w:szCs w:val="13"/>
                <w:color w:val="auto"/>
                <w:w w:val="86"/>
              </w:rPr>
              <w:t>31.2</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9"/>
              </w:rPr>
              <w:t>Oxley Act of 2002</w:t>
            </w:r>
          </w:p>
        </w:tc>
        <w:tc>
          <w:tcPr>
            <w:tcW w:w="7200" w:type="dxa"/>
            <w:vAlign w:val="bottom"/>
            <w:tcBorders>
              <w:top w:val="single" w:sz="8" w:color="0000FF"/>
            </w:tcBorders>
            <w:gridSpan w:val="6"/>
          </w:tcPr>
          <w:p>
            <w:pPr>
              <w:spacing w:after="0"/>
              <w:rPr>
                <w:sz w:val="9"/>
                <w:szCs w:val="9"/>
                <w:color w:val="auto"/>
              </w:rPr>
            </w:pPr>
          </w:p>
        </w:tc>
        <w:tc>
          <w:tcPr>
            <w:tcW w:w="200" w:type="dxa"/>
            <w:vAlign w:val="bottom"/>
            <w:gridSpan w:val="3"/>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32.0</w:t>
            </w:r>
          </w:p>
        </w:tc>
        <w:tc>
          <w:tcPr>
            <w:tcW w:w="100" w:type="dxa"/>
            <w:vAlign w:val="bottom"/>
          </w:tcPr>
          <w:p>
            <w:pPr>
              <w:spacing w:after="0"/>
              <w:rPr>
                <w:sz w:val="13"/>
                <w:szCs w:val="13"/>
                <w:color w:val="auto"/>
              </w:rPr>
            </w:pPr>
          </w:p>
        </w:tc>
        <w:tc>
          <w:tcPr>
            <w:tcW w:w="642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0"/>
              </w:rPr>
              <w:t>Certificate of Chief Executive Officer and Chief Financial Officer pursuant to Section 906 of the Sarbanes-Oxley Act of 2002</w:t>
            </w:r>
          </w:p>
        </w:tc>
        <w:tc>
          <w:tcPr>
            <w:tcW w:w="1940" w:type="dxa"/>
            <w:vAlign w:val="bottom"/>
            <w:gridSpan w:val="4"/>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6"/>
              </w:rPr>
              <w:t>32.0</w:t>
            </w:r>
          </w:p>
        </w:tc>
        <w:tc>
          <w:tcPr>
            <w:tcW w:w="0" w:type="dxa"/>
            <w:vAlign w:val="bottom"/>
          </w:tcPr>
          <w:p>
            <w:pPr>
              <w:spacing w:after="0"/>
              <w:rPr>
                <w:sz w:val="1"/>
                <w:szCs w:val="1"/>
                <w:color w:val="auto"/>
              </w:rPr>
            </w:pPr>
          </w:p>
        </w:tc>
      </w:tr>
      <w:tr>
        <w:trPr>
          <w:trHeight w:val="143"/>
        </w:trPr>
        <w:tc>
          <w:tcPr>
            <w:tcW w:w="1080" w:type="dxa"/>
            <w:vAlign w:val="bottom"/>
          </w:tcPr>
          <w:p>
            <w:pPr>
              <w:jc w:val="center"/>
              <w:spacing w:after="0" w:line="143" w:lineRule="exact"/>
              <w:rPr>
                <w:sz w:val="20"/>
                <w:szCs w:val="20"/>
                <w:color w:val="auto"/>
              </w:rPr>
            </w:pPr>
            <w:r>
              <w:rPr>
                <w:rFonts w:ascii="Arial" w:cs="Arial" w:eastAsia="Arial" w:hAnsi="Arial"/>
                <w:sz w:val="13"/>
                <w:szCs w:val="13"/>
                <w:color w:val="auto"/>
                <w:w w:val="82"/>
              </w:rPr>
              <w:t>101</w:t>
            </w:r>
          </w:p>
        </w:tc>
        <w:tc>
          <w:tcPr>
            <w:tcW w:w="100" w:type="dxa"/>
            <w:vAlign w:val="bottom"/>
          </w:tcPr>
          <w:p>
            <w:pPr>
              <w:spacing w:after="0"/>
              <w:rPr>
                <w:sz w:val="12"/>
                <w:szCs w:val="12"/>
                <w:color w:val="auto"/>
              </w:rPr>
            </w:pPr>
          </w:p>
        </w:tc>
        <w:tc>
          <w:tcPr>
            <w:tcW w:w="8360" w:type="dxa"/>
            <w:vAlign w:val="bottom"/>
            <w:gridSpan w:val="10"/>
          </w:tcPr>
          <w:p>
            <w:pPr>
              <w:spacing w:after="0" w:line="143" w:lineRule="exact"/>
              <w:rPr>
                <w:sz w:val="20"/>
                <w:szCs w:val="20"/>
                <w:color w:val="auto"/>
              </w:rPr>
            </w:pPr>
            <w:r>
              <w:rPr>
                <w:rFonts w:ascii="Arial" w:cs="Arial" w:eastAsia="Arial" w:hAnsi="Arial"/>
                <w:sz w:val="13"/>
                <w:szCs w:val="13"/>
                <w:color w:val="auto"/>
                <w:w w:val="96"/>
              </w:rPr>
              <w:t>The following materials from HomeTrust Bancshares’ Annual Report on Form 10-K for the year ended June 30, 2023, formatted in Extensible Business</w:t>
            </w:r>
          </w:p>
        </w:tc>
        <w:tc>
          <w:tcPr>
            <w:tcW w:w="1740" w:type="dxa"/>
            <w:vAlign w:val="bottom"/>
          </w:tcPr>
          <w:p>
            <w:pPr>
              <w:jc w:val="center"/>
              <w:spacing w:after="0" w:line="143" w:lineRule="exact"/>
              <w:rPr>
                <w:sz w:val="20"/>
                <w:szCs w:val="20"/>
                <w:color w:val="auto"/>
              </w:rPr>
            </w:pPr>
            <w:r>
              <w:rPr>
                <w:rFonts w:ascii="Arial" w:cs="Arial" w:eastAsia="Arial" w:hAnsi="Arial"/>
                <w:sz w:val="13"/>
                <w:szCs w:val="13"/>
                <w:color w:val="auto"/>
                <w:w w:val="82"/>
              </w:rPr>
              <w:t>101</w:t>
            </w: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360" w:type="dxa"/>
            <w:vAlign w:val="bottom"/>
            <w:gridSpan w:val="10"/>
          </w:tcPr>
          <w:p>
            <w:pPr>
              <w:spacing w:after="0" w:line="138" w:lineRule="exact"/>
              <w:rPr>
                <w:sz w:val="20"/>
                <w:szCs w:val="20"/>
                <w:color w:val="auto"/>
              </w:rPr>
            </w:pPr>
            <w:r>
              <w:rPr>
                <w:rFonts w:ascii="Arial" w:cs="Arial" w:eastAsia="Arial" w:hAnsi="Arial"/>
                <w:sz w:val="13"/>
                <w:szCs w:val="13"/>
                <w:color w:val="auto"/>
                <w:w w:val="90"/>
              </w:rPr>
              <w:t>Reporting Language (XBRL): (a) Consolidated Balance Sheets; (b) Consolidated Statements of Income; (c) Consolidated Statements of Comprehensive Income;</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360" w:hanging="174"/>
        <w:spacing w:after="0"/>
        <w:tabs>
          <w:tab w:leader="none" w:pos="1360" w:val="left"/>
        </w:tabs>
        <w:numPr>
          <w:ilvl w:val="1"/>
          <w:numId w:val="40"/>
        </w:numPr>
        <w:rPr>
          <w:rFonts w:ascii="Arial" w:cs="Arial" w:eastAsia="Arial" w:hAnsi="Arial"/>
          <w:sz w:val="13"/>
          <w:szCs w:val="13"/>
          <w:color w:val="auto"/>
        </w:rPr>
      </w:pPr>
      <w:r>
        <w:rPr>
          <w:rFonts w:ascii="Arial" w:cs="Arial" w:eastAsia="Arial" w:hAnsi="Arial"/>
          <w:sz w:val="13"/>
          <w:szCs w:val="13"/>
          <w:color w:val="auto"/>
        </w:rPr>
        <w:t>Consolidated Statements of Changes in Stockholders' Equity; (e) Consolidated Statements of Cash Flows; and (f) Notes to Consolidated Financial Statements.</w:t>
      </w:r>
    </w:p>
    <w:p>
      <w:pPr>
        <w:spacing w:after="0" w:line="107" w:lineRule="exact"/>
        <w:rPr>
          <w:rFonts w:ascii="Arial" w:cs="Arial" w:eastAsia="Arial" w:hAnsi="Arial"/>
          <w:sz w:val="13"/>
          <w:szCs w:val="13"/>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Attached as Appendix A to the proxy statement/prospectus filed by HomeTrust Bancshares on November 2, 2016 pursuant to Rule 424(b) of the Securities Act of 1933.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June 10, 2014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Attached as Appendix A to the joint proxy statement/prospectus filed by HomeTrust Bancshares on April 28, 2014 pursuant to Rule 424(b) of the Securities Act of 1933.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S-1 (File No. 333-178817) filed on December 29, 2011.</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May 24, 2022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2021 (File No. 001-35593).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September 11, 2018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October 28, 2020 (File No. 001-35593).</w:t>
      </w:r>
    </w:p>
    <w:p>
      <w:pPr>
        <w:spacing w:after="0" w:line="32" w:lineRule="exact"/>
        <w:rPr>
          <w:rFonts w:ascii="Arial" w:cs="Arial" w:eastAsia="Arial" w:hAnsi="Arial"/>
          <w:sz w:val="11"/>
          <w:szCs w:val="11"/>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Amendment No. 1 to HomeTrust Bancshares’s Registration Statement on Form S-1 (File No. 333-178817) filed on March 9, 2012.</w:t>
      </w:r>
    </w:p>
    <w:p>
      <w:pPr>
        <w:spacing w:after="0" w:line="43" w:lineRule="exact"/>
        <w:rPr>
          <w:rFonts w:ascii="Arial" w:cs="Arial" w:eastAsia="Arial" w:hAnsi="Arial"/>
          <w:sz w:val="11"/>
          <w:szCs w:val="11"/>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Attached as Appendix A to HomeTrust Bancshares’s definitive proxy statement filed on December 5, 2012 (File No. 001-35593).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S-8 (File No. 333-186666) filed on February 13, 2013.</w:t>
      </w:r>
    </w:p>
    <w:p>
      <w:pPr>
        <w:spacing w:after="0" w:line="43" w:lineRule="exact"/>
        <w:rPr>
          <w:rFonts w:ascii="Arial" w:cs="Arial" w:eastAsia="Arial" w:hAnsi="Arial"/>
          <w:sz w:val="11"/>
          <w:szCs w:val="11"/>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February 15, 2022 (File No. 001-35593).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2022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2014 (File No. 001-35593).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Attached as Appendix A to HomeTrust Bancshares’s definitive proxy statement filed on October 3, 2022 (File No. 001-35593).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August 28, 2023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July 28, 2021 (File No. 001-35593).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July 25, 2022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September 25, 2018 (File No. 001-35593).</w:t>
      </w:r>
    </w:p>
    <w:p>
      <w:pPr>
        <w:spacing w:after="0" w:line="32" w:lineRule="exact"/>
        <w:rPr>
          <w:rFonts w:ascii="Arial" w:cs="Arial" w:eastAsia="Arial" w:hAnsi="Arial"/>
          <w:sz w:val="11"/>
          <w:szCs w:val="11"/>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2019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September 30, 2022 (File No. 001-35593).</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2022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S-8 (File No. 333-186666) filed on February 6, 2023.</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Form 10-K Summary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86" w:name="page87"/>
    <w:bookmarkEnd w:id="86"/>
    <w:p>
      <w:pPr>
        <w:ind w:left="5240"/>
        <w:spacing w:after="0"/>
        <w:rPr>
          <w:sz w:val="20"/>
          <w:szCs w:val="20"/>
          <w:color w:val="auto"/>
        </w:rPr>
      </w:pPr>
      <w:r>
        <w:rPr>
          <w:rFonts w:ascii="Arial" w:cs="Arial" w:eastAsia="Arial" w:hAnsi="Arial"/>
          <w:sz w:val="13"/>
          <w:szCs w:val="13"/>
          <w:b w:val="1"/>
          <w:bCs w:val="1"/>
          <w:color w:val="auto"/>
        </w:rPr>
        <w:t>SIGNATURES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4120" w:type="dxa"/>
            <w:vAlign w:val="bottom"/>
          </w:tcPr>
          <w:p>
            <w:pPr>
              <w:spacing w:after="0"/>
              <w:rPr>
                <w:sz w:val="14"/>
                <w:szCs w:val="14"/>
                <w:color w:val="auto"/>
              </w:rPr>
            </w:pPr>
          </w:p>
        </w:tc>
        <w:tc>
          <w:tcPr>
            <w:tcW w:w="7120" w:type="dxa"/>
            <w:vAlign w:val="bottom"/>
            <w:gridSpan w:val="2"/>
          </w:tcPr>
          <w:p>
            <w:pPr>
              <w:ind w:left="2780"/>
              <w:spacing w:after="0"/>
              <w:rPr>
                <w:sz w:val="20"/>
                <w:szCs w:val="20"/>
                <w:color w:val="auto"/>
              </w:rPr>
            </w:pPr>
            <w:r>
              <w:rPr>
                <w:rFonts w:ascii="Arial" w:cs="Arial" w:eastAsia="Arial" w:hAnsi="Arial"/>
                <w:sz w:val="13"/>
                <w:szCs w:val="13"/>
                <w:b w:val="1"/>
                <w:bCs w:val="1"/>
                <w:color w:val="auto"/>
              </w:rPr>
              <w:t>HOMETRUST BANCSHARES, INC.</w:t>
            </w:r>
          </w:p>
        </w:tc>
      </w:tr>
      <w:tr>
        <w:trPr>
          <w:trHeight w:val="246"/>
        </w:trPr>
        <w:tc>
          <w:tcPr>
            <w:tcW w:w="4120" w:type="dxa"/>
            <w:vAlign w:val="bottom"/>
          </w:tcPr>
          <w:p>
            <w:pPr>
              <w:spacing w:after="0"/>
              <w:rPr>
                <w:sz w:val="20"/>
                <w:szCs w:val="20"/>
                <w:color w:val="auto"/>
              </w:rPr>
            </w:pPr>
            <w:r>
              <w:rPr>
                <w:rFonts w:ascii="Arial" w:cs="Arial" w:eastAsia="Arial" w:hAnsi="Arial"/>
                <w:sz w:val="13"/>
                <w:szCs w:val="13"/>
                <w:color w:val="auto"/>
              </w:rPr>
              <w:t>Date: September 11, 2023</w:t>
            </w:r>
          </w:p>
        </w:tc>
        <w:tc>
          <w:tcPr>
            <w:tcW w:w="3420" w:type="dxa"/>
            <w:vAlign w:val="bottom"/>
          </w:tcPr>
          <w:p>
            <w:pPr>
              <w:ind w:left="2780"/>
              <w:spacing w:after="0"/>
              <w:rPr>
                <w:sz w:val="20"/>
                <w:szCs w:val="20"/>
                <w:color w:val="auto"/>
              </w:rPr>
            </w:pPr>
            <w:r>
              <w:rPr>
                <w:rFonts w:ascii="Arial" w:cs="Arial" w:eastAsia="Arial" w:hAnsi="Arial"/>
                <w:sz w:val="13"/>
                <w:szCs w:val="13"/>
                <w:color w:val="auto"/>
              </w:rPr>
              <w:t>By:</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C. Hunter Westbrook</w:t>
            </w:r>
          </w:p>
        </w:tc>
      </w:tr>
      <w:tr>
        <w:trPr>
          <w:trHeight w:val="158"/>
        </w:trPr>
        <w:tc>
          <w:tcPr>
            <w:tcW w:w="41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3"/>
                <w:szCs w:val="13"/>
                <w:color w:val="auto"/>
              </w:rPr>
              <w:t>C. Hunter Westbrook</w:t>
            </w:r>
          </w:p>
        </w:tc>
      </w:tr>
      <w:tr>
        <w:trPr>
          <w:trHeight w:val="170"/>
        </w:trPr>
        <w:tc>
          <w:tcPr>
            <w:tcW w:w="4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70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Signature</w:t>
            </w:r>
          </w:p>
        </w:tc>
        <w:tc>
          <w:tcPr>
            <w:tcW w:w="100" w:type="dxa"/>
            <w:vAlign w:val="bottom"/>
          </w:tcPr>
          <w:p>
            <w:pPr>
              <w:spacing w:after="0"/>
              <w:rPr>
                <w:sz w:val="14"/>
                <w:szCs w:val="14"/>
                <w:color w:val="auto"/>
              </w:rPr>
            </w:pPr>
          </w:p>
        </w:tc>
        <w:tc>
          <w:tcPr>
            <w:tcW w:w="7020" w:type="dxa"/>
            <w:vAlign w:val="bottom"/>
            <w:tcBorders>
              <w:bottom w:val="single" w:sz="8" w:color="auto"/>
            </w:tcBorders>
          </w:tcPr>
          <w:p>
            <w:pPr>
              <w:ind w:left="3380"/>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r>
      <w:tr>
        <w:trPr>
          <w:trHeight w:val="328"/>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C. Hunter Westbrook</w:t>
            </w:r>
          </w:p>
        </w:tc>
        <w:tc>
          <w:tcPr>
            <w:tcW w:w="10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60"/>
        </w:trPr>
        <w:tc>
          <w:tcPr>
            <w:tcW w:w="2300" w:type="dxa"/>
            <w:vAlign w:val="bottom"/>
          </w:tcPr>
          <w:p>
            <w:pPr>
              <w:ind w:left="20"/>
              <w:spacing w:after="0"/>
              <w:rPr>
                <w:sz w:val="20"/>
                <w:szCs w:val="20"/>
                <w:color w:val="auto"/>
              </w:rPr>
            </w:pPr>
            <w:r>
              <w:rPr>
                <w:rFonts w:ascii="Arial" w:cs="Arial" w:eastAsia="Arial" w:hAnsi="Arial"/>
                <w:sz w:val="13"/>
                <w:szCs w:val="13"/>
                <w:color w:val="auto"/>
              </w:rPr>
              <w:t>C. Hunter Westbrook</w:t>
            </w:r>
          </w:p>
        </w:tc>
        <w:tc>
          <w:tcPr>
            <w:tcW w:w="100" w:type="dxa"/>
            <w:vAlign w:val="bottom"/>
          </w:tcPr>
          <w:p>
            <w:pPr>
              <w:spacing w:after="0"/>
              <w:rPr>
                <w:sz w:val="13"/>
                <w:szCs w:val="13"/>
                <w:color w:val="auto"/>
              </w:rPr>
            </w:pPr>
          </w:p>
        </w:tc>
        <w:tc>
          <w:tcPr>
            <w:tcW w:w="7120" w:type="dxa"/>
            <w:vAlign w:val="bottom"/>
            <w:gridSpan w:val="2"/>
          </w:tcPr>
          <w:p>
            <w:pPr>
              <w:ind w:left="60"/>
              <w:spacing w:after="0"/>
              <w:rPr>
                <w:sz w:val="20"/>
                <w:szCs w:val="20"/>
                <w:color w:val="auto"/>
              </w:rPr>
            </w:pPr>
            <w:r>
              <w:rPr>
                <w:rFonts w:ascii="Arial" w:cs="Arial" w:eastAsia="Arial" w:hAnsi="Arial"/>
                <w:sz w:val="13"/>
                <w:szCs w:val="13"/>
                <w:i w:val="1"/>
                <w:iCs w:val="1"/>
                <w:color w:val="auto"/>
              </w:rPr>
              <w:t>(Principal Executive Officer)</w:t>
            </w:r>
          </w:p>
        </w:tc>
        <w:tc>
          <w:tcPr>
            <w:tcW w:w="1760" w:type="dxa"/>
            <w:vAlign w:val="bottom"/>
          </w:tcPr>
          <w:p>
            <w:pPr>
              <w:spacing w:after="0"/>
              <w:rPr>
                <w:sz w:val="13"/>
                <w:szCs w:val="13"/>
                <w:color w:val="auto"/>
              </w:rPr>
            </w:pPr>
          </w:p>
        </w:tc>
      </w:tr>
      <w:tr>
        <w:trPr>
          <w:trHeight w:val="244"/>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Tony J. VunCannon</w:t>
            </w:r>
          </w:p>
        </w:tc>
        <w:tc>
          <w:tcPr>
            <w:tcW w:w="10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Executive Vice President, Chief Financial Officer, Corporate Secretary and Treasurer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60"/>
        </w:trPr>
        <w:tc>
          <w:tcPr>
            <w:tcW w:w="2300" w:type="dxa"/>
            <w:vAlign w:val="bottom"/>
          </w:tcPr>
          <w:p>
            <w:pPr>
              <w:ind w:left="20"/>
              <w:spacing w:after="0"/>
              <w:rPr>
                <w:sz w:val="20"/>
                <w:szCs w:val="20"/>
                <w:color w:val="auto"/>
              </w:rPr>
            </w:pPr>
            <w:r>
              <w:rPr>
                <w:rFonts w:ascii="Arial" w:cs="Arial" w:eastAsia="Arial" w:hAnsi="Arial"/>
                <w:sz w:val="13"/>
                <w:szCs w:val="13"/>
                <w:color w:val="auto"/>
              </w:rPr>
              <w:t>Tony J. VunCannon</w:t>
            </w:r>
          </w:p>
        </w:tc>
        <w:tc>
          <w:tcPr>
            <w:tcW w:w="100" w:type="dxa"/>
            <w:vAlign w:val="bottom"/>
          </w:tcPr>
          <w:p>
            <w:pPr>
              <w:spacing w:after="0"/>
              <w:rPr>
                <w:sz w:val="13"/>
                <w:szCs w:val="13"/>
                <w:color w:val="auto"/>
              </w:rPr>
            </w:pPr>
          </w:p>
        </w:tc>
        <w:tc>
          <w:tcPr>
            <w:tcW w:w="7120" w:type="dxa"/>
            <w:vAlign w:val="bottom"/>
            <w:gridSpan w:val="2"/>
          </w:tcPr>
          <w:p>
            <w:pPr>
              <w:ind w:left="100"/>
              <w:spacing w:after="0"/>
              <w:rPr>
                <w:sz w:val="20"/>
                <w:szCs w:val="20"/>
                <w:color w:val="auto"/>
              </w:rPr>
            </w:pPr>
            <w:r>
              <w:rPr>
                <w:rFonts w:ascii="Arial" w:cs="Arial" w:eastAsia="Arial" w:hAnsi="Arial"/>
                <w:sz w:val="13"/>
                <w:szCs w:val="13"/>
                <w:i w:val="1"/>
                <w:iCs w:val="1"/>
                <w:color w:val="auto"/>
              </w:rPr>
              <w:t>(Principal Financial and Accounting Officer)</w:t>
            </w:r>
          </w:p>
        </w:tc>
        <w:tc>
          <w:tcPr>
            <w:tcW w:w="1760" w:type="dxa"/>
            <w:vAlign w:val="bottom"/>
          </w:tcPr>
          <w:p>
            <w:pPr>
              <w:spacing w:after="0"/>
              <w:rPr>
                <w:sz w:val="13"/>
                <w:szCs w:val="13"/>
                <w:color w:val="auto"/>
              </w:rPr>
            </w:pPr>
          </w:p>
        </w:tc>
      </w:tr>
      <w:tr>
        <w:trPr>
          <w:trHeight w:val="24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Dana L. Stonestreet</w:t>
            </w:r>
          </w:p>
        </w:tc>
        <w:tc>
          <w:tcPr>
            <w:tcW w:w="10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Dana L. Stonestreet</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Sidney A. Biesecker</w:t>
            </w:r>
          </w:p>
        </w:tc>
        <w:tc>
          <w:tcPr>
            <w:tcW w:w="10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Sidney A. Biesecker</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Robert E. James, Jr.</w:t>
            </w:r>
          </w:p>
        </w:tc>
        <w:tc>
          <w:tcPr>
            <w:tcW w:w="10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Robert E. James, Jr.</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Laura C. Kendall</w:t>
            </w:r>
          </w:p>
        </w:tc>
        <w:tc>
          <w:tcPr>
            <w:tcW w:w="10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Laura C. Kendall</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Craig C. Koontz</w:t>
            </w:r>
          </w:p>
        </w:tc>
        <w:tc>
          <w:tcPr>
            <w:tcW w:w="10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Craig C. Koontz</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Rebekah M. Lowe</w:t>
            </w:r>
          </w:p>
        </w:tc>
        <w:tc>
          <w:tcPr>
            <w:tcW w:w="10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Rebekah M. Lowe</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F.K. McFarland, III</w:t>
            </w:r>
          </w:p>
        </w:tc>
        <w:tc>
          <w:tcPr>
            <w:tcW w:w="10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F.K. McFarland, III</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14"/>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Narasimhulu Neelagaru</w:t>
            </w:r>
          </w:p>
        </w:tc>
        <w:tc>
          <w:tcPr>
            <w:tcW w:w="10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Narasimhulu Neelagaru</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John A. Switzer</w:t>
            </w:r>
          </w:p>
        </w:tc>
        <w:tc>
          <w:tcPr>
            <w:tcW w:w="10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John A. Switzer</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Richard T. Williams</w:t>
            </w:r>
          </w:p>
        </w:tc>
        <w:tc>
          <w:tcPr>
            <w:tcW w:w="10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September 11, 2023</w:t>
            </w:r>
          </w:p>
        </w:tc>
      </w:tr>
      <w:tr>
        <w:trPr>
          <w:trHeight w:val="158"/>
        </w:trPr>
        <w:tc>
          <w:tcPr>
            <w:tcW w:w="2300" w:type="dxa"/>
            <w:vAlign w:val="bottom"/>
          </w:tcPr>
          <w:p>
            <w:pPr>
              <w:ind w:left="20"/>
              <w:spacing w:after="0"/>
              <w:rPr>
                <w:sz w:val="20"/>
                <w:szCs w:val="20"/>
                <w:color w:val="auto"/>
              </w:rPr>
            </w:pPr>
            <w:r>
              <w:rPr>
                <w:rFonts w:ascii="Arial" w:cs="Arial" w:eastAsia="Arial" w:hAnsi="Arial"/>
                <w:sz w:val="13"/>
                <w:szCs w:val="13"/>
                <w:color w:val="auto"/>
              </w:rPr>
              <w:t>Richard T. Williams</w:t>
            </w:r>
          </w:p>
        </w:tc>
        <w:tc>
          <w:tcPr>
            <w:tcW w:w="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733" w:right="319" w:bottom="1440"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4.1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 OF THE REGISTRANT’S SECURITIES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REGISTERED PURSUANT TO SECTION 12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EXCHANGE ACT OF 1934</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 Company’s authorized capital stock currently consists of:</w:t>
      </w:r>
    </w:p>
    <w:p>
      <w:pPr>
        <w:spacing w:after="0" w:line="41" w:lineRule="exact"/>
        <w:rPr>
          <w:sz w:val="20"/>
          <w:szCs w:val="20"/>
          <w:color w:val="auto"/>
        </w:rPr>
      </w:pPr>
    </w:p>
    <w:p>
      <w:pPr>
        <w:ind w:left="200" w:hanging="131"/>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3"/>
          <w:szCs w:val="13"/>
          <w:color w:val="auto"/>
        </w:rPr>
        <w:t>60,000,000 shares of common stock, $0.01 par value per share; and</w:t>
      </w:r>
    </w:p>
    <w:p>
      <w:pPr>
        <w:spacing w:after="0" w:line="8" w:lineRule="exact"/>
        <w:rPr>
          <w:rFonts w:ascii="Arial" w:cs="Arial" w:eastAsia="Arial" w:hAnsi="Arial"/>
          <w:sz w:val="14"/>
          <w:szCs w:val="14"/>
          <w:color w:val="auto"/>
        </w:rPr>
      </w:pPr>
    </w:p>
    <w:p>
      <w:pPr>
        <w:ind w:left="200" w:hanging="131"/>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3"/>
          <w:szCs w:val="13"/>
          <w:color w:val="auto"/>
        </w:rPr>
        <w:t>10,000,000 shares of preferred stock, $0.01 value per share.</w:t>
      </w:r>
    </w:p>
    <w:p>
      <w:pPr>
        <w:spacing w:after="0" w:line="51" w:lineRule="exact"/>
        <w:rPr>
          <w:sz w:val="20"/>
          <w:szCs w:val="20"/>
          <w:color w:val="auto"/>
        </w:rPr>
      </w:pPr>
    </w:p>
    <w:p>
      <w:pPr>
        <w:ind w:right="4100"/>
        <w:spacing w:after="0" w:line="323" w:lineRule="auto"/>
        <w:rPr>
          <w:sz w:val="20"/>
          <w:szCs w:val="20"/>
          <w:color w:val="auto"/>
        </w:rPr>
      </w:pPr>
      <w:r>
        <w:rPr>
          <w:rFonts w:ascii="Arial" w:cs="Arial" w:eastAsia="Arial" w:hAnsi="Arial"/>
          <w:sz w:val="13"/>
          <w:szCs w:val="13"/>
          <w:color w:val="auto"/>
        </w:rPr>
        <w:t xml:space="preserve">No shares of our preferred stock are currently outstanding. The Company’s common stock is traded on NASDAQ under the symbol “HTBI.” </w:t>
      </w:r>
      <w:r>
        <w:rPr>
          <w:rFonts w:ascii="Arial" w:cs="Arial" w:eastAsia="Arial" w:hAnsi="Arial"/>
          <w:sz w:val="13"/>
          <w:szCs w:val="13"/>
          <w:b w:val="1"/>
          <w:bCs w:val="1"/>
          <w:color w:val="auto"/>
        </w:rPr>
        <w:t>Common Stock</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following description of our common stock is a summary and does not purport to be complete. It is subject to and qualified in its entirety by reference to our Charter (the “Charter”) and our Amended and Restated Bylaws (the “Bylaws”), each of which is incorporated by reference as an exhibit to the Annual Report on Form 10-K of which this Exhibit 4.1 is a part. We encourage you to read our Charter, our Bylaws and the applicable provisions of Maryland General Corporation Law, for additional information.</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Each share of our common stock has the same relative rights and is identical in all respects with each other share of our common stock. The Company’s common stock represents non-withdrawable capital, is not of an insurable type and is not insured by the FDIC or any other government agency.</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Subject to any prior rights of the holders of any preferred or other stock of the Company then outstanding, holders of our common stock are entitled to receive such dividends as are declared by the board of directors of the Company out of funds legally available for dividends.</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Except with respect to greater than 10% stockholders, full voting rights are vested in the holders of our common stock and each share is entitled to one vote. Subject to any prior rights of the holders of any of our preferred stock then outstanding, in the event of a liquidation, dissolution or winding up of the Company, holders of shares of our common stock will be entitled to receive, pro rata, any assets distributable to stockholders in respect of shares held by them. Holders of shares of Company common stock do not have any preemptive rights to subscribe for any additional securities which may be issued by the Company, nor do they have cumulative voting rights.</w:t>
      </w:r>
    </w:p>
    <w:p>
      <w:pPr>
        <w:spacing w:after="0" w:line="46"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In addition to the foregoing, provisions in our Charter and Bylaws may discourage attempts to acquire HomeTrust Bancshares, pursue a proxy contest for control of HomeTrust Bancshares, assume control of HomeTrust Bancshares by a holder of a larger block of common stock, and remove HomeTrust Bancshares’ management, all of which stockholders might think are in their best interests.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These provisions include:</w:t>
      </w:r>
    </w:p>
    <w:p>
      <w:pPr>
        <w:spacing w:after="0" w:line="41" w:lineRule="exact"/>
        <w:rPr>
          <w:sz w:val="20"/>
          <w:szCs w:val="20"/>
          <w:color w:val="auto"/>
        </w:rPr>
      </w:pPr>
    </w:p>
    <w:p>
      <w:pPr>
        <w:ind w:left="200" w:hanging="131"/>
        <w:spacing w:after="0" w:line="256" w:lineRule="auto"/>
        <w:tabs>
          <w:tab w:leader="none" w:pos="196" w:val="left"/>
        </w:tabs>
        <w:numPr>
          <w:ilvl w:val="0"/>
          <w:numId w:val="43"/>
        </w:numPr>
        <w:rPr>
          <w:rFonts w:ascii="Arial" w:cs="Arial" w:eastAsia="Arial" w:hAnsi="Arial"/>
          <w:sz w:val="14"/>
          <w:szCs w:val="14"/>
          <w:color w:val="auto"/>
        </w:rPr>
      </w:pPr>
      <w:r>
        <w:rPr>
          <w:rFonts w:ascii="Arial" w:cs="Arial" w:eastAsia="Arial" w:hAnsi="Arial"/>
          <w:sz w:val="13"/>
          <w:szCs w:val="13"/>
          <w:color w:val="auto"/>
        </w:rPr>
        <w:t>an 80% stockholder vote requirement for certain business combinations not approved by disinterested directors, for amendments to some provisions of the Charter and for any amendment of the Bylaws by stockholders;</w:t>
      </w:r>
    </w:p>
    <w:p>
      <w:pPr>
        <w:spacing w:after="0" w:line="18" w:lineRule="exact"/>
        <w:rPr>
          <w:rFonts w:ascii="Arial" w:cs="Arial" w:eastAsia="Arial" w:hAnsi="Arial"/>
          <w:sz w:val="14"/>
          <w:szCs w:val="14"/>
          <w:color w:val="auto"/>
        </w:rPr>
      </w:pPr>
    </w:p>
    <w:p>
      <w:pPr>
        <w:ind w:left="200" w:hanging="131"/>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3"/>
          <w:szCs w:val="13"/>
          <w:color w:val="auto"/>
        </w:rPr>
        <w:t>the election of directors to staggered terms of generally three years;</w:t>
      </w:r>
    </w:p>
    <w:p>
      <w:pPr>
        <w:spacing w:after="0" w:line="40" w:lineRule="exact"/>
        <w:rPr>
          <w:rFonts w:ascii="Arial" w:cs="Arial" w:eastAsia="Arial" w:hAnsi="Arial"/>
          <w:sz w:val="14"/>
          <w:szCs w:val="14"/>
          <w:color w:val="auto"/>
        </w:rPr>
      </w:pPr>
    </w:p>
    <w:p>
      <w:pPr>
        <w:ind w:left="200" w:hanging="131"/>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3"/>
          <w:szCs w:val="13"/>
          <w:color w:val="auto"/>
        </w:rPr>
        <w:t>provisions requiring advance notice of stockholder proposals and director nominations;</w:t>
      </w:r>
    </w:p>
    <w:p>
      <w:pPr>
        <w:spacing w:after="0" w:line="40" w:lineRule="exact"/>
        <w:rPr>
          <w:rFonts w:ascii="Arial" w:cs="Arial" w:eastAsia="Arial" w:hAnsi="Arial"/>
          <w:sz w:val="14"/>
          <w:szCs w:val="14"/>
          <w:color w:val="auto"/>
        </w:rPr>
      </w:pPr>
    </w:p>
    <w:p>
      <w:pPr>
        <w:ind w:left="200" w:hanging="131"/>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3"/>
          <w:szCs w:val="13"/>
          <w:color w:val="auto"/>
        </w:rPr>
        <w:t>a requirement that the calling of a special meeting by stockholders requires the written request of stockholders entitled to vote at least a majority of all votes entitled to vote at the meeting; and</w:t>
      </w:r>
    </w:p>
    <w:p>
      <w:pPr>
        <w:spacing w:after="0" w:line="29" w:lineRule="exact"/>
        <w:rPr>
          <w:rFonts w:ascii="Arial" w:cs="Arial" w:eastAsia="Arial" w:hAnsi="Arial"/>
          <w:sz w:val="14"/>
          <w:szCs w:val="14"/>
          <w:color w:val="auto"/>
        </w:rPr>
      </w:pPr>
    </w:p>
    <w:p>
      <w:pPr>
        <w:ind w:left="200" w:hanging="131"/>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3"/>
          <w:szCs w:val="13"/>
          <w:color w:val="auto"/>
        </w:rPr>
        <w:t>the removal of directors only for cause and by a vote of a majority of the outstanding shares of common stock.</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Federal banking law also restricts acquisitions of control of bank holding companies such as HomeTrust Bancshares. In addition, the business corporation law of Maryland, the state where HomeTrust Bancshares is incorporated, provides for certain restrictions on acquisition of HomeTrust Bancshares.</w:t>
      </w:r>
    </w:p>
    <w:p>
      <w:pPr>
        <w:sectPr>
          <w:pgSz w:w="11900" w:h="16838" w:orient="portrait"/>
          <w:cols w:equalWidth="0" w:num="1">
            <w:col w:w="11280"/>
          </w:cols>
          <w:pgMar w:left="300" w:top="733" w:right="319" w:bottom="1440" w:gutter="0" w:footer="0" w:header="0"/>
        </w:sectPr>
      </w:pPr>
    </w:p>
    <w:bookmarkStart w:id="111" w:name="page112"/>
    <w:bookmarkEnd w:id="111"/>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57" w:lineRule="auto"/>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5"/>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ind w:left="1520"/>
              <w:spacing w:after="0"/>
              <w:rPr>
                <w:sz w:val="20"/>
                <w:szCs w:val="20"/>
                <w:color w:val="auto"/>
              </w:rPr>
            </w:pPr>
            <w:r>
              <w:rPr>
                <w:rFonts w:ascii="Arial" w:cs="Arial" w:eastAsia="Arial" w:hAnsi="Arial"/>
                <w:sz w:val="13"/>
                <w:szCs w:val="13"/>
                <w:b w:val="1"/>
                <w:bCs w:val="1"/>
                <w:color w:val="auto"/>
                <w:w w:val="87"/>
              </w:rPr>
              <w:t>Exhibit 21</w:t>
            </w:r>
          </w:p>
        </w:tc>
        <w:tc>
          <w:tcPr>
            <w:tcW w:w="0" w:type="dxa"/>
            <w:vAlign w:val="bottom"/>
          </w:tcPr>
          <w:p>
            <w:pPr>
              <w:spacing w:after="0"/>
              <w:rPr>
                <w:sz w:val="1"/>
                <w:szCs w:val="1"/>
                <w:color w:val="auto"/>
              </w:rPr>
            </w:pPr>
          </w:p>
        </w:tc>
      </w:tr>
      <w:tr>
        <w:trPr>
          <w:trHeight w:val="265"/>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40" w:type="dxa"/>
            <w:vAlign w:val="bottom"/>
            <w:gridSpan w:val="2"/>
          </w:tcPr>
          <w:p>
            <w:pPr>
              <w:ind w:left="640"/>
              <w:spacing w:after="0"/>
              <w:rPr>
                <w:sz w:val="20"/>
                <w:szCs w:val="20"/>
                <w:color w:val="auto"/>
              </w:rPr>
            </w:pPr>
            <w:r>
              <w:rPr>
                <w:rFonts w:ascii="Arial" w:cs="Arial" w:eastAsia="Arial" w:hAnsi="Arial"/>
                <w:sz w:val="13"/>
                <w:szCs w:val="13"/>
                <w:b w:val="1"/>
                <w:bCs w:val="1"/>
                <w:color w:val="auto"/>
              </w:rPr>
              <w:t>SUBSIDIARIES OF THE REGISTRANT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Percentage of Ownership</w:t>
            </w:r>
          </w:p>
        </w:tc>
        <w:tc>
          <w:tcPr>
            <w:tcW w:w="20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State of Incorporation or</w:t>
            </w:r>
          </w:p>
        </w:tc>
        <w:tc>
          <w:tcPr>
            <w:tcW w:w="0" w:type="dxa"/>
            <w:vAlign w:val="bottom"/>
          </w:tcPr>
          <w:p>
            <w:pPr>
              <w:spacing w:after="0"/>
              <w:rPr>
                <w:sz w:val="1"/>
                <w:szCs w:val="1"/>
                <w:color w:val="auto"/>
              </w:rPr>
            </w:pPr>
          </w:p>
        </w:tc>
      </w:tr>
      <w:tr>
        <w:trPr>
          <w:trHeight w:val="102"/>
        </w:trPr>
        <w:tc>
          <w:tcPr>
            <w:tcW w:w="3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Parent</w:t>
            </w:r>
          </w:p>
        </w:tc>
        <w:tc>
          <w:tcPr>
            <w:tcW w:w="80" w:type="dxa"/>
            <w:vAlign w:val="bottom"/>
            <w:vMerge w:val="restart"/>
          </w:tcPr>
          <w:p>
            <w:pPr>
              <w:spacing w:after="0"/>
              <w:rPr>
                <w:sz w:val="8"/>
                <w:szCs w:val="8"/>
                <w:color w:val="auto"/>
              </w:rPr>
            </w:pPr>
          </w:p>
        </w:tc>
        <w:tc>
          <w:tcPr>
            <w:tcW w:w="3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Subsidiary</w:t>
            </w:r>
          </w:p>
        </w:tc>
        <w:tc>
          <w:tcPr>
            <w:tcW w:w="80" w:type="dxa"/>
            <w:vAlign w:val="bottom"/>
            <w:vMerge w:val="restart"/>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Organization</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74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76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8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HomeTrust Bancshares, Inc.</w:t>
            </w:r>
          </w:p>
        </w:tc>
        <w:tc>
          <w:tcPr>
            <w:tcW w:w="384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HomeTrust Bank</w:t>
            </w: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3"/>
                <w:szCs w:val="13"/>
                <w:color w:val="auto"/>
              </w:rPr>
            </w:pPr>
          </w:p>
        </w:tc>
        <w:tc>
          <w:tcPr>
            <w:tcW w:w="2080" w:type="dxa"/>
            <w:vAlign w:val="bottom"/>
            <w:gridSpan w:val="2"/>
          </w:tcPr>
          <w:p>
            <w:pPr>
              <w:jc w:val="center"/>
              <w:ind w:right="20"/>
              <w:spacing w:after="0"/>
              <w:rPr>
                <w:sz w:val="20"/>
                <w:szCs w:val="20"/>
                <w:color w:val="auto"/>
              </w:rPr>
            </w:pPr>
            <w:r>
              <w:rPr>
                <w:rFonts w:ascii="Arial" w:cs="Arial" w:eastAsia="Arial" w:hAnsi="Arial"/>
                <w:sz w:val="13"/>
                <w:szCs w:val="13"/>
                <w:color w:val="auto"/>
                <w:w w:val="93"/>
              </w:rPr>
              <w:t>North Carolina</w:t>
            </w:r>
          </w:p>
        </w:tc>
        <w:tc>
          <w:tcPr>
            <w:tcW w:w="0" w:type="dxa"/>
            <w:vAlign w:val="bottom"/>
          </w:tcPr>
          <w:p>
            <w:pPr>
              <w:spacing w:after="0"/>
              <w:rPr>
                <w:sz w:val="1"/>
                <w:szCs w:val="1"/>
                <w:color w:val="auto"/>
              </w:rPr>
            </w:pPr>
          </w:p>
        </w:tc>
      </w:tr>
      <w:tr>
        <w:trPr>
          <w:trHeight w:val="255"/>
        </w:trPr>
        <w:tc>
          <w:tcPr>
            <w:tcW w:w="38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0"/>
              </w:rPr>
              <w:t>HomeTrust Bank</w:t>
            </w:r>
          </w:p>
        </w:tc>
        <w:tc>
          <w:tcPr>
            <w:tcW w:w="384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Western North Carolina Service Corporation</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22"/>
                <w:szCs w:val="22"/>
                <w:color w:val="auto"/>
              </w:rPr>
            </w:pPr>
          </w:p>
        </w:tc>
        <w:tc>
          <w:tcPr>
            <w:tcW w:w="208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93"/>
              </w:rPr>
              <w:t>North Carolina</w:t>
            </w:r>
          </w:p>
        </w:tc>
        <w:tc>
          <w:tcPr>
            <w:tcW w:w="0" w:type="dxa"/>
            <w:vAlign w:val="bottom"/>
          </w:tcPr>
          <w:p>
            <w:pPr>
              <w:spacing w:after="0"/>
              <w:rPr>
                <w:sz w:val="1"/>
                <w:szCs w:val="1"/>
                <w:color w:val="auto"/>
              </w:rPr>
            </w:pPr>
          </w:p>
        </w:tc>
      </w:tr>
      <w:tr>
        <w:trPr>
          <w:trHeight w:val="85"/>
        </w:trPr>
        <w:tc>
          <w:tcPr>
            <w:tcW w:w="3820" w:type="dxa"/>
            <w:vAlign w:val="bottom"/>
            <w:gridSpan w:val="2"/>
            <w:vMerge w:val="continue"/>
          </w:tcPr>
          <w:p>
            <w:pPr>
              <w:spacing w:after="0"/>
              <w:rPr>
                <w:sz w:val="7"/>
                <w:szCs w:val="7"/>
                <w:color w:val="auto"/>
              </w:rPr>
            </w:pPr>
          </w:p>
        </w:tc>
        <w:tc>
          <w:tcPr>
            <w:tcW w:w="3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40" w:top="733"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23</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77" w:lineRule="exact"/>
        <w:rPr>
          <w:sz w:val="20"/>
          <w:szCs w:val="20"/>
          <w:color w:val="auto"/>
        </w:rPr>
      </w:pPr>
    </w:p>
    <w:p>
      <w:pPr>
        <w:jc w:val="both"/>
        <w:spacing w:after="0" w:line="157" w:lineRule="exact"/>
        <w:rPr>
          <w:sz w:val="20"/>
          <w:szCs w:val="20"/>
          <w:color w:val="auto"/>
        </w:rPr>
      </w:pPr>
      <w:r>
        <w:rPr>
          <w:rFonts w:ascii="Arial" w:cs="Arial" w:eastAsia="Arial" w:hAnsi="Arial"/>
          <w:sz w:val="13"/>
          <w:szCs w:val="13"/>
          <w:color w:val="auto"/>
        </w:rPr>
        <w:t>We consent to the incorporation by reference in the Registration Statements on Forms S</w:t>
      </w:r>
      <w:r>
        <w:rPr>
          <w:rFonts w:ascii="MS PGothic" w:cs="MS PGothic" w:eastAsia="MS PGothic" w:hAnsi="MS PGothic"/>
          <w:sz w:val="13"/>
          <w:szCs w:val="13"/>
          <w:color w:val="auto"/>
        </w:rPr>
        <w:t>‑</w:t>
      </w:r>
      <w:r>
        <w:rPr>
          <w:rFonts w:ascii="Arial" w:cs="Arial" w:eastAsia="Arial" w:hAnsi="Arial"/>
          <w:sz w:val="13"/>
          <w:szCs w:val="13"/>
          <w:color w:val="auto"/>
        </w:rPr>
        <w:t>8 (Nos. 333</w:t>
      </w:r>
      <w:r>
        <w:rPr>
          <w:rFonts w:ascii="MS PGothic" w:cs="MS PGothic" w:eastAsia="MS PGothic" w:hAnsi="MS PGothic"/>
          <w:sz w:val="13"/>
          <w:szCs w:val="13"/>
          <w:color w:val="auto"/>
        </w:rPr>
        <w:t>‑</w:t>
      </w:r>
      <w:r>
        <w:rPr>
          <w:rFonts w:ascii="Arial" w:cs="Arial" w:eastAsia="Arial" w:hAnsi="Arial"/>
          <w:sz w:val="13"/>
          <w:szCs w:val="13"/>
          <w:color w:val="auto"/>
        </w:rPr>
        <w:t>182635, 333</w:t>
      </w:r>
      <w:r>
        <w:rPr>
          <w:rFonts w:ascii="MS PGothic" w:cs="MS PGothic" w:eastAsia="MS PGothic" w:hAnsi="MS PGothic"/>
          <w:sz w:val="13"/>
          <w:szCs w:val="13"/>
          <w:color w:val="auto"/>
        </w:rPr>
        <w:t>‑</w:t>
      </w:r>
      <w:r>
        <w:rPr>
          <w:rFonts w:ascii="Arial" w:cs="Arial" w:eastAsia="Arial" w:hAnsi="Arial"/>
          <w:sz w:val="13"/>
          <w:szCs w:val="13"/>
          <w:color w:val="auto"/>
        </w:rPr>
        <w:t>186666, 333</w:t>
      </w:r>
      <w:r>
        <w:rPr>
          <w:rFonts w:ascii="MS PGothic" w:cs="MS PGothic" w:eastAsia="MS PGothic" w:hAnsi="MS PGothic"/>
          <w:sz w:val="13"/>
          <w:szCs w:val="13"/>
          <w:color w:val="auto"/>
        </w:rPr>
        <w:t>‑</w:t>
      </w:r>
      <w:r>
        <w:rPr>
          <w:rFonts w:ascii="Arial" w:cs="Arial" w:eastAsia="Arial" w:hAnsi="Arial"/>
          <w:sz w:val="13"/>
          <w:szCs w:val="13"/>
          <w:color w:val="auto"/>
        </w:rPr>
        <w:t>210167 and 333</w:t>
      </w:r>
      <w:r>
        <w:rPr>
          <w:rFonts w:ascii="MS PGothic" w:cs="MS PGothic" w:eastAsia="MS PGothic" w:hAnsi="MS PGothic"/>
          <w:sz w:val="13"/>
          <w:szCs w:val="13"/>
          <w:color w:val="auto"/>
        </w:rPr>
        <w:t>‑</w:t>
      </w:r>
      <w:r>
        <w:rPr>
          <w:rFonts w:ascii="Arial" w:cs="Arial" w:eastAsia="Arial" w:hAnsi="Arial"/>
          <w:sz w:val="13"/>
          <w:szCs w:val="13"/>
          <w:color w:val="auto"/>
        </w:rPr>
        <w:t>269590) and Form S</w:t>
      </w:r>
      <w:r>
        <w:rPr>
          <w:rFonts w:ascii="MS PGothic" w:cs="MS PGothic" w:eastAsia="MS PGothic" w:hAnsi="MS PGothic"/>
          <w:sz w:val="13"/>
          <w:szCs w:val="13"/>
          <w:color w:val="auto"/>
        </w:rPr>
        <w:t>‑</w:t>
      </w:r>
      <w:r>
        <w:rPr>
          <w:rFonts w:ascii="Arial" w:cs="Arial" w:eastAsia="Arial" w:hAnsi="Arial"/>
          <w:sz w:val="13"/>
          <w:szCs w:val="13"/>
          <w:color w:val="auto"/>
        </w:rPr>
        <w:t>3 (No. 333</w:t>
      </w:r>
      <w:r>
        <w:rPr>
          <w:rFonts w:ascii="MS PGothic" w:cs="MS PGothic" w:eastAsia="MS PGothic" w:hAnsi="MS PGothic"/>
          <w:sz w:val="13"/>
          <w:szCs w:val="13"/>
          <w:color w:val="auto"/>
        </w:rPr>
        <w:t>‑</w:t>
      </w:r>
      <w:r>
        <w:rPr>
          <w:rFonts w:ascii="Arial" w:cs="Arial" w:eastAsia="Arial" w:hAnsi="Arial"/>
          <w:sz w:val="13"/>
          <w:szCs w:val="13"/>
          <w:color w:val="auto"/>
        </w:rPr>
        <w:t>270288) of HomeTrust Bancshares, Inc. and Subsidiary of our reports dated September 11, 2023, with respect to the consolidated financial statements of HomeTrust Bancshares, Inc. and Subsidiary and the effectiveness of internal control over financial reporting, included in this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for the year ended June 30, 2023.</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 FORVIS, LLP</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Atlanta, Georgia</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September 11, 2023</w:t>
      </w:r>
    </w:p>
    <w:p>
      <w:pPr>
        <w:sectPr>
          <w:pgSz w:w="11900" w:h="16838" w:orient="portrait"/>
          <w:cols w:equalWidth="0" w:num="1">
            <w:col w:w="11280"/>
          </w:cols>
          <w:pgMar w:left="300" w:top="733"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I, C. Hunter Westbrook, certify that:</w:t>
      </w:r>
    </w:p>
    <w:p>
      <w:pPr>
        <w:spacing w:after="0" w:line="73" w:lineRule="exact"/>
        <w:rPr>
          <w:sz w:val="20"/>
          <w:szCs w:val="20"/>
          <w:color w:val="auto"/>
        </w:rPr>
      </w:pPr>
    </w:p>
    <w:p>
      <w:pPr>
        <w:ind w:left="360" w:hanging="228"/>
        <w:spacing w:after="0"/>
        <w:tabs>
          <w:tab w:leader="none" w:pos="3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HomeTrust Bancshares, Inc.;</w:t>
      </w:r>
    </w:p>
    <w:p>
      <w:pPr>
        <w:spacing w:after="0" w:line="73" w:lineRule="exact"/>
        <w:rPr>
          <w:rFonts w:ascii="Arial" w:cs="Arial" w:eastAsia="Arial" w:hAnsi="Arial"/>
          <w:sz w:val="13"/>
          <w:szCs w:val="13"/>
          <w:color w:val="auto"/>
        </w:rPr>
      </w:pPr>
    </w:p>
    <w:p>
      <w:pPr>
        <w:ind w:left="320" w:hanging="188"/>
        <w:spacing w:after="0" w:line="274" w:lineRule="auto"/>
        <w:tabs>
          <w:tab w:leader="none" w:pos="372"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3"/>
          <w:szCs w:val="13"/>
          <w:color w:val="auto"/>
        </w:rPr>
      </w:pPr>
    </w:p>
    <w:p>
      <w:pPr>
        <w:ind w:left="320" w:hanging="188"/>
        <w:spacing w:after="0" w:line="257" w:lineRule="auto"/>
        <w:tabs>
          <w:tab w:leader="none" w:pos="385"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3"/>
          <w:szCs w:val="13"/>
          <w:color w:val="auto"/>
        </w:rPr>
      </w:pPr>
    </w:p>
    <w:p>
      <w:pPr>
        <w:ind w:left="320" w:hanging="188"/>
        <w:spacing w:after="0" w:line="257" w:lineRule="auto"/>
        <w:tabs>
          <w:tab w:leader="none" w:pos="382"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3"/>
          <w:szCs w:val="13"/>
          <w:color w:val="auto"/>
        </w:rPr>
      </w:pPr>
    </w:p>
    <w:p>
      <w:pPr>
        <w:ind w:left="580" w:hanging="193"/>
        <w:spacing w:after="0" w:line="257" w:lineRule="auto"/>
        <w:tabs>
          <w:tab w:leader="none" w:pos="615" w:val="left"/>
        </w:tabs>
        <w:numPr>
          <w:ilvl w:val="1"/>
          <w:numId w:val="4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3"/>
          <w:szCs w:val="13"/>
          <w:color w:val="auto"/>
        </w:rPr>
      </w:pPr>
    </w:p>
    <w:p>
      <w:pPr>
        <w:ind w:left="580" w:hanging="193"/>
        <w:spacing w:after="0" w:line="257" w:lineRule="auto"/>
        <w:tabs>
          <w:tab w:leader="none" w:pos="630" w:val="left"/>
        </w:tabs>
        <w:numPr>
          <w:ilvl w:val="1"/>
          <w:numId w:val="4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3"/>
          <w:szCs w:val="13"/>
          <w:color w:val="auto"/>
        </w:rPr>
      </w:pPr>
    </w:p>
    <w:p>
      <w:pPr>
        <w:ind w:left="580" w:hanging="193"/>
        <w:spacing w:after="0" w:line="272" w:lineRule="auto"/>
        <w:tabs>
          <w:tab w:leader="none" w:pos="635" w:val="left"/>
        </w:tabs>
        <w:numPr>
          <w:ilvl w:val="1"/>
          <w:numId w:val="4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80" w:hanging="193"/>
        <w:spacing w:after="0" w:line="257" w:lineRule="auto"/>
        <w:tabs>
          <w:tab w:leader="none" w:pos="626" w:val="left"/>
        </w:tabs>
        <w:numPr>
          <w:ilvl w:val="1"/>
          <w:numId w:val="4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3"/>
          <w:szCs w:val="13"/>
          <w:color w:val="auto"/>
        </w:rPr>
      </w:pPr>
    </w:p>
    <w:p>
      <w:pPr>
        <w:ind w:left="320" w:hanging="188"/>
        <w:spacing w:after="0" w:line="272" w:lineRule="auto"/>
        <w:tabs>
          <w:tab w:leader="none" w:pos="381"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80" w:hanging="193"/>
        <w:spacing w:after="0" w:line="257" w:lineRule="auto"/>
        <w:tabs>
          <w:tab w:leader="none" w:pos="618" w:val="left"/>
        </w:tabs>
        <w:numPr>
          <w:ilvl w:val="1"/>
          <w:numId w:val="4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3"/>
          <w:szCs w:val="13"/>
          <w:color w:val="auto"/>
        </w:rPr>
      </w:pPr>
    </w:p>
    <w:p>
      <w:pPr>
        <w:ind w:left="620" w:hanging="233"/>
        <w:spacing w:after="0"/>
        <w:tabs>
          <w:tab w:leader="none" w:pos="620" w:val="left"/>
        </w:tabs>
        <w:numPr>
          <w:ilvl w:val="1"/>
          <w:numId w:val="4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11, 2023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9048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904875"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 Hunter Westbrook</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280"/>
          </w:cols>
          <w:pgMar w:left="300" w:top="733"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31.2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I, Tony J. VunCannon, certify that:</w:t>
      </w:r>
    </w:p>
    <w:p>
      <w:pPr>
        <w:spacing w:after="0" w:line="73" w:lineRule="exact"/>
        <w:rPr>
          <w:sz w:val="20"/>
          <w:szCs w:val="20"/>
          <w:color w:val="auto"/>
        </w:rPr>
      </w:pPr>
    </w:p>
    <w:p>
      <w:pPr>
        <w:ind w:left="360" w:hanging="228"/>
        <w:spacing w:after="0"/>
        <w:tabs>
          <w:tab w:leader="none" w:pos="3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HomeTrust Bancshares, Inc.;</w:t>
      </w:r>
    </w:p>
    <w:p>
      <w:pPr>
        <w:spacing w:after="0" w:line="73" w:lineRule="exact"/>
        <w:rPr>
          <w:rFonts w:ascii="Arial" w:cs="Arial" w:eastAsia="Arial" w:hAnsi="Arial"/>
          <w:sz w:val="13"/>
          <w:szCs w:val="13"/>
          <w:color w:val="auto"/>
        </w:rPr>
      </w:pPr>
    </w:p>
    <w:p>
      <w:pPr>
        <w:ind w:left="320" w:hanging="188"/>
        <w:spacing w:after="0" w:line="274" w:lineRule="auto"/>
        <w:tabs>
          <w:tab w:leader="none" w:pos="372"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3"/>
          <w:szCs w:val="13"/>
          <w:color w:val="auto"/>
        </w:rPr>
      </w:pPr>
    </w:p>
    <w:p>
      <w:pPr>
        <w:ind w:left="320" w:hanging="188"/>
        <w:spacing w:after="0" w:line="257" w:lineRule="auto"/>
        <w:tabs>
          <w:tab w:leader="none" w:pos="385"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3"/>
          <w:szCs w:val="13"/>
          <w:color w:val="auto"/>
        </w:rPr>
      </w:pPr>
    </w:p>
    <w:p>
      <w:pPr>
        <w:ind w:left="320" w:hanging="188"/>
        <w:spacing w:after="0" w:line="257" w:lineRule="auto"/>
        <w:tabs>
          <w:tab w:leader="none" w:pos="38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3"/>
          <w:szCs w:val="13"/>
          <w:color w:val="auto"/>
        </w:rPr>
      </w:pPr>
    </w:p>
    <w:p>
      <w:pPr>
        <w:ind w:left="580" w:hanging="193"/>
        <w:spacing w:after="0" w:line="257" w:lineRule="auto"/>
        <w:tabs>
          <w:tab w:leader="none" w:pos="615" w:val="left"/>
        </w:tabs>
        <w:numPr>
          <w:ilvl w:val="1"/>
          <w:numId w:val="4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3"/>
          <w:szCs w:val="13"/>
          <w:color w:val="auto"/>
        </w:rPr>
      </w:pPr>
    </w:p>
    <w:p>
      <w:pPr>
        <w:ind w:left="580" w:hanging="193"/>
        <w:spacing w:after="0" w:line="257" w:lineRule="auto"/>
        <w:tabs>
          <w:tab w:leader="none" w:pos="630" w:val="left"/>
        </w:tabs>
        <w:numPr>
          <w:ilvl w:val="1"/>
          <w:numId w:val="4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3"/>
          <w:szCs w:val="13"/>
          <w:color w:val="auto"/>
        </w:rPr>
      </w:pPr>
    </w:p>
    <w:p>
      <w:pPr>
        <w:ind w:left="580" w:hanging="193"/>
        <w:spacing w:after="0" w:line="272" w:lineRule="auto"/>
        <w:tabs>
          <w:tab w:leader="none" w:pos="635" w:val="left"/>
        </w:tabs>
        <w:numPr>
          <w:ilvl w:val="1"/>
          <w:numId w:val="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80" w:hanging="193"/>
        <w:spacing w:after="0" w:line="257" w:lineRule="auto"/>
        <w:tabs>
          <w:tab w:leader="none" w:pos="626" w:val="left"/>
        </w:tabs>
        <w:numPr>
          <w:ilvl w:val="1"/>
          <w:numId w:val="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3"/>
          <w:szCs w:val="13"/>
          <w:color w:val="auto"/>
        </w:rPr>
      </w:pPr>
    </w:p>
    <w:p>
      <w:pPr>
        <w:ind w:left="320" w:hanging="188"/>
        <w:spacing w:after="0" w:line="272" w:lineRule="auto"/>
        <w:tabs>
          <w:tab w:leader="none" w:pos="381"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80" w:hanging="193"/>
        <w:spacing w:after="0" w:line="257" w:lineRule="auto"/>
        <w:tabs>
          <w:tab w:leader="none" w:pos="618" w:val="left"/>
        </w:tabs>
        <w:numPr>
          <w:ilvl w:val="1"/>
          <w:numId w:val="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3"/>
          <w:szCs w:val="13"/>
          <w:color w:val="auto"/>
        </w:rPr>
      </w:pPr>
    </w:p>
    <w:p>
      <w:pPr>
        <w:ind w:left="620" w:hanging="233"/>
        <w:spacing w:after="0"/>
        <w:tabs>
          <w:tab w:leader="none" w:pos="62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11, 2023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Tony J. VunCannon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Tony J. VunCannon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Corporate Secretary and Treasurer</w:t>
      </w:r>
    </w:p>
    <w:p>
      <w:pPr>
        <w:sectPr>
          <w:pgSz w:w="11900" w:h="16838" w:orient="portrait"/>
          <w:cols w:equalWidth="0" w:num="1">
            <w:col w:w="11280"/>
          </w:cols>
          <w:pgMar w:left="300" w:top="733" w:right="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32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UNDER SECTION 906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SARBANES-OXLEY ACT OF 2002</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Pursuant to Section 906 of the Sarbanes-Oxley Act of 2002, each of the undersigned certifies in the capacity indicated below that this Annual Report on Form 10-K of HomeTrust Bancshares, Inc. (the “Company”) for the year ended June 30, 2023, fully complies with the requirements of Section 13(a) of the Securities Exchange Act of 1934, as amended, and that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216"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3"/>
          <w:szCs w:val="13"/>
          <w:color w:val="auto"/>
        </w:rPr>
        <w:t>Date: September 11, 2023</w:t>
      </w:r>
      <w:r>
        <w:rPr>
          <w:sz w:val="20"/>
          <w:szCs w:val="20"/>
          <w:color w:val="auto"/>
        </w:rPr>
        <w:tab/>
      </w:r>
      <w:r>
        <w:rPr>
          <w:rFonts w:ascii="Arial" w:cs="Arial" w:eastAsia="Arial" w:hAnsi="Arial"/>
          <w:sz w:val="11"/>
          <w:szCs w:val="11"/>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10160</wp:posOffset>
            </wp:positionV>
            <wp:extent cx="290385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C. Hunter Westbrook</w:t>
      </w:r>
    </w:p>
    <w:p>
      <w:pPr>
        <w:spacing w:after="0" w:line="20"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President and Chief Executive Officer</w:t>
      </w:r>
    </w:p>
    <w:p>
      <w:pPr>
        <w:spacing w:after="0" w:line="360"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3"/>
          <w:szCs w:val="13"/>
          <w:color w:val="auto"/>
        </w:rPr>
        <w:t>Date: September 11, 2023</w:t>
      </w:r>
      <w:r>
        <w:rPr>
          <w:sz w:val="20"/>
          <w:szCs w:val="20"/>
          <w:color w:val="auto"/>
        </w:rPr>
        <w:tab/>
      </w:r>
      <w:r>
        <w:rPr>
          <w:rFonts w:ascii="Arial" w:cs="Arial" w:eastAsia="Arial" w:hAnsi="Arial"/>
          <w:sz w:val="11"/>
          <w:szCs w:val="11"/>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10160</wp:posOffset>
            </wp:positionV>
            <wp:extent cx="290385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Tony J. VunCannon</w:t>
      </w:r>
    </w:p>
    <w:p>
      <w:pPr>
        <w:spacing w:after="0" w:line="20"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Executive Vice President, Chief Financial Officer, Corporate Secretary and Treasurer</w:t>
      </w: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This certification accompanies this periodic report pursuant to Section 906 of the Sarbanes-Oxley Act of 2002 and shall not be deemed filed for purposes of Section 18 of the Securities Exchange Act of 1934, as amended.</w:t>
      </w:r>
    </w:p>
    <w:sectPr>
      <w:pgSz w:w="11900" w:h="16838" w:orient="portrait"/>
      <w:cols w:equalWidth="0" w:num="1">
        <w:col w:w="11280"/>
      </w:cols>
      <w:pgMar w:left="300" w:top="7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lvl w:ilvl="1">
      <w:lvlJc w:val="left"/>
      <w:lvlText w:val="•"/>
      <w:numFmt w:val="bullet"/>
      <w:start w:val="1"/>
    </w:lvl>
  </w:abstractNum>
  <w:abstractNum w:abstractNumId="21">
    <w:nsid w:val="3006C83E"/>
    <w:multiLevelType w:val="hybridMultilevel"/>
    <w:lvl w:ilvl="0">
      <w:lvlJc w:val="left"/>
      <w:lvlText w:val="•"/>
      <w:numFmt w:val="bullet"/>
      <w:start w:val="1"/>
    </w:lvl>
    <w:lvl w:ilvl="1">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3"/>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6"/>
    </w:lvl>
  </w:abstractNum>
  <w:abstractNum w:abstractNumId="27">
    <w:nsid w:val="3804823E"/>
    <w:multiLevelType w:val="hybridMultilevel"/>
    <w:lvl w:ilvl="0">
      <w:lvlJc w:val="left"/>
      <w:lvlText w:val="%1."/>
      <w:numFmt w:val="decimal"/>
      <w:start w:val="8"/>
    </w:lvl>
  </w:abstractNum>
  <w:abstractNum w:abstractNumId="28">
    <w:nsid w:val="77465F01"/>
    <w:multiLevelType w:val="hybridMultilevel"/>
    <w:lvl w:ilvl="0">
      <w:lvlJc w:val="left"/>
      <w:lvlText w:val="%1."/>
      <w:numFmt w:val="decimal"/>
      <w:start w:val="10"/>
    </w:lvl>
  </w:abstractNum>
  <w:abstractNum w:abstractNumId="29">
    <w:nsid w:val="7724C67E"/>
    <w:multiLevelType w:val="hybridMultilevel"/>
    <w:lvl w:ilvl="0">
      <w:lvlJc w:val="left"/>
      <w:lvlText w:val="%1."/>
      <w:numFmt w:val="decimal"/>
      <w:start w:val="11"/>
    </w:lvl>
  </w:abstractNum>
  <w:abstractNum w:abstractNumId="30">
    <w:nsid w:val="5C482A97"/>
    <w:multiLevelType w:val="hybridMultilevel"/>
    <w:lvl w:ilvl="0">
      <w:lvlJc w:val="left"/>
      <w:lvlText w:val="%1."/>
      <w:numFmt w:val="decimal"/>
      <w:start w:val="13"/>
    </w:lvl>
  </w:abstractNum>
  <w:abstractNum w:abstractNumId="31">
    <w:nsid w:val="2463B9EA"/>
    <w:multiLevelType w:val="hybridMultilevel"/>
    <w:lvl w:ilvl="0">
      <w:lvlJc w:val="left"/>
      <w:lvlText w:val="%1."/>
      <w:numFmt w:val="decimal"/>
      <w:start w:val="14"/>
    </w:lvl>
  </w:abstractNum>
  <w:abstractNum w:abstractNumId="32">
    <w:nsid w:val="5E884ADC"/>
    <w:multiLevelType w:val="hybridMultilevel"/>
    <w:lvl w:ilvl="0">
      <w:lvlJc w:val="left"/>
      <w:lvlText w:val="%1."/>
      <w:numFmt w:val="decimal"/>
      <w:start w:val="15"/>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6"/>
    </w:lvl>
  </w:abstractNum>
  <w:abstractNum w:abstractNumId="35">
    <w:nsid w:val="580BD78F"/>
    <w:multiLevelType w:val="hybridMultilevel"/>
    <w:lvl w:ilvl="0">
      <w:lvlJc w:val="left"/>
      <w:lvlText w:val="%1."/>
      <w:numFmt w:val="decimal"/>
      <w:start w:val="17"/>
    </w:lvl>
  </w:abstractNum>
  <w:abstractNum w:abstractNumId="36">
    <w:nsid w:val="153EA438"/>
    <w:multiLevelType w:val="hybridMultilevel"/>
    <w:lvl w:ilvl="0">
      <w:lvlJc w:val="left"/>
      <w:lvlText w:val="%1."/>
      <w:numFmt w:val="decimal"/>
      <w:start w:val="18"/>
    </w:lvl>
  </w:abstractNum>
  <w:abstractNum w:abstractNumId="37">
    <w:nsid w:val="3855585C"/>
    <w:multiLevelType w:val="hybridMultilevel"/>
    <w:lvl w:ilvl="0">
      <w:lvlJc w:val="left"/>
      <w:lvlText w:val="%1."/>
      <w:numFmt w:val="decimal"/>
      <w:start w:val="19"/>
    </w:lvl>
  </w:abstractNum>
  <w:abstractNum w:abstractNumId="38">
    <w:nsid w:val="70A64E2A"/>
    <w:multiLevelType w:val="hybridMultilevel"/>
    <w:lvl w:ilvl="0">
      <w:lvlJc w:val="left"/>
      <w:lvlText w:val="%1."/>
      <w:numFmt w:val="decimal"/>
      <w:start w:val="20"/>
    </w:lvl>
  </w:abstractNum>
  <w:abstractNum w:abstractNumId="39">
    <w:nsid w:val="6A2342EC"/>
    <w:multiLevelType w:val="hybridMultilevel"/>
    <w:lvl w:ilvl="0">
      <w:lvlJc w:val="left"/>
      <w:lvlText w:val="%1"/>
      <w:numFmt w:val="lowerLetter"/>
      <w:start w:val="1"/>
    </w:lvl>
    <w:lvl w:ilvl="1">
      <w:lvlJc w:val="left"/>
      <w:lvlText w:val="(%2)"/>
      <w:numFmt w:val="lowerLetter"/>
      <w:start w:val="4"/>
    </w:lvl>
  </w:abstractNum>
  <w:abstractNum w:abstractNumId="40">
    <w:nsid w:val="2A487CB0"/>
    <w:multiLevelType w:val="hybridMultilevel"/>
    <w:lvl w:ilvl="0">
      <w:lvlJc w:val="left"/>
      <w:lvlText w:val="(%1)"/>
      <w:numFmt w:val="lowerLetter"/>
      <w:start w:val="1"/>
    </w:lvl>
    <w:lvl w:ilvl="1">
      <w:lvlJc w:val="left"/>
      <w:lvlText w:val="%2"/>
      <w:numFmt w:val="lowerLetter"/>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7"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92" Type="http://schemas.openxmlformats.org/officeDocument/2006/relationships/hyperlink" Target="http://www.sec.gov/Archives/edgar/data/1538263/000157104916019333/t1602530_s4a.htm" TargetMode="External"/><Relationship Id="rId93" Type="http://schemas.openxmlformats.org/officeDocument/2006/relationships/hyperlink" Target="http://www.sec.gov/Archives/edgar/data/1538263/000092708914000214/ex2-1.htm" TargetMode="External"/><Relationship Id="rId94" Type="http://schemas.openxmlformats.org/officeDocument/2006/relationships/hyperlink" Target="http://www.sec.gov/Archives/edgar/data/1538263/000119312514163448/d697123d424b3.htm" TargetMode="External"/><Relationship Id="rId95" Type="http://schemas.openxmlformats.org/officeDocument/2006/relationships/hyperlink" Target="http://www.sec.gov/ix?doc=/Archives/edgar/data/0001538263/000153826322000033/htbi-20220724.htm" TargetMode="External"/><Relationship Id="rId96" Type="http://schemas.openxmlformats.org/officeDocument/2006/relationships/hyperlink" Target="http://www.sec.gov/Archives/edgar/data/1538263/000119312511355607/0001193125-11-355607-index.htm" TargetMode="External"/><Relationship Id="rId97" Type="http://schemas.openxmlformats.org/officeDocument/2006/relationships/hyperlink" Target="http://www.sec.gov/Archives/edgar/data/1538263/000153826322000047/seniorleadershipincentiv.htm" TargetMode="External"/><Relationship Id="rId98" Type="http://schemas.openxmlformats.org/officeDocument/2006/relationships/hyperlink" Target="http://www.sec.gov/Archives/edgar/data/1538263/000153826322000047/htbi-2022x06x30xxex102st.htm" TargetMode="External"/><Relationship Id="rId99" Type="http://schemas.openxmlformats.org/officeDocument/2006/relationships/hyperlink" Target="http://www.sec.gov/Archives/edgar/data/1538263/000153826318000044/htbi-20180911x8k.htm" TargetMode="External"/><Relationship Id="rId100" Type="http://schemas.openxmlformats.org/officeDocument/2006/relationships/hyperlink" Target="http://www.sec.gov/Archives/edgar/data/1538263/000153826318000049/htbi-20180925x8k.htm" TargetMode="External"/><Relationship Id="rId101" Type="http://schemas.openxmlformats.org/officeDocument/2006/relationships/hyperlink" Target="http://www.sec.gov/ix?doc=/Archives/edgar/data/0001538263/000153826320000039/htbi-20201027.htm" TargetMode="External"/><Relationship Id="rId102" Type="http://schemas.openxmlformats.org/officeDocument/2006/relationships/hyperlink" Target="http://www.sec.gov/ix?doc=/Archives/edgar/data/0001538263/000153826321000053/htbi-20210726.htm" TargetMode="External"/><Relationship Id="rId103" Type="http://schemas.openxmlformats.org/officeDocument/2006/relationships/hyperlink" Target="http://www.sec.gov/ix?doc=/Archives/edgar/data/0001538263/000153826322000024/htbi-20220523.htm" TargetMode="External"/><Relationship Id="rId104" Type="http://schemas.openxmlformats.org/officeDocument/2006/relationships/hyperlink" Target="http://www.sec.gov/Archives/edgar/data/1538263/000153826322000047/htbi-2022x06x30xxex104av.htm" TargetMode="External"/><Relationship Id="rId105" Type="http://schemas.openxmlformats.org/officeDocument/2006/relationships/hyperlink" Target="http://www.sec.gov/ix?doc=/Archives/edgar/data/0001538263/000153826322000021/htbi-20220331.htm" TargetMode="External"/><Relationship Id="rId106" Type="http://schemas.openxmlformats.org/officeDocument/2006/relationships/hyperlink" Target="http://www.sec.gov/ix?doc=/Archives/edgar/data/0001538263/000153826322000009/htbi-20220211.htm" TargetMode="External"/><Relationship Id="rId108" Type="http://schemas.openxmlformats.org/officeDocument/2006/relationships/hyperlink" Target="http://www.sec.gov/Archives/edgar/data/1538263/000119312512107294/0001193125-12-107294-index.htm" TargetMode="External"/><Relationship Id="rId109" Type="http://schemas.openxmlformats.org/officeDocument/2006/relationships/hyperlink" Target="http://www.sec.gov/ix?doc=/Archives/edgar/data/0001538263/000153826322000058/htbi-20220930.htm" TargetMode="External"/><Relationship Id="rId110" Type="http://schemas.openxmlformats.org/officeDocument/2006/relationships/hyperlink" Target="http://www.sec.gov/ix?doc=/Archives/edgar/data/0001538263/000153826323000038/htbi-20230828.htm" TargetMode="External"/><Relationship Id="rId111" Type="http://schemas.openxmlformats.org/officeDocument/2006/relationships/hyperlink" Target="http://www.sec.gov/Archives/edgar/data/1538263/000092708912000332/htbi-def14a2012.htm" TargetMode="External"/><Relationship Id="rId112" Type="http://schemas.openxmlformats.org/officeDocument/2006/relationships/hyperlink" Target="http://www.sec.gov/Archives/edgar/data/1538263/000092708913000038/0000927089-13-000038-index.htm" TargetMode="External"/><Relationship Id="rId113" Type="http://schemas.openxmlformats.org/officeDocument/2006/relationships/hyperlink" Target="http://www.sec.gov/Archives/edgar/data/1538263/000110465922104918/tm2226697d1_def14a.htm" TargetMode="External"/><Relationship Id="rId114" Type="http://schemas.openxmlformats.org/officeDocument/2006/relationships/hyperlink" Target="http://www.sec.gov/Archives/edgar/data/1538263/000110465923011174/tm235386d1_s8.htm" TargetMode="External"/><Relationship Id="rId115" Type="http://schemas.openxmlformats.org/officeDocument/2006/relationships/hyperlink" Target="http://www.sec.gov/Archives/edgar/data/1538263/000092708914000374/0000927089-14-000374-index.htm" TargetMode="External"/><Relationship Id="rId116" Type="http://schemas.openxmlformats.org/officeDocument/2006/relationships/hyperlink" Target="http://www.sec.gov/Archives/edgar/data/1538263/000153826319000024/a2019-03x31xhtbix10q.htm" TargetMode="External"/><Relationship Id="rId117" Type="http://schemas.openxmlformats.org/officeDocument/2006/relationships/hyperlink" Target="http://www.sec.gov/Archives/edgar/data/1538263/000153826322000047/htbi-2022x06x30xxex1020a.htm" TargetMode="External"/><Relationship Id="rId118" Type="http://schemas.openxmlformats.org/officeDocument/2006/relationships/hyperlink" Target="http://www.sec.gov/Archives/edgar/data/1538263/000153826322000047/htbi-2022x06x30xxex1021a.htm" TargetMode="External"/><Relationship Id="rId119" Type="http://schemas.openxmlformats.org/officeDocument/2006/relationships/hyperlink" Target="http://www.sec.gov/Archives/edgar/data/1538263/000153826322000047/htbi-2022x06x30xxex1023d.htm" TargetMode="External"/><Relationship Id="rId122" Type="http://schemas.openxmlformats.org/officeDocument/2006/relationships/hyperlink" Target="http://www.sec.gov/Archives/edgar/data/1538263/000153826322000047/htbi-2022x06x30xxex1024p.htm" TargetMode="External"/><Relationship Id="rId123" Type="http://schemas.openxmlformats.org/officeDocument/2006/relationships/hyperlink" Target="http://www.sec.gov/Archives/edgar/data/1538263/000153826322000047/pelletiermegan-cic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2023-09-11T15:28:21Z</dcterms:created>
  <dcterms:modified xsi:type="dcterms:W3CDTF">2023-09-11T15:28:21Z</dcterms:modified>
</cp:coreProperties>
</file>