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FORM 10-KT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6"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23"/>
          <w:szCs w:val="23"/>
          <w:color w:val="auto"/>
          <w:highlight w:val="black"/>
          <w:vertAlign w:val="subscript"/>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6"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23"/>
          <w:szCs w:val="23"/>
          <w:color w:val="auto"/>
          <w:highlight w:val="black"/>
          <w:vertAlign w:val="subscript"/>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65"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For the Transition Period from July 1, 2023 to December 31, 2023</w:t>
            </w:r>
          </w:p>
        </w:tc>
        <w:tc>
          <w:tcPr>
            <w:tcW w:w="3760" w:type="dxa"/>
            <w:vAlign w:val="bottom"/>
          </w:tcPr>
          <w:p>
            <w:pPr>
              <w:spacing w:after="0"/>
              <w:rPr>
                <w:sz w:val="12"/>
                <w:szCs w:val="12"/>
                <w:color w:val="auto"/>
              </w:rPr>
            </w:pPr>
          </w:p>
        </w:tc>
      </w:tr>
      <w:tr>
        <w:trPr>
          <w:trHeight w:val="223"/>
        </w:trPr>
        <w:tc>
          <w:tcPr>
            <w:tcW w:w="4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8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Commission File Number 1-35593</w:t>
            </w:r>
          </w:p>
        </w:tc>
        <w:tc>
          <w:tcPr>
            <w:tcW w:w="3760" w:type="dxa"/>
            <w:vAlign w:val="bottom"/>
          </w:tcPr>
          <w:p>
            <w:pPr>
              <w:spacing w:after="0"/>
              <w:rPr>
                <w:sz w:val="19"/>
                <w:szCs w:val="19"/>
                <w:color w:val="auto"/>
              </w:rPr>
            </w:pPr>
          </w:p>
        </w:tc>
      </w:tr>
      <w:tr>
        <w:trPr>
          <w:trHeight w:val="223"/>
        </w:trPr>
        <w:tc>
          <w:tcPr>
            <w:tcW w:w="4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80" w:type="dxa"/>
            <w:vAlign w:val="bottom"/>
            <w:gridSpan w:val="2"/>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HOMETRUST BANCSHARES, INC.</w:t>
            </w:r>
          </w:p>
        </w:tc>
        <w:tc>
          <w:tcPr>
            <w:tcW w:w="3760" w:type="dxa"/>
            <w:vAlign w:val="bottom"/>
          </w:tcPr>
          <w:p>
            <w:pPr>
              <w:spacing w:after="0"/>
              <w:rPr>
                <w:sz w:val="19"/>
                <w:szCs w:val="19"/>
                <w:color w:val="auto"/>
              </w:rPr>
            </w:pPr>
          </w:p>
        </w:tc>
      </w:tr>
      <w:tr>
        <w:trPr>
          <w:trHeight w:val="212"/>
        </w:trPr>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760" w:type="dxa"/>
            <w:vAlign w:val="bottom"/>
          </w:tcPr>
          <w:p>
            <w:pPr>
              <w:spacing w:after="0"/>
              <w:rPr>
                <w:sz w:val="18"/>
                <w:szCs w:val="18"/>
                <w:color w:val="auto"/>
              </w:rPr>
            </w:pPr>
          </w:p>
        </w:tc>
      </w:tr>
      <w:tr>
        <w:trPr>
          <w:trHeight w:val="170"/>
        </w:trPr>
        <w:tc>
          <w:tcPr>
            <w:tcW w:w="40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Maryland</w:t>
            </w:r>
          </w:p>
        </w:tc>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tcPr>
          <w:p>
            <w:pPr>
              <w:jc w:val="right"/>
              <w:ind w:right="2283"/>
              <w:spacing w:after="0"/>
              <w:rPr>
                <w:sz w:val="20"/>
                <w:szCs w:val="20"/>
                <w:color w:val="auto"/>
              </w:rPr>
            </w:pPr>
            <w:r>
              <w:rPr>
                <w:rFonts w:ascii="Times New Roman" w:cs="Times New Roman" w:eastAsia="Times New Roman" w:hAnsi="Times New Roman"/>
                <w:sz w:val="11"/>
                <w:szCs w:val="11"/>
                <w:b w:val="1"/>
                <w:bCs w:val="1"/>
                <w:color w:val="auto"/>
              </w:rPr>
              <w:t>45-5055422</w:t>
            </w:r>
          </w:p>
        </w:tc>
      </w:tr>
      <w:tr>
        <w:trPr>
          <w:trHeight w:val="159"/>
        </w:trPr>
        <w:tc>
          <w:tcPr>
            <w:tcW w:w="40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jc w:val="center"/>
              <w:ind w:right="1383"/>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18"/>
        </w:trPr>
        <w:tc>
          <w:tcPr>
            <w:tcW w:w="40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10 Woodfin Street, Asheville, North Carolina</w:t>
            </w: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jc w:val="right"/>
              <w:ind w:right="2403"/>
              <w:spacing w:after="0"/>
              <w:rPr>
                <w:sz w:val="20"/>
                <w:szCs w:val="20"/>
                <w:color w:val="auto"/>
              </w:rPr>
            </w:pPr>
            <w:r>
              <w:rPr>
                <w:rFonts w:ascii="Times New Roman" w:cs="Times New Roman" w:eastAsia="Times New Roman" w:hAnsi="Times New Roman"/>
                <w:sz w:val="11"/>
                <w:szCs w:val="11"/>
                <w:b w:val="1"/>
                <w:bCs w:val="1"/>
                <w:color w:val="auto"/>
              </w:rPr>
              <w:t>28801</w:t>
            </w:r>
          </w:p>
        </w:tc>
      </w:tr>
      <w:tr>
        <w:trPr>
          <w:trHeight w:val="159"/>
        </w:trPr>
        <w:tc>
          <w:tcPr>
            <w:tcW w:w="4000" w:type="dxa"/>
            <w:vAlign w:val="bottom"/>
          </w:tcPr>
          <w:p>
            <w:pPr>
              <w:jc w:val="center"/>
              <w:ind w:left="114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4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jc w:val="center"/>
              <w:ind w:right="1403"/>
              <w:spacing w:after="0"/>
              <w:rPr>
                <w:sz w:val="20"/>
                <w:szCs w:val="20"/>
                <w:color w:val="auto"/>
              </w:rPr>
            </w:pPr>
            <w:r>
              <w:rPr>
                <w:rFonts w:ascii="Times New Roman" w:cs="Times New Roman" w:eastAsia="Times New Roman" w:hAnsi="Times New Roman"/>
                <w:sz w:val="11"/>
                <w:szCs w:val="11"/>
                <w:color w:val="auto"/>
              </w:rPr>
              <w:t>(Zip Code)</w:t>
            </w:r>
          </w:p>
        </w:tc>
      </w:tr>
      <w:tr>
        <w:trPr>
          <w:trHeight w:val="308"/>
        </w:trPr>
        <w:tc>
          <w:tcPr>
            <w:tcW w:w="4000" w:type="dxa"/>
            <w:vAlign w:val="bottom"/>
          </w:tcPr>
          <w:p>
            <w:pPr>
              <w:spacing w:after="0"/>
              <w:rPr>
                <w:sz w:val="24"/>
                <w:szCs w:val="24"/>
                <w:color w:val="auto"/>
              </w:rPr>
            </w:pPr>
          </w:p>
        </w:tc>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(828) 259-3939</w:t>
            </w:r>
          </w:p>
        </w:tc>
        <w:tc>
          <w:tcPr>
            <w:tcW w:w="3760" w:type="dxa"/>
            <w:vAlign w:val="bottom"/>
          </w:tcPr>
          <w:p>
            <w:pPr>
              <w:spacing w:after="0"/>
              <w:rPr>
                <w:sz w:val="24"/>
                <w:szCs w:val="24"/>
                <w:color w:val="auto"/>
              </w:rPr>
            </w:pPr>
          </w:p>
        </w:tc>
      </w:tr>
      <w:tr>
        <w:trPr>
          <w:trHeight w:val="223"/>
        </w:trPr>
        <w:tc>
          <w:tcPr>
            <w:tcW w:w="4000" w:type="dxa"/>
            <w:vAlign w:val="bottom"/>
          </w:tcPr>
          <w:p>
            <w:pPr>
              <w:spacing w:after="0"/>
              <w:rPr>
                <w:sz w:val="19"/>
                <w:szCs w:val="19"/>
                <w:color w:val="auto"/>
              </w:rPr>
            </w:pPr>
          </w:p>
        </w:tc>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760" w:type="dxa"/>
            <w:vAlign w:val="bottom"/>
          </w:tcPr>
          <w:p>
            <w:pPr>
              <w:spacing w:after="0"/>
              <w:rPr>
                <w:sz w:val="19"/>
                <w:szCs w:val="19"/>
                <w:color w:val="auto"/>
              </w:rPr>
            </w:pPr>
          </w:p>
        </w:tc>
      </w:tr>
      <w:tr>
        <w:trPr>
          <w:trHeight w:val="30"/>
        </w:trPr>
        <w:tc>
          <w:tcPr>
            <w:tcW w:w="4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45"/>
        </w:trPr>
        <w:tc>
          <w:tcPr>
            <w:tcW w:w="4000" w:type="dxa"/>
            <w:vAlign w:val="bottom"/>
            <w:tcBorders>
              <w:left w:val="single" w:sz="8" w:color="auto"/>
              <w:bottom w:val="single" w:sz="8" w:color="auto"/>
            </w:tcBorders>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46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74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0"/>
        </w:trPr>
        <w:tc>
          <w:tcPr>
            <w:tcW w:w="4000" w:type="dxa"/>
            <w:vAlign w:val="bottom"/>
            <w:tcBorders>
              <w:left w:val="single" w:sz="8" w:color="auto"/>
              <w:bottom w:val="single" w:sz="8" w:color="auto"/>
            </w:tcBorders>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460" w:type="dxa"/>
            <w:vAlign w:val="bottom"/>
            <w:tcBorders>
              <w:bottom w:val="single" w:sz="8" w:color="auto"/>
              <w:right w:val="single" w:sz="8" w:color="auto"/>
            </w:tcBorders>
          </w:tcPr>
          <w:p>
            <w:pPr>
              <w:spacing w:after="0"/>
              <w:rPr>
                <w:sz w:val="13"/>
                <w:szCs w:val="13"/>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HTBI</w:t>
            </w:r>
          </w:p>
        </w:tc>
        <w:tc>
          <w:tcPr>
            <w:tcW w:w="740" w:type="dxa"/>
            <w:vAlign w:val="bottom"/>
            <w:tcBorders>
              <w:bottom w:val="single" w:sz="8" w:color="auto"/>
            </w:tcBorders>
          </w:tcPr>
          <w:p>
            <w:pPr>
              <w:spacing w:after="0"/>
              <w:rPr>
                <w:sz w:val="13"/>
                <w:szCs w:val="13"/>
                <w:color w:val="auto"/>
              </w:rPr>
            </w:pPr>
          </w:p>
        </w:tc>
        <w:tc>
          <w:tcPr>
            <w:tcW w:w="3760" w:type="dxa"/>
            <w:vAlign w:val="bottom"/>
            <w:tcBorders>
              <w:bottom w:val="single" w:sz="8" w:color="auto"/>
              <w:right w:val="single" w:sz="8" w:color="auto"/>
            </w:tcBorders>
          </w:tcPr>
          <w:p>
            <w:pPr>
              <w:jc w:val="center"/>
              <w:ind w:right="703"/>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r>
      <w:tr>
        <w:trPr>
          <w:trHeight w:val="274"/>
        </w:trPr>
        <w:tc>
          <w:tcPr>
            <w:tcW w:w="4000" w:type="dxa"/>
            <w:vAlign w:val="bottom"/>
          </w:tcPr>
          <w:p>
            <w:pPr>
              <w:spacing w:after="0"/>
              <w:rPr>
                <w:sz w:val="23"/>
                <w:szCs w:val="23"/>
                <w:color w:val="auto"/>
              </w:rPr>
            </w:pPr>
          </w:p>
        </w:tc>
        <w:tc>
          <w:tcPr>
            <w:tcW w:w="35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 xml:space="preserve">Securities Registered Pursuant to Section 12(g) of the Act: </w:t>
            </w:r>
            <w:r>
              <w:rPr>
                <w:rFonts w:ascii="Times New Roman" w:cs="Times New Roman" w:eastAsia="Times New Roman" w:hAnsi="Times New Roman"/>
                <w:sz w:val="11"/>
                <w:szCs w:val="11"/>
                <w:b w:val="1"/>
                <w:bCs w:val="1"/>
                <w:color w:val="auto"/>
              </w:rPr>
              <w:t>None</w:t>
            </w:r>
          </w:p>
        </w:tc>
        <w:tc>
          <w:tcPr>
            <w:tcW w:w="3760" w:type="dxa"/>
            <w:vAlign w:val="bottom"/>
          </w:tcPr>
          <w:p>
            <w:pPr>
              <w:spacing w:after="0"/>
              <w:rPr>
                <w:sz w:val="23"/>
                <w:szCs w:val="23"/>
                <w:color w:val="auto"/>
              </w:rPr>
            </w:pPr>
          </w:p>
        </w:tc>
      </w:tr>
    </w:tbl>
    <w:p>
      <w:pPr>
        <w:spacing w:after="0" w:line="47" w:lineRule="exact"/>
        <w:rPr>
          <w:sz w:val="24"/>
          <w:szCs w:val="24"/>
          <w:color w:val="auto"/>
        </w:rPr>
      </w:pPr>
    </w:p>
    <w:p>
      <w:pPr>
        <w:ind w:right="5220"/>
        <w:spacing w:after="0" w:line="241"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p>
    <w:p>
      <w:pPr>
        <w:spacing w:after="0" w:line="26" w:lineRule="exact"/>
        <w:rPr>
          <w:sz w:val="24"/>
          <w:szCs w:val="24"/>
          <w:color w:val="auto"/>
        </w:rPr>
      </w:pPr>
    </w:p>
    <w:p>
      <w:pPr>
        <w:jc w:val="both"/>
        <w:ind w:right="20"/>
        <w:spacing w:after="0" w:line="17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p>
      <w:pPr>
        <w:spacing w:after="0" w:line="36" w:lineRule="exact"/>
        <w:rPr>
          <w:sz w:val="24"/>
          <w:szCs w:val="24"/>
          <w:color w:val="auto"/>
        </w:rPr>
      </w:pPr>
    </w:p>
    <w:p>
      <w:pPr>
        <w:jc w:val="both"/>
        <w:ind w:right="20"/>
        <w:spacing w:after="0" w:line="17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p>
      <w:pPr>
        <w:spacing w:after="0" w:line="25" w:lineRule="exact"/>
        <w:rPr>
          <w:sz w:val="24"/>
          <w:szCs w:val="24"/>
          <w:color w:val="auto"/>
        </w:rPr>
      </w:pPr>
    </w:p>
    <w:p>
      <w:pPr>
        <w:jc w:val="both"/>
        <w:ind w:right="2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842" w:right="299" w:bottom="1440" w:gutter="0" w:footer="0" w:header="0"/>
        </w:sectPr>
      </w:pPr>
    </w:p>
    <w:p>
      <w:pPr>
        <w:spacing w:after="0" w:line="29"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64"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33"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revised financial accounting standards provided pursuant to Section 13(a) of the Exchange Act.</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3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Indicate by check mark whether the registrant has filed a report on and attestation to its management’s assessment of the effectiveness of its internal control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30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color w:val="auto"/>
              </w:rPr>
              <w:t>over financial reporting under Section 404(b) of the Sarbanes-Oxley Act (15 U.S.C. 7262(b)) by the registered public accounting firm that prepared or issued</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58"/>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its audit report.</w:t>
            </w: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If securities are registered pursuant to Section 12(b) of the Act, indicate by check mark whether the financial statements of the registrant included in the filings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reflect the correction of an error to previously issued financial statements.</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03"/>
        </w:trPr>
        <w:tc>
          <w:tcPr>
            <w:tcW w:w="73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of the registrant's executive officers during the relevant recovery period pursuant to § 240.10D-1(b).</w:t>
            </w:r>
          </w:p>
        </w:tc>
        <w:tc>
          <w:tcPr>
            <w:tcW w:w="200" w:type="dxa"/>
            <w:vAlign w:val="bottom"/>
            <w:vMerge w:val="restart"/>
          </w:tcPr>
          <w:p>
            <w:pPr>
              <w:ind w:left="80"/>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03"/>
        </w:trPr>
        <w:tc>
          <w:tcPr>
            <w:tcW w:w="73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7300" w:type="dxa"/>
            <w:vAlign w:val="bottom"/>
          </w:tcPr>
          <w:p>
            <w:pPr>
              <w:spacing w:after="0" w:line="16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1"/>
                <w:szCs w:val="1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6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2180" w:lineRule="exact"/>
        <w:rPr>
          <w:sz w:val="24"/>
          <w:szCs w:val="24"/>
          <w:color w:val="auto"/>
        </w:rPr>
      </w:pPr>
    </w:p>
    <w:p>
      <w:pPr>
        <w:sectPr>
          <w:pgSz w:w="11900" w:h="16838" w:orient="portrait"/>
          <w:cols w:equalWidth="0" w:num="2">
            <w:col w:w="7500" w:space="640"/>
            <w:col w:w="3160"/>
          </w:cols>
          <w:pgMar w:left="300" w:top="842" w:right="299" w:bottom="1440" w:gutter="0" w:footer="0" w:header="0"/>
          <w:type w:val="continuous"/>
        </w:sectPr>
      </w:pPr>
    </w:p>
    <w:p>
      <w:pPr>
        <w:ind w:right="60"/>
        <w:spacing w:after="0" w:line="300" w:lineRule="auto"/>
        <w:rPr>
          <w:sz w:val="20"/>
          <w:szCs w:val="20"/>
          <w:color w:val="auto"/>
        </w:rPr>
      </w:pPr>
      <w:r>
        <w:rPr>
          <w:rFonts w:ascii="Times New Roman" w:cs="Times New Roman" w:eastAsia="Times New Roman" w:hAnsi="Times New Roman"/>
          <w:sz w:val="11"/>
          <w:szCs w:val="11"/>
          <w:color w:val="auto"/>
        </w:rPr>
        <w:t>As of March 8, 2024, there were issued and outstanding 17,444,787 shares of the Registrant’s Common Stock. The aggregate market value of the voting stock held by non-affiliates of the Registrant computed by reference to the closing price of such stock as of June 30, 2023, was $320.1 million. (The exclusion from such amount of the market value of the shares owned by any person shall not be deemed an admission by the Registrant that such person is an affiliate of the Registrant).</w:t>
      </w:r>
    </w:p>
    <w:p>
      <w:pPr>
        <w:spacing w:after="0" w:line="8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Portions of the Registrant's Proxy Statement for its 2023 Annual Meeting of Stockholders are incorporated by reference into Part III of this Form 10-KT.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463550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940" w:type="dxa"/>
            <w:vAlign w:val="bottom"/>
            <w:gridSpan w:val="5"/>
          </w:tcPr>
          <w:p>
            <w:pPr>
              <w:jc w:val="center"/>
              <w:ind w:right="3840"/>
              <w:spacing w:after="0"/>
              <w:rPr>
                <w:sz w:val="20"/>
                <w:szCs w:val="20"/>
                <w:color w:val="auto"/>
              </w:rPr>
            </w:pPr>
            <w:r>
              <w:rPr>
                <w:rFonts w:ascii="Times New Roman" w:cs="Times New Roman" w:eastAsia="Times New Roman" w:hAnsi="Times New Roman"/>
                <w:sz w:val="13"/>
                <w:szCs w:val="13"/>
                <w:b w:val="1"/>
                <w:bCs w:val="1"/>
                <w:color w:val="auto"/>
                <w:w w:val="97"/>
              </w:rPr>
              <w:t>HOMETRUST BANCSHARES, INC.</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9"/>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40" w:type="dxa"/>
            <w:vAlign w:val="bottom"/>
            <w:gridSpan w:val="4"/>
          </w:tcPr>
          <w:p>
            <w:pPr>
              <w:jc w:val="center"/>
              <w:ind w:right="4240"/>
              <w:spacing w:after="0"/>
              <w:rPr>
                <w:sz w:val="20"/>
                <w:szCs w:val="20"/>
                <w:color w:val="auto"/>
              </w:rPr>
            </w:pPr>
            <w:r>
              <w:rPr>
                <w:rFonts w:ascii="Times New Roman" w:cs="Times New Roman" w:eastAsia="Times New Roman" w:hAnsi="Times New Roman"/>
                <w:sz w:val="13"/>
                <w:szCs w:val="13"/>
                <w:b w:val="1"/>
                <w:bCs w:val="1"/>
                <w:color w:val="auto"/>
                <w:w w:val="98"/>
              </w:rPr>
              <w:t>FORM 10-KT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9"/>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160" w:type="dxa"/>
            <w:vAlign w:val="bottom"/>
            <w:gridSpan w:val="10"/>
          </w:tcPr>
          <w:p>
            <w:pPr>
              <w:jc w:val="center"/>
              <w:ind w:right="262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 JULY 1, 2023 to DECEMBER 31, 2023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7"/>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40" w:type="dxa"/>
            <w:vAlign w:val="bottom"/>
            <w:gridSpan w:val="5"/>
          </w:tcPr>
          <w:p>
            <w:pPr>
              <w:jc w:val="center"/>
              <w:ind w:right="3860"/>
              <w:spacing w:after="0"/>
              <w:rPr>
                <w:sz w:val="20"/>
                <w:szCs w:val="20"/>
                <w:color w:val="auto"/>
              </w:rPr>
            </w:pPr>
            <w:r>
              <w:rPr>
                <w:rFonts w:ascii="Times New Roman" w:cs="Times New Roman" w:eastAsia="Times New Roman" w:hAnsi="Times New Roman"/>
                <w:sz w:val="13"/>
                <w:szCs w:val="13"/>
                <w:b w:val="1"/>
                <w:bCs w:val="1"/>
                <w:color w:val="auto"/>
                <w:w w:val="97"/>
              </w:rPr>
              <w:t>TABLE OF CONTENTS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55"/>
        </w:trPr>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50"/>
        </w:trPr>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40" w:type="dxa"/>
            <w:vAlign w:val="bottom"/>
            <w:gridSpan w:val="4"/>
          </w:tcPr>
          <w:p>
            <w:pPr>
              <w:jc w:val="center"/>
              <w:ind w:right="4240"/>
              <w:spacing w:after="0"/>
              <w:rPr>
                <w:sz w:val="20"/>
                <w:szCs w:val="20"/>
                <w:color w:val="auto"/>
              </w:rPr>
            </w:pPr>
            <w:r>
              <w:rPr>
                <w:rFonts w:ascii="Times New Roman" w:cs="Times New Roman" w:eastAsia="Times New Roman" w:hAnsi="Times New Roman"/>
                <w:sz w:val="13"/>
                <w:szCs w:val="13"/>
                <w:b w:val="1"/>
                <w:bCs w:val="1"/>
                <w:color w:val="auto"/>
                <w:w w:val="96"/>
              </w:rPr>
              <w:t>PART I</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2"/>
        </w:trPr>
        <w:tc>
          <w:tcPr>
            <w:tcW w:w="11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w:t>
            </w:r>
          </w:p>
        </w:tc>
        <w:tc>
          <w:tcPr>
            <w:tcW w:w="420" w:type="dxa"/>
            <w:vAlign w:val="bottom"/>
            <w:tcBorders>
              <w:bottom w:val="single" w:sz="8" w:color="0000FF"/>
            </w:tcBorders>
          </w:tcPr>
          <w:p>
            <w:pPr>
              <w:spacing w:after="0" w:line="143" w:lineRule="exact"/>
              <w:rPr>
                <w:sz w:val="20"/>
                <w:szCs w:val="20"/>
                <w:color w:val="auto"/>
              </w:rPr>
            </w:pPr>
            <w:r>
              <w:rPr>
                <w:rFonts w:ascii="Times New Roman" w:cs="Times New Roman" w:eastAsia="Times New Roman" w:hAnsi="Times New Roman"/>
                <w:sz w:val="13"/>
                <w:szCs w:val="13"/>
                <w:color w:val="0000FF"/>
                <w:w w:val="86"/>
              </w:rPr>
              <w:t>Business</w:t>
            </w:r>
          </w:p>
        </w:tc>
        <w:tc>
          <w:tcPr>
            <w:tcW w:w="8940" w:type="dxa"/>
            <w:vAlign w:val="bottom"/>
            <w:gridSpan w:val="20"/>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FF"/>
            </w:tcBorders>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5</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1A</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Risk Factors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13</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1B</w:t>
            </w:r>
          </w:p>
        </w:tc>
        <w:tc>
          <w:tcPr>
            <w:tcW w:w="1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4"/>
              </w:rPr>
              <w:t>Unresolved Staff Comments</w:t>
            </w:r>
          </w:p>
        </w:tc>
        <w:tc>
          <w:tcPr>
            <w:tcW w:w="7940" w:type="dxa"/>
            <w:vAlign w:val="bottom"/>
            <w:gridSpan w:val="12"/>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23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1C</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Cybersecurity Risk Management, Strategy and Governance</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23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2</w:t>
            </w:r>
          </w:p>
        </w:tc>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83"/>
              </w:rPr>
              <w:t>Properties</w:t>
            </w:r>
          </w:p>
        </w:tc>
        <w:tc>
          <w:tcPr>
            <w:tcW w:w="2500" w:type="dxa"/>
            <w:vAlign w:val="bottom"/>
            <w:tcBorders>
              <w:top w:val="single" w:sz="8" w:color="0000FF"/>
            </w:tcBorders>
            <w:gridSpan w:val="12"/>
          </w:tcPr>
          <w:p>
            <w:pPr>
              <w:spacing w:after="0"/>
              <w:rPr>
                <w:sz w:val="13"/>
                <w:szCs w:val="13"/>
                <w:color w:val="auto"/>
              </w:rPr>
            </w:pPr>
          </w:p>
        </w:tc>
        <w:tc>
          <w:tcPr>
            <w:tcW w:w="6380" w:type="dxa"/>
            <w:vAlign w:val="bottom"/>
            <w:gridSpan w:val="7"/>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24</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3</w:t>
            </w:r>
          </w:p>
        </w:tc>
        <w:tc>
          <w:tcPr>
            <w:tcW w:w="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3"/>
              </w:rPr>
              <w:t>Legal Proceedings</w:t>
            </w:r>
          </w:p>
        </w:tc>
        <w:tc>
          <w:tcPr>
            <w:tcW w:w="8440" w:type="dxa"/>
            <w:vAlign w:val="bottom"/>
            <w:gridSpan w:val="16"/>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24</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Mine Safety Disclosures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24</w:t>
            </w:r>
          </w:p>
        </w:tc>
        <w:tc>
          <w:tcPr>
            <w:tcW w:w="300" w:type="dxa"/>
            <w:vAlign w:val="bottom"/>
          </w:tcPr>
          <w:p>
            <w:pPr>
              <w:spacing w:after="0"/>
              <w:rPr>
                <w:sz w:val="13"/>
                <w:szCs w:val="13"/>
                <w:color w:val="auto"/>
              </w:rPr>
            </w:pPr>
          </w:p>
        </w:tc>
      </w:tr>
      <w:tr>
        <w:trPr>
          <w:trHeight w:val="379"/>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40"/>
              <w:spacing w:after="0"/>
              <w:rPr>
                <w:sz w:val="20"/>
                <w:szCs w:val="20"/>
                <w:color w:val="auto"/>
              </w:rPr>
            </w:pPr>
            <w:r>
              <w:rPr>
                <w:rFonts w:ascii="Times New Roman" w:cs="Times New Roman" w:eastAsia="Times New Roman" w:hAnsi="Times New Roman"/>
                <w:sz w:val="13"/>
                <w:szCs w:val="13"/>
                <w:b w:val="1"/>
                <w:bCs w:val="1"/>
                <w:color w:val="auto"/>
                <w:w w:val="94"/>
              </w:rPr>
              <w:t>PART II</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5</w:t>
            </w:r>
          </w:p>
        </w:tc>
        <w:tc>
          <w:tcPr>
            <w:tcW w:w="5680" w:type="dxa"/>
            <w:vAlign w:val="bottom"/>
            <w:tcBorders>
              <w:bottom w:val="single" w:sz="8" w:color="0000FF"/>
            </w:tcBorders>
            <w:gridSpan w:val="20"/>
          </w:tcPr>
          <w:p>
            <w:pPr>
              <w:spacing w:after="0" w:line="143" w:lineRule="exact"/>
              <w:rPr>
                <w:sz w:val="20"/>
                <w:szCs w:val="20"/>
                <w:color w:val="auto"/>
              </w:rPr>
            </w:pPr>
            <w:r>
              <w:rPr>
                <w:rFonts w:ascii="Times New Roman" w:cs="Times New Roman" w:eastAsia="Times New Roman" w:hAnsi="Times New Roman"/>
                <w:sz w:val="13"/>
                <w:szCs w:val="13"/>
                <w:color w:val="0000FF"/>
                <w:w w:val="96"/>
              </w:rPr>
              <w:t>Market for Registrant’s Common Equity, Related Stockholder Matters and Issuer Purchases of Equity Securities</w:t>
            </w:r>
          </w:p>
        </w:tc>
        <w:tc>
          <w:tcPr>
            <w:tcW w:w="3680" w:type="dxa"/>
            <w:vAlign w:val="bottom"/>
          </w:tcPr>
          <w:p>
            <w:pPr>
              <w:spacing w:after="0"/>
              <w:rPr>
                <w:sz w:val="12"/>
                <w:szCs w:val="12"/>
                <w:color w:val="auto"/>
              </w:rPr>
            </w:pPr>
          </w:p>
        </w:tc>
        <w:tc>
          <w:tcPr>
            <w:tcW w:w="440" w:type="dxa"/>
            <w:vAlign w:val="bottom"/>
            <w:gridSpan w:val="2"/>
          </w:tcPr>
          <w:p>
            <w:pPr>
              <w:jc w:val="center"/>
              <w:ind w:left="236"/>
              <w:spacing w:after="0" w:line="143" w:lineRule="exact"/>
              <w:rPr>
                <w:sz w:val="20"/>
                <w:szCs w:val="20"/>
                <w:color w:val="auto"/>
              </w:rPr>
            </w:pPr>
            <w:r>
              <w:rPr>
                <w:rFonts w:ascii="Times New Roman" w:cs="Times New Roman" w:eastAsia="Times New Roman" w:hAnsi="Times New Roman"/>
                <w:sz w:val="13"/>
                <w:szCs w:val="13"/>
                <w:color w:val="0000FF"/>
              </w:rPr>
              <w:t>24</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6</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color w:val="0000FF"/>
              </w:rPr>
              <w:t>Reserved</w:t>
            </w:r>
            <w:r>
              <w:rPr>
                <w:rFonts w:ascii="Times New Roman" w:cs="Times New Roman" w:eastAsia="Times New Roman" w:hAnsi="Times New Roman"/>
                <w:sz w:val="13"/>
                <w:szCs w:val="13"/>
                <w:color w:val="auto"/>
              </w:rPr>
              <w:t>]</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25</w:t>
            </w:r>
          </w:p>
        </w:tc>
        <w:tc>
          <w:tcPr>
            <w:tcW w:w="30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7</w:t>
            </w:r>
          </w:p>
        </w:tc>
        <w:tc>
          <w:tcPr>
            <w:tcW w:w="45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3"/>
                <w:szCs w:val="13"/>
                <w:color w:val="0000FF"/>
                <w:w w:val="96"/>
              </w:rPr>
              <w:t>Management’s Discussion and Analysis of Financial Condition and Results of Operations</w:t>
            </w:r>
          </w:p>
        </w:tc>
        <w:tc>
          <w:tcPr>
            <w:tcW w:w="48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25</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7A</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41</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8</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w w:val="95"/>
              </w:rPr>
              <w:t>Financial Statements and Supplementary Data</w:t>
            </w:r>
          </w:p>
        </w:tc>
        <w:tc>
          <w:tcPr>
            <w:tcW w:w="720" w:type="dxa"/>
            <w:vAlign w:val="bottom"/>
            <w:tcBorders>
              <w:top w:val="single" w:sz="8" w:color="0000FF"/>
            </w:tcBorders>
            <w:gridSpan w:val="3"/>
          </w:tcPr>
          <w:p>
            <w:pPr>
              <w:spacing w:after="0"/>
              <w:rPr>
                <w:sz w:val="13"/>
                <w:szCs w:val="13"/>
                <w:color w:val="auto"/>
              </w:rPr>
            </w:pPr>
          </w:p>
        </w:tc>
        <w:tc>
          <w:tcPr>
            <w:tcW w:w="6320" w:type="dxa"/>
            <w:vAlign w:val="bottom"/>
            <w:gridSpan w:val="6"/>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41</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9</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Changes in and Disagreements with Accountants on Accounting and Financial Disclosure</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93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9A</w:t>
            </w: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3"/>
              </w:rPr>
              <w:t>Controls and Procedures</w:t>
            </w:r>
          </w:p>
        </w:tc>
        <w:tc>
          <w:tcPr>
            <w:tcW w:w="3320" w:type="dxa"/>
            <w:vAlign w:val="bottom"/>
            <w:tcBorders>
              <w:top w:val="single" w:sz="8" w:color="0000FF"/>
            </w:tcBorders>
            <w:gridSpan w:val="11"/>
          </w:tcPr>
          <w:p>
            <w:pPr>
              <w:spacing w:after="0"/>
              <w:rPr>
                <w:sz w:val="13"/>
                <w:szCs w:val="13"/>
                <w:color w:val="auto"/>
              </w:rPr>
            </w:pPr>
          </w:p>
        </w:tc>
        <w:tc>
          <w:tcPr>
            <w:tcW w:w="48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93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9B</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2"/>
              </w:rPr>
              <w:t>Other Information</w:t>
            </w:r>
          </w:p>
        </w:tc>
        <w:tc>
          <w:tcPr>
            <w:tcW w:w="8460" w:type="dxa"/>
            <w:vAlign w:val="bottom"/>
            <w:gridSpan w:val="17"/>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93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9C</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93</w:t>
            </w:r>
          </w:p>
        </w:tc>
        <w:tc>
          <w:tcPr>
            <w:tcW w:w="300" w:type="dxa"/>
            <w:vAlign w:val="bottom"/>
          </w:tcPr>
          <w:p>
            <w:pPr>
              <w:spacing w:after="0"/>
              <w:rPr>
                <w:sz w:val="13"/>
                <w:szCs w:val="13"/>
                <w:color w:val="auto"/>
              </w:rPr>
            </w:pPr>
          </w:p>
        </w:tc>
      </w:tr>
      <w:tr>
        <w:trPr>
          <w:trHeight w:val="347"/>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60"/>
              <w:spacing w:after="0"/>
              <w:rPr>
                <w:sz w:val="20"/>
                <w:szCs w:val="20"/>
                <w:color w:val="auto"/>
              </w:rPr>
            </w:pPr>
            <w:r>
              <w:rPr>
                <w:rFonts w:ascii="Times New Roman" w:cs="Times New Roman" w:eastAsia="Times New Roman" w:hAnsi="Times New Roman"/>
                <w:sz w:val="13"/>
                <w:szCs w:val="13"/>
                <w:b w:val="1"/>
                <w:bCs w:val="1"/>
                <w:color w:val="auto"/>
                <w:w w:val="96"/>
              </w:rPr>
              <w:t>PART III</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10</w:t>
            </w:r>
          </w:p>
        </w:tc>
        <w:tc>
          <w:tcPr>
            <w:tcW w:w="9360" w:type="dxa"/>
            <w:vAlign w:val="bottom"/>
            <w:gridSpan w:val="21"/>
          </w:tcPr>
          <w:p>
            <w:pPr>
              <w:spacing w:after="0" w:line="143" w:lineRule="exact"/>
              <w:rPr>
                <w:sz w:val="20"/>
                <w:szCs w:val="20"/>
                <w:color w:val="auto"/>
              </w:rPr>
            </w:pPr>
            <w:r>
              <w:rPr>
                <w:rFonts w:ascii="Times New Roman" w:cs="Times New Roman" w:eastAsia="Times New Roman" w:hAnsi="Times New Roman"/>
                <w:sz w:val="13"/>
                <w:szCs w:val="13"/>
                <w:color w:val="0000FF"/>
              </w:rPr>
              <w:t>Directors, Executive Officers and Corporate Governance</w:t>
            </w:r>
          </w:p>
        </w:tc>
        <w:tc>
          <w:tcPr>
            <w:tcW w:w="440" w:type="dxa"/>
            <w:vAlign w:val="bottom"/>
            <w:gridSpan w:val="2"/>
          </w:tcPr>
          <w:p>
            <w:pPr>
              <w:jc w:val="center"/>
              <w:ind w:left="236"/>
              <w:spacing w:after="0" w:line="143" w:lineRule="exact"/>
              <w:rPr>
                <w:sz w:val="20"/>
                <w:szCs w:val="20"/>
                <w:color w:val="auto"/>
              </w:rPr>
            </w:pPr>
            <w:r>
              <w:rPr>
                <w:rFonts w:ascii="Times New Roman" w:cs="Times New Roman" w:eastAsia="Times New Roman" w:hAnsi="Times New Roman"/>
                <w:sz w:val="13"/>
                <w:szCs w:val="13"/>
                <w:color w:val="0000FF"/>
              </w:rPr>
              <w:t>93</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11</w:t>
            </w:r>
          </w:p>
        </w:tc>
        <w:tc>
          <w:tcPr>
            <w:tcW w:w="28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rPr>
              <w:t>Executive Compensation</w:t>
            </w:r>
          </w:p>
        </w:tc>
        <w:tc>
          <w:tcPr>
            <w:tcW w:w="6500" w:type="dxa"/>
            <w:vAlign w:val="bottom"/>
            <w:gridSpan w:val="8"/>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93</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12</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Security Ownership of Certain Beneficial Owners and Management and Related Stockholder Matters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93</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13</w:t>
            </w:r>
          </w:p>
        </w:tc>
        <w:tc>
          <w:tcPr>
            <w:tcW w:w="38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3"/>
                <w:szCs w:val="13"/>
                <w:color w:val="0000FF"/>
                <w:w w:val="96"/>
              </w:rPr>
              <w:t>Certain Relationships and Related Transactions, and Director Independence</w:t>
            </w:r>
          </w:p>
        </w:tc>
        <w:tc>
          <w:tcPr>
            <w:tcW w:w="1300" w:type="dxa"/>
            <w:vAlign w:val="bottom"/>
            <w:tcBorders>
              <w:top w:val="single" w:sz="8" w:color="0000FF"/>
            </w:tcBorders>
            <w:gridSpan w:val="2"/>
          </w:tcPr>
          <w:p>
            <w:pPr>
              <w:spacing w:after="0"/>
              <w:rPr>
                <w:sz w:val="13"/>
                <w:szCs w:val="13"/>
                <w:color w:val="auto"/>
              </w:rPr>
            </w:pPr>
          </w:p>
        </w:tc>
        <w:tc>
          <w:tcPr>
            <w:tcW w:w="42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94</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14</w:t>
            </w: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Principal Accountant Fees and Services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94</w:t>
            </w:r>
          </w:p>
        </w:tc>
        <w:tc>
          <w:tcPr>
            <w:tcW w:w="300" w:type="dxa"/>
            <w:vAlign w:val="bottom"/>
          </w:tcPr>
          <w:p>
            <w:pPr>
              <w:spacing w:after="0"/>
              <w:rPr>
                <w:sz w:val="13"/>
                <w:szCs w:val="13"/>
                <w:color w:val="auto"/>
              </w:rPr>
            </w:pPr>
          </w:p>
        </w:tc>
      </w:tr>
      <w:tr>
        <w:trPr>
          <w:trHeight w:val="347"/>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4"/>
          </w:tcPr>
          <w:p>
            <w:pPr>
              <w:jc w:val="center"/>
              <w:ind w:right="4240"/>
              <w:spacing w:after="0"/>
              <w:rPr>
                <w:sz w:val="20"/>
                <w:szCs w:val="20"/>
                <w:color w:val="auto"/>
              </w:rPr>
            </w:pPr>
            <w:r>
              <w:rPr>
                <w:rFonts w:ascii="Times New Roman" w:cs="Times New Roman" w:eastAsia="Times New Roman" w:hAnsi="Times New Roman"/>
                <w:sz w:val="13"/>
                <w:szCs w:val="13"/>
                <w:b w:val="1"/>
                <w:bCs w:val="1"/>
                <w:color w:val="auto"/>
                <w:w w:val="94"/>
              </w:rPr>
              <w:t>PART IV</w:t>
            </w: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11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Item 15</w:t>
            </w:r>
          </w:p>
        </w:tc>
        <w:tc>
          <w:tcPr>
            <w:tcW w:w="2200" w:type="dxa"/>
            <w:vAlign w:val="bottom"/>
            <w:tcBorders>
              <w:bottom w:val="single" w:sz="8" w:color="0000FF"/>
            </w:tcBorders>
            <w:gridSpan w:val="11"/>
          </w:tcPr>
          <w:p>
            <w:pPr>
              <w:spacing w:after="0" w:line="143" w:lineRule="exact"/>
              <w:rPr>
                <w:sz w:val="20"/>
                <w:szCs w:val="20"/>
                <w:color w:val="auto"/>
              </w:rPr>
            </w:pPr>
            <w:r>
              <w:rPr>
                <w:rFonts w:ascii="Times New Roman" w:cs="Times New Roman" w:eastAsia="Times New Roman" w:hAnsi="Times New Roman"/>
                <w:sz w:val="13"/>
                <w:szCs w:val="13"/>
                <w:color w:val="0000FF"/>
                <w:w w:val="95"/>
              </w:rPr>
              <w:t>Exhibits and Financial Statement Schedules</w:t>
            </w:r>
          </w:p>
        </w:tc>
        <w:tc>
          <w:tcPr>
            <w:tcW w:w="7160" w:type="dxa"/>
            <w:vAlign w:val="bottom"/>
            <w:gridSpan w:val="10"/>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0000FF"/>
            </w:tcBorders>
          </w:tcPr>
          <w:p>
            <w:pPr>
              <w:jc w:val="center"/>
              <w:spacing w:after="0" w:line="143" w:lineRule="exact"/>
              <w:rPr>
                <w:sz w:val="20"/>
                <w:szCs w:val="20"/>
                <w:color w:val="auto"/>
              </w:rPr>
            </w:pPr>
            <w:r>
              <w:rPr>
                <w:rFonts w:ascii="Times New Roman" w:cs="Times New Roman" w:eastAsia="Times New Roman" w:hAnsi="Times New Roman"/>
                <w:sz w:val="13"/>
                <w:szCs w:val="13"/>
                <w:color w:val="0000FF"/>
                <w:w w:val="76"/>
              </w:rPr>
              <w:t>94</w:t>
            </w:r>
          </w:p>
        </w:tc>
        <w:tc>
          <w:tcPr>
            <w:tcW w:w="300" w:type="dxa"/>
            <w:vAlign w:val="bottom"/>
          </w:tcPr>
          <w:p>
            <w:pPr>
              <w:spacing w:after="0"/>
              <w:rPr>
                <w:sz w:val="12"/>
                <w:szCs w:val="12"/>
                <w:color w:val="auto"/>
              </w:rPr>
            </w:pPr>
          </w:p>
        </w:tc>
      </w:tr>
      <w:tr>
        <w:trPr>
          <w:trHeight w:val="150"/>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Item 16</w:t>
            </w:r>
          </w:p>
        </w:tc>
        <w:tc>
          <w:tcPr>
            <w:tcW w:w="1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2"/>
              </w:rPr>
              <w:t>Form 10-K Summary</w:t>
            </w:r>
          </w:p>
        </w:tc>
        <w:tc>
          <w:tcPr>
            <w:tcW w:w="8300" w:type="dxa"/>
            <w:vAlign w:val="bottom"/>
            <w:gridSpan w:val="15"/>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6"/>
              </w:rPr>
              <w:t>96</w:t>
            </w:r>
          </w:p>
        </w:tc>
        <w:tc>
          <w:tcPr>
            <w:tcW w:w="300" w:type="dxa"/>
            <w:vAlign w:val="bottom"/>
          </w:tcPr>
          <w:p>
            <w:pPr>
              <w:spacing w:after="0"/>
              <w:rPr>
                <w:sz w:val="13"/>
                <w:szCs w:val="13"/>
                <w:color w:val="auto"/>
              </w:rPr>
            </w:pPr>
          </w:p>
        </w:tc>
      </w:tr>
      <w:tr>
        <w:trPr>
          <w:trHeight w:val="150"/>
        </w:trPr>
        <w:tc>
          <w:tcPr>
            <w:tcW w:w="1160" w:type="dxa"/>
            <w:vAlign w:val="bottom"/>
          </w:tcPr>
          <w:p>
            <w:pPr>
              <w:spacing w:after="0"/>
              <w:rPr>
                <w:sz w:val="13"/>
                <w:szCs w:val="13"/>
                <w:color w:val="auto"/>
              </w:rPr>
            </w:pPr>
          </w:p>
        </w:tc>
        <w:tc>
          <w:tcPr>
            <w:tcW w:w="9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Signatures</w:t>
            </w:r>
          </w:p>
        </w:tc>
        <w:tc>
          <w:tcPr>
            <w:tcW w:w="4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0000FF"/>
              </w:rPr>
              <w:t>97</w:t>
            </w:r>
          </w:p>
        </w:tc>
        <w:tc>
          <w:tcPr>
            <w:tcW w:w="300" w:type="dxa"/>
            <w:vAlign w:val="bottom"/>
          </w:tcPr>
          <w:p>
            <w:pPr>
              <w:spacing w:after="0"/>
              <w:rPr>
                <w:sz w:val="13"/>
                <w:szCs w:val="13"/>
                <w:color w:val="auto"/>
              </w:rPr>
            </w:pPr>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5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Glossary of Defined Terms</w:t>
      </w:r>
    </w:p>
    <w:p>
      <w:pPr>
        <w:spacing w:after="0" w:line="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following items may be used throughout this Form 10-KT, including the Notes to Consolidated Financial Statements in Item 8 and Management's Discussion and Analysis of Financial Condition and Results of Operations in Item 7 of this Form 10-KT.</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ACL</w:t>
            </w:r>
          </w:p>
        </w:tc>
        <w:tc>
          <w:tcPr>
            <w:tcW w:w="80" w:type="dxa"/>
            <w:vAlign w:val="bottom"/>
            <w:tcBorders>
              <w:top w:val="single" w:sz="8" w:color="CCEEFF"/>
            </w:tcBorders>
            <w:shd w:val="clear" w:color="auto" w:fill="CCEEFF"/>
          </w:tcPr>
          <w:p>
            <w:pPr>
              <w:spacing w:after="0"/>
              <w:rPr>
                <w:sz w:val="14"/>
                <w:szCs w:val="14"/>
                <w:color w:val="auto"/>
              </w:rPr>
            </w:pPr>
          </w:p>
        </w:tc>
        <w:tc>
          <w:tcPr>
            <w:tcW w:w="8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AFS</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AMLA</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Anti-Money Laundering Act of 2020</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ASC</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Accounting Standards Codification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ASU</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Accounting Standards Update</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BHCA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 Holding Company Act</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BOLI</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 Owned Life Insurance</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BSA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Bank Secrecy Act of 1970</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CBLR</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Community Bank Leverage Ratio</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CD</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Certificate of Deposit</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CDA</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Collateral Dependent Asset</w:t>
            </w: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CECL</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Expected Credit Losses</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CET1</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Equity Tier 1</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CFPB</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Consumer Financial Protection Bureau</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COVID-19</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Coronavirus Disease 2019</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CRA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Community Reinvestment Act of 1977</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DCF</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Discounted Cash Flows</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Dodd-Frank Act</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Dodd-Frank Wall Street Reform and Consumer Protection Act</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ECL</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Credit Losses</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EPS</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ESOP</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Stock Ownership Plan</w:t>
            </w:r>
          </w:p>
        </w:tc>
        <w:tc>
          <w:tcPr>
            <w:tcW w:w="0" w:type="dxa"/>
            <w:vAlign w:val="bottom"/>
          </w:tcPr>
          <w:p>
            <w:pPr>
              <w:spacing w:after="0"/>
              <w:rPr>
                <w:sz w:val="1"/>
                <w:szCs w:val="1"/>
                <w:color w:val="auto"/>
              </w:rPr>
            </w:pPr>
          </w:p>
        </w:tc>
      </w:tr>
      <w:tr>
        <w:trPr>
          <w:trHeight w:val="165"/>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Exchange Act</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Securities Exchange Act of 1934, as amended</w:t>
            </w:r>
          </w:p>
        </w:tc>
        <w:tc>
          <w:tcPr>
            <w:tcW w:w="0" w:type="dxa"/>
            <w:vAlign w:val="bottom"/>
          </w:tcPr>
          <w:p>
            <w:pPr>
              <w:spacing w:after="0"/>
              <w:rPr>
                <w:sz w:val="1"/>
                <w:szCs w:val="1"/>
                <w:color w:val="auto"/>
              </w:rPr>
            </w:pPr>
          </w:p>
        </w:tc>
      </w:tr>
      <w:tr>
        <w:trPr>
          <w:trHeight w:val="132"/>
        </w:trPr>
        <w:tc>
          <w:tcPr>
            <w:tcW w:w="2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FASB</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Accounting Standards Board</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FDIC</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Deposit Insurance Corporation</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Reserve</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Board of Governors of the Federal Reserve System</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FHFA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Housing Finance Agency</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FHLB or FHLB of Atlanta</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Home Loan Bank</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FRB</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Federal Reserve Bank of Richmond</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GSE</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Government-Sponsored Enterprises</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Home Equity Line of Credit</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IRC</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Internal Revenue Code</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IRLC</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Lock Commitments</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KSOP</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HomeTrust Bank KSOP Plan</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LPO</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Production Office</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Mortgage-Backed Security</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NBV</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Book Value</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NCCOB</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 Carolina Office of the Commissioner of Banks</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NOL</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Operating Loss</w:t>
            </w:r>
          </w:p>
        </w:tc>
        <w:tc>
          <w:tcPr>
            <w:tcW w:w="0" w:type="dxa"/>
            <w:vAlign w:val="bottom"/>
          </w:tcPr>
          <w:p>
            <w:pPr>
              <w:spacing w:after="0"/>
              <w:rPr>
                <w:sz w:val="1"/>
                <w:szCs w:val="1"/>
                <w:color w:val="auto"/>
              </w:rPr>
            </w:pPr>
          </w:p>
        </w:tc>
      </w:tr>
      <w:tr>
        <w:trPr>
          <w:trHeight w:val="64"/>
        </w:trPr>
        <w:tc>
          <w:tcPr>
            <w:tcW w:w="2820" w:type="dxa"/>
            <w:vAlign w:val="bottom"/>
            <w:gridSpan w:val="2"/>
            <w:vMerge w:val="continue"/>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OREO</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Real Estate Owned</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PCD</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PCI</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Purchased Credit Impaired</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PVE</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Present Value of Equity</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Quantum</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Quantum Capital Corp. and its wholly owned subsidiary, Quantum National Bank</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ROU</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 of Use</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Unit</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Small Business Administration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SBIC</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Small Business Investment Companies</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Securities and Exchange Commission</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Overnight Financing Rate</w:t>
            </w: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TBA</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To-be-announced</w:t>
            </w:r>
          </w:p>
        </w:tc>
        <w:tc>
          <w:tcPr>
            <w:tcW w:w="0" w:type="dxa"/>
            <w:vAlign w:val="bottom"/>
          </w:tcPr>
          <w:p>
            <w:pPr>
              <w:spacing w:after="0"/>
              <w:rPr>
                <w:sz w:val="1"/>
                <w:szCs w:val="1"/>
                <w:color w:val="auto"/>
              </w:rPr>
            </w:pPr>
          </w:p>
        </w:tc>
      </w:tr>
      <w:tr>
        <w:trPr>
          <w:trHeight w:val="16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USDA B&amp;I</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 Department of Agriculture Business &amp; Industry</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170"/>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Term</w:t>
            </w:r>
          </w:p>
        </w:tc>
        <w:tc>
          <w:tcPr>
            <w:tcW w:w="80" w:type="dxa"/>
            <w:vAlign w:val="bottom"/>
            <w:tcBorders>
              <w:bottom w:val="single" w:sz="8" w:color="CCEEFF"/>
            </w:tcBorders>
          </w:tcPr>
          <w:p>
            <w:pPr>
              <w:spacing w:after="0"/>
              <w:rPr>
                <w:sz w:val="14"/>
                <w:szCs w:val="14"/>
                <w:color w:val="auto"/>
              </w:rPr>
            </w:pPr>
          </w:p>
        </w:tc>
        <w:tc>
          <w:tcPr>
            <w:tcW w:w="8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Definition</w:t>
            </w:r>
          </w:p>
        </w:tc>
        <w:tc>
          <w:tcPr>
            <w:tcW w:w="0" w:type="dxa"/>
            <w:vAlign w:val="bottom"/>
          </w:tcPr>
          <w:p>
            <w:pPr>
              <w:spacing w:after="0"/>
              <w:rPr>
                <w:sz w:val="1"/>
                <w:szCs w:val="1"/>
                <w:color w:val="auto"/>
              </w:rPr>
            </w:pPr>
          </w:p>
        </w:tc>
      </w:tr>
      <w:tr>
        <w:trPr>
          <w:trHeight w:val="158"/>
        </w:trPr>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GAAP</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64"/>
        </w:trPr>
        <w:tc>
          <w:tcPr>
            <w:tcW w:w="2820" w:type="dxa"/>
            <w:vAlign w:val="bottom"/>
            <w:gridSpan w:val="2"/>
            <w:vMerge w:val="continue"/>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VIE</w:t>
            </w:r>
          </w:p>
        </w:tc>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Interest Entity</w:t>
            </w:r>
          </w:p>
        </w:tc>
        <w:tc>
          <w:tcPr>
            <w:tcW w:w="0" w:type="dxa"/>
            <w:vAlign w:val="bottom"/>
          </w:tcPr>
          <w:p>
            <w:pPr>
              <w:spacing w:after="0"/>
              <w:rPr>
                <w:sz w:val="1"/>
                <w:szCs w:val="1"/>
                <w:color w:val="auto"/>
              </w:rPr>
            </w:pPr>
          </w:p>
        </w:tc>
      </w:tr>
      <w:tr>
        <w:trPr>
          <w:trHeight w:val="172"/>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WNCSC</w:t>
            </w:r>
          </w:p>
        </w:tc>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Western North Carolina Service Corporation</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Certain matters in this Form 10-KT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factors that could result in material differentiation include, but are not limited to:</w:t>
      </w:r>
    </w:p>
    <w:p>
      <w:pPr>
        <w:spacing w:after="0" w:line="16" w:lineRule="exact"/>
        <w:rPr>
          <w:sz w:val="20"/>
          <w:szCs w:val="20"/>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bank failures or adverse developments involving other banks and related negative press about the banking industry in general on investor and depositor sentiment;</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remaining effects of the COVID-19 pandemic on general economic and financial market conditions and on public health, both nationally and in our market areas;</w:t>
      </w:r>
    </w:p>
    <w:p>
      <w:pPr>
        <w:spacing w:after="0" w:line="1" w:lineRule="exact"/>
        <w:rPr>
          <w:rFonts w:ascii="Times New Roman" w:cs="Times New Roman" w:eastAsia="Times New Roman" w:hAnsi="Times New Roman"/>
          <w:sz w:val="13"/>
          <w:szCs w:val="13"/>
          <w:color w:val="auto"/>
        </w:rPr>
      </w:pPr>
    </w:p>
    <w:p>
      <w:pPr>
        <w:jc w:val="both"/>
        <w:ind w:left="260" w:hanging="191"/>
        <w:spacing w:after="0" w:line="244"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expected revenues, cost savings, synergies and other benefits from our merger and acquisition activities, including our recent merger with Quantum,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ind w:left="260" w:hanging="191"/>
        <w:spacing w:after="0" w:line="244"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general economic conditions, both nationally and in our market areas;</w:t>
      </w:r>
    </w:p>
    <w:p>
      <w:pPr>
        <w:spacing w:after="0" w:line="1"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levels of general interest rates, and the relative differences between short- and long-term interest rates, deposit interest rates, our net interest margin and funding sources and the effects of inflation or a potential recession;</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demand for loans, the number of unsold homes, land and other properties and fluctuations in real estate values in our market areas;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decreases in the secondary market for the sale of loans that we originate;</w:t>
      </w:r>
    </w:p>
    <w:p>
      <w:pPr>
        <w:ind w:left="260" w:hanging="191"/>
        <w:spacing w:after="0" w:line="246"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spacing w:after="0" w:line="1" w:lineRule="exact"/>
        <w:rPr>
          <w:rFonts w:ascii="Times New Roman" w:cs="Times New Roman" w:eastAsia="Times New Roman" w:hAnsi="Times New Roman"/>
          <w:sz w:val="13"/>
          <w:szCs w:val="13"/>
          <w:color w:val="auto"/>
        </w:rPr>
      </w:pPr>
    </w:p>
    <w:p>
      <w:pPr>
        <w:jc w:val="both"/>
        <w:ind w:left="260" w:hanging="191"/>
        <w:spacing w:after="0" w:line="244"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and the interpretation of regulatory capital or other rules, including as a result of Basel III;</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and retain deposits;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access cost-effective funding and maintain sufficient liquidity;</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management's assumptions in determining the adequacy of the ACL;</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control operating costs and expenses, especially costs associated with our operation as a public company;</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use of estimates in determining the fair value of certain assets, which estimates may prove to be incorrect and result in significant declines in valuation;</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reducing risks associated with the loans on our balance sheet;</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staffing fluctuations in response to product demand or the implementation of corporate strategies that affect our workforce and potential associated charges;</w:t>
      </w:r>
    </w:p>
    <w:p>
      <w:pPr>
        <w:spacing w:after="0" w:line="6"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retain key members of our senior management team;</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and effects of litigation, including settlements and judgments;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competitive pressures among financial services companies;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consumer spending, borrowing and savings habits;</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resources to address changes in laws, rules, or regulations or to respond to regulatory actions;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changes in the securities markets;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inability of key third-party providers to perform their obligations to us;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policies or guidelines and practices, as may be adopted by the financial institution regulatory agencies, the Public Company Accounting Oversight Board or the FASB;</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economic, competitive, governmental, regulatory and technological factors affecting our operations, pricing, products and services; and</w:t>
      </w:r>
    </w:p>
    <w:p>
      <w:pPr>
        <w:ind w:left="260" w:hanging="191"/>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detailed from time to time in documents we file with or furnish to the SEC, including this Form 10-KT.</w:t>
      </w:r>
    </w:p>
    <w:p>
      <w:pPr>
        <w:spacing w:after="0" w:line="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uncertainties and assumptions, the forward-looking statements discussed in this report might not occur and you should not put undue reliance on any forward-looking statements.</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On July 24, 2023, the Board of Directors approved a change in the Company's fiscal year end from June 30 to December 31, commencing January 1, 2024. The transition period for this Transition Report on Form 10-KT (“Form 10-KT”) is for the six-months ended December 31, 2023 ("transition period").</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this Transition Report, our fiscal years are identified according to the calendar year in which they historically ended (e.g., the fiscal years ended June 30, 2023 and June 30, 2022 are referred to as "fiscal year 2023" and "fiscal year 2022") as if we had not changed our fiscal year to a calendar year on July 24, 2023 (commencing January 1,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At December 31, 2023, the Company had consolidated total assets of $4.7 billion, total deposits of $3.7 billion and stockholders’ equity of $499.9 million. The Company has not engaged in any significant activity other than holding the stock of the Bank. Accordingly, the information set forth in this Form 10-KT, including the audited consolidated financial statements and related data, relates primarily to the Bank and its subsidiary.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Bank was originally formed in 1926. Between the fiscal years of 1996 and 2011, HomeTrust Bank's Board of Directors and executive management expanded the Bank beyond its historical Asheville market and created a unique partnership through which hometown community banks could combine their financial resources to achieve a shared vision. These actions resulted in mergers between six established banks located in Tryon, Shelby, Eden, Lexington, and Cherryville, North Carolina.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 2013, we have entered eight attractive growth markets through various acquisitions and new office openings, as well as expanded our product lines. These include:</w:t>
      </w:r>
    </w:p>
    <w:p>
      <w:pPr>
        <w:spacing w:after="0" w:line="13" w:lineRule="exact"/>
        <w:rPr>
          <w:sz w:val="20"/>
          <w:szCs w:val="20"/>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BankGreenville Financial Corporation - one office in Greenville, South Carolina (acquired in July 2013)</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Jefferson Bancshares, Inc. - nine offices across East Tennessee (acquired in May 2014)</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LPO in Roanoke, Virginia (opened in July 2014)</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 of Commerce - one office in Charlotte, North Carolina (acquired in July 2014)</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 Bank of America Branch Offices - nine in southwest Virginia, one in Eden, North Carolina (acquired in November 2014)</w:t>
      </w: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LPO in Raleigh, North Carolina (opened in November 2014) and later converted into a full service branch (converted in April 2017)</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United Financial of North Carolina, Inc. - municipal lease company headquartered in Fletcher, North Carolina (acquired in December 2016)</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TriSummit Bancorp, Inc. - six offices in East Tennessee (acquired in January 2017)</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origination and sales of SBA loans through our new SBA line of business (September 2017)</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 novo branch in Cary, North Carolina (opened in March 2018)</w:t>
      </w: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equipment finance line of business (May 2018)</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Began originations of HELOCs to be pooled and sold (March 2019)</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 novo branch in Cornelius, North Carolina (opened in April 2022)</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Quantum Capital Corp. - two offices in Atlanta, Georgia (acquired in February 2023)</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LPO in Charleston, South Carolina (opened in August 2023)</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By expanding our geographic footprint and hiring local experienced talent, we have built a foundation focused on organic growth while maintaining "Our Commitment to the Customer Experience" that has differentiated our brand and characterized our success to date.</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recent years, we have focused on our mission to establish a behavior-based culture that focuses on fundamentals that serve as a guiding light in every facet of our business. In 2022, we introduced these 33 culture fundamentals that encapsulate the values we hold and solidify our unique culture. Each week, a different fundamental is emphasized and discussed throughout the Company through unique videos, a culture app, and at the start of each team meeting. From “#1 - do the right thing, always” to “#17 - think and act like an owner” to “#33 - keep things fun,” these fundamentals are not just how we behave and treat each other and our customers, but also how we manage the Company.</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loans and other consumer loans. We also originate one-to-four family loans, SBA loans and HELOCs to sell to third-parties. In addition, we invest in debt securities issued by United States Government agencies and GSEs, municipal bonds, corporate bonds, commercial paper and certificates of deposit insured by the FDIC. We offer a variety of deposit accounts for individuals, businesses and nonprofit organizations.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 Areas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Bank has over 30 locations across Georgia, North Carolina, South Carolina, Tennessee and Virginia, many of which are located in markets experiencing growth rates above the national average. Historically, our branches and facilities have primarily been located in small-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to medium-sized communities, but in recent years we have implemented a strategy of expanding into larger, higher growth markets via business banking centers rather than retail-focused branches.</w:t>
      </w:r>
    </w:p>
    <w:p>
      <w:pPr>
        <w:spacing w:after="0" w:line="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have built a strong foundation in the communities we serve and take pride in the role we play. The management team and employees of each region work to support local nonprofit and community organizations. Each location helps provide critical services to meet the financial needs of its customers and improve the quality of life for individuals and businesses in its community. Initiatives supporting our communities include affordable housing, schools and financial education and the arts. We support these initiatives through both financial and people resources in our communities. Collectively, our Bank employees volunteer thousands of hours annually in their local communities, such as helping to build homes and teaching grade school youth how to begin establishing healthy money savings habits. Our Bank employees are making a positive difference in the lives of others every day.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face strong competition in originating loans and in attracting deposits. Competition in originating real estate loans comes primarily from other commercial banks, savings institutions, credit unions, life insurance companies and mortgage bankers. Other commercial banks, credit unions and finance companies provide vigorous competition in consumer lending. Commercial and industrial loan competition is primarily from local and regional commercial banks. We believe that we compete effectively because we consistently deliver high-quality, personal service to our customers that results in a high level of customer satisfaction.</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attract our deposits through our branch office network, supplementing this funding through brokered deposits as necessary. Competition for deposits is principally from other commercial banks, savings institutions and credit unions located in the same communities, as well as mutual funds and other alternative investments. We believe that we compete for deposits by offering superior service and a variety of deposit accounts at competitive rates. We also have a highly competitive suite of cash management services, online/mobile banking and internal support expertise specific to the needs of small to mid-sized commercial business customers. Beyond traditional financial institutions, we also face competition from financial technology companies, or fintechs.</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the way we create differentiation from our competition is by focusing on “HOW” we deliver our products and services. While some employees have been a part of HomeTrust Bank for decades, a significant number of employees have more recently brought their professional expertise and industry knowledge to us through internal growth and acquisitions. As a reflection of our strategic goal to make the Bank a best place to work, the Company has recently made a significant investment in refreshing our culture model to create organizational clarity via a targeted, robust program that focuses on employee behaviors which support our aspirational corporate values. This “culture model” helps to ensure the Bank workplace remains attentive to:</w:t>
      </w:r>
    </w:p>
    <w:p>
      <w:pPr>
        <w:spacing w:after="0" w:line="1" w:lineRule="exact"/>
        <w:rPr>
          <w:sz w:val="20"/>
          <w:szCs w:val="20"/>
          <w:color w:val="auto"/>
        </w:rPr>
      </w:pPr>
    </w:p>
    <w:p>
      <w:pPr>
        <w:ind w:left="260" w:hanging="191"/>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collaboration and productivity;</w:t>
      </w:r>
    </w:p>
    <w:p>
      <w:pPr>
        <w:ind w:left="260" w:hanging="191"/>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attracting and retaining the best talent;</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winning more business in a "look-alike" world; and</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clarity when more workers are remote or hybrid.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implementing these principles, the directors, management team and employees work together as a team to meet the financial needs of our customers while supporting local nonprofit and community organizations to improve the quality of life for individuals and businesses in our communities. We support affordable housing and education initiatives to help build healthy communities through both financial assistance and employees volunteering thousands of hours annually in their local markets. We believe the opportunity to stay close to our customers gives us a unique position in the banking industry as compared to our larger competitors, and we are committed to continuing to build strong relationships with our employees, customers and communities for generations to come.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Human Capital</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of December 31, 2023, we employed 541 full-time employees and 24 part-time employees, for a total of 565 employees. Our employees are located primarily in our five-state geographic footprint: North Carolina - 374, Tennessee - 61, Georgia - 49, Virginia - 37 and South Carolina - 32. In addition, 12 employees are located in other states across the U.S and work remotely.</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For almost 100 years, HomeTrust Bank has strived to be an employer of choice. We value and promote diversity, inclusion and belonging in every aspect of our business and at every level within the Company. We recruit, hire and promote employees based on their individual ability and experience and in accordance with Affirmative Action and Equal Employment Opportunity laws and regulations. Our policy is that we do not discriminate on the basis of race, color, gender, national origin, religion, age, sexual orientation, gender identity, gender expression, genetic information, physical or mental disability, pregnancy, marital status, status as a protected veteran or any other status protected by federal, state or local law.</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talent acquisition practices are designed to attract top talent in the financial services industry and foster an inclusive, respectful and rewarding workplace. Selection teams are guided by our talent acquisition professionals in the proper recruitment and selection of candidates with a focus on competency-based hiring. We stay abreast of market trends and best practices, ensuring that we remain competitive and an attractive place to work. An employee referral program serves to reward current employees for identifying top candidates who choose to apply and accept employment with us.</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Our business strategy relies heavily on relationships with both internal and external stakeholders. At new employee orientation, newly hired employees are educated on the history of the Company, our vision and our 33 culture fundamentals which outline how we work with our customers, partners and each other. We place an emphasis on providing regular performance feedback and encourage collaboration across the Company through open dialogue and focused execution while seeking diverse perspectives. In 2023, we provided new and enhanced opportunities for managers to participate in training classes focused on building and enhancing people-management skills.</w:t>
      </w:r>
    </w:p>
    <w:p>
      <w:pPr>
        <w:spacing w:after="0" w:line="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believe that a sense of belonging is essential to providing a work environment where everyone can perform their very best. We are committed to fostering an environment that encourages diverse viewpoints, backgrounds and experiences and with the support of our Board of Directors, we continue to explore additional diversity, equity, inclusion and belonging efforts.</w:t>
      </w:r>
    </w:p>
    <w:p>
      <w:pPr>
        <w:spacing w:after="0" w:line="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Valuing our people, our greatest asset, means that good health, safety and well-being practices, both at home and at work, are woven into the fabric of our culture. We offer a comprehensive benefits package to our employees and have designed our benefits and compensation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3"/>
          <w:szCs w:val="13"/>
          <w:color w:val="auto"/>
        </w:rPr>
        <w:t>programs to attract, retain, motivate and reward employees. In addition to traditional health benefits, we offer a confidential employee assistance program for employees and for those living in their households which provides tools, resources and counseling at no charge to them. We also provide a physical wellness program, which delivers products, services and tools to help employees maintain a healthy life. We provide access to financial wellness counseling services and promote the health and wellness of our employees by strongly encouraging work-life balance and a healthy lifestyle. The Company's competitive paid time off program gives our employees a chance to step back from their professional commitments, which employees may use for vacation, personal use and illness.</w:t>
      </w:r>
    </w:p>
    <w:p>
      <w:pPr>
        <w:spacing w:after="0" w:line="4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To foster inclusivity and support our employees through various life events, we offer a 100% paid parental leave benefit to all eligible employees, regardless of gender, for the birth, adoption or fostering of a new child. In addition, we offer company-paid short-term disability coverage to provide 100% wage replacement for eight weeks for employees with at least one year of service if they experience a qualifying medical event.</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believe a strong corporate culture and employee engagement is crucial to the success of the Company. In 2023, we conducted a comprehensive employee engagement survey, with a high-level of employee participation and improved employee engagement results. Results were utilized to gain perspective on what we do well and identify opportunities for improvement. In addition, HomeTrust continues deepening the understanding of our 33 culture fundamentals which we introduced in 2022. Our fundamentals are a behavior-based set of expectations, intended to support the Company's core values and increase overall employee engagement. As employees exit the organization, we seek their candid feedback through confidential interviews and surveys in an effort to improve our processes, practices and overall work environment.</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2023, HomeTrust was recognized as one of the top 20 Great Employers to Work for in North Carolina, by Best Companies Group. This recognition was a testament to our commitment to enhancing the employee experience and our significant investments in improving the culture of our workplace, expansion of inclusive benefits, increased employee communication, training and education opportunities. Collectively, these initiatives are designed to have a teammate first work environment to boost employee morale, engagement and job satisfaction.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committed to serving and strengthening the communities in which we live, work and play and believe this commitment fosters strong and rewarding relationships with our clients and community partners. Community Service Leave ("CSL") is awarded annually to employees to foster volunteerism with charitable organizations of their choice throughout the year. All employees are eligible for CSL and may use it throughout the calendar year to participate in eligible community service activities.</w:t>
      </w:r>
    </w:p>
    <w:p>
      <w:pPr>
        <w:spacing w:after="0" w:line="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In addition, we support our communities through a variety of sponsorships and financial contributions to non-profit agencies across our footprint, and provide employees with the opportunity to contribute to those organizations through voluntary payroll deductions. We sponsor an annual workplace campaign designed to promote volunteerism and monetary contributions by employees to community agencies they choose to support.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Lending Policy and Procedures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Loan credit authority is granted by position rather than on an individual officer-by-officer basis. These loan authorities are reviewed and approved, at least annually, by the Credit Risk Committee, which is made up of the Chief Executive Officer, Chief Credit Officer, Chief Risk Officer, the Commercial Banking Group Executive, the Consumer Banking Executive and the Director of Commercial Credit. The Senior and Executive Loan Committee approval levels must be approved by the Board of Directors.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Commercial loan relationships in excess of $7.5 million in total credit exposure must be approved by our Senior Loan Committee, which is comprised of the Director of Commercial Credit (Chief Credit Officer or Senior Credit Officer may substitute) and the Commercial Banking Group Executive (Chief Executive Officer may substitute). Any loan submitted for Senior Loan Committee approval should have the prior approval of the Relationship Manager, the Market President (Commercial Banking Group Executive may substitute) and their assigned Senior Credit Officer. Loan relationships in excess of $15.0 million in total credit exposure must be approved by the Executive Loan Committee comprised of the Chief Executive Officer, Commercial Banking Group Executive, Chief Credit Officer, the Director of Commercial Credit and the Senior Credit Officers not involved with the credit. A quorum consists of at least three members, one of whom must be either the Chief Credit Officer or the Senior Credit Officer. A 70% vote is required for approval. Total credit exposure in a single loan or group of loans to related borrowers exceeding 60% of the Bank’s legal lending limit (currently approximately $47.5 million) must be approved by the Bank's Board of Directors. The Bank has no relationships currently in excess of this limit.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 Policy and Procedures</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Bank invests in various securities based on investment policies that have been approved by our Board of Directors and adhere to bank regulations. These securities include: United States Treasury obligations, securities of various federal agencies, including mortgage-backed securities, callable agency securities, certain certificates of deposit of insured banks and savings institutions, municipal bonds, investment grade corporate bonds and commercial paper and federal funds. See “How We Are Regulated” below for a discussion of additional restrictions on our investment activities.</w:t>
      </w:r>
    </w:p>
    <w:p>
      <w:pPr>
        <w:spacing w:after="0" w:line="4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Our Chief Executive Officer and Chief Financial Officer are responsible for the management of our investment portfolio, subject to the direction and guidance of the Board of Directors. These officers consider various factors when making decisions, including the marketability, maturity and tax consequences of the proposed investment. The maturity structure of investments will be affected by various market conditions, including the current and anticipated slope of the yield curve, the level of interest rates, the trend of new deposit inflows and the anticipated demand for funds via deposit withdrawals and loan originations and purchases.</w:t>
      </w:r>
    </w:p>
    <w:p>
      <w:pPr>
        <w:spacing w:after="0" w:line="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general objectives of our investment portfolio are to provide liquidity when loan demand is high, to assist in maintaining earnings when loan demand is low and to optimize earnings while satisfactorily managing risk, including credit risk, reinvestment risk, liquidity risk and interest rate risk.</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Specific to our investment portfolio, we do not currently participate in hedging programs, stand-alone contracts for interest rate caps, floors or swaps or other activities involving the use of off-balance sheet derivative financial instruments and have no present intention to do so. Further, we do not invest in securities which are not rated investment grade.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HOW WE ARE REGULATED</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General. </w:t>
      </w:r>
      <w:r>
        <w:rPr>
          <w:rFonts w:ascii="Times New Roman" w:cs="Times New Roman" w:eastAsia="Times New Roman" w:hAnsi="Times New Roman"/>
          <w:sz w:val="13"/>
          <w:szCs w:val="13"/>
          <w:color w:val="auto"/>
        </w:rPr>
        <w:t>HomeTrust Bancshares, Inc. is subject to examination and supervision by, and is required to file certain reports with, the Federal Reserve. HomeTrust Bancshares, Inc. is also subject to the rules and regulations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SEC under the federal securities laws.</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Bank is subject to examination and regulation primarily by the NCCOB and the Federal Reserve. This system of regulation and supervision establishes a comprehensive framework of activities in which the Bank may engage and is intended primarily for the protection of depositors and the FDIC deposit insurance fund. The Bank is periodically examined by the NCCOB and the Federal Reserve to ensure that it satisfies applicable standards with respect to its capital adequacy, assets, management, earnings, liquidity and sensitivity to market interest rates. The NCCOB and the Federal Reserve also regulate the branching authority of the Bank. The Bank’s relationship with its depositors and borrowers is regulated by federal consumer protection laws. The CFPB issues regulations under those laws, but as an institution with assets of less than $10 billion, the Bank is generally subject to supervision and enforcement by the Federal Reserve with respect to compliance with federal consumer financial protection laws and CFPB regulations. The Bank’s relationship with its depositors and borrowers is also regulated by state laws with respect to certain matters, including the enforceability of loan documents.</w:t>
      </w:r>
    </w:p>
    <w:p>
      <w:pPr>
        <w:spacing w:after="0" w:line="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following is a brief description of certain laws and regulations applicable to HomeTrust Bancshares, Inc. and the Bank. Descriptions of laws and regulations here and elsewhere in this report do not purport to be complete and are qualified in their entirety by reference to the actual laws and regulations. Legislation is introduced from time to time in the United States Congress, the North Carolina legislature and the legislatures of other states that may affect the operations of HomeTrust Bancshares and the Bank. In addition, the regulations that govern us may be amended from time to time. Any such legislation or regulatory changes in the future could adversely affect our operations and financial condition.</w:t>
      </w:r>
    </w:p>
    <w:p>
      <w:pPr>
        <w:spacing w:after="0" w:line="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Financial Regulatory Reform. </w:t>
      </w:r>
      <w:r>
        <w:rPr>
          <w:rFonts w:ascii="Times New Roman" w:cs="Times New Roman" w:eastAsia="Times New Roman" w:hAnsi="Times New Roman"/>
          <w:sz w:val="13"/>
          <w:szCs w:val="13"/>
          <w:color w:val="auto"/>
        </w:rPr>
        <w:t>The Dodd-Frank Act, which was enacted in July 2010, imposed various restrictions and an expanded framework of regulatory oversight for financial entities, including depository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institutions and their holding companies.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May 2018, the Economic Growth, Regulatory Relief and Consumer Protection Act (the “Regulatory Relief Act”), was enacted to modify or remove certain financial reform rules and regulations, including some of those implemented under the Dodd-Frank Act. While the Regulatory Relief Act maintains most of the regulatory structure established by the Dodd-Frank Act, it amends certain aspects of the regulatory framework for depository institutions, such as the Bank, with assets of less than $10 billion and for those with assets of more than $50 billion.</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Regulatory Relief Act, among other matters, expands the definition of qualified mortgages that may be held by a financial institution and simplifies the regulatory capital rules for financial institutions and their holding companies with total consolidated assets of less than $10 billion by instructing the federal banking regulators to establish a single CBLR. In September 2019, the regulatory agencies, including the NCCOB and FRB, adopted a final rule, effective January 1, 2020, creating the CBLR for institutions with total consolidated assets of less than $10 billion and that meet other qualifying criteria. The CBLR provides for a simple measure of capital adequacy for qualifying institutions. According to the final rule, qualifying institutions that elect to use the CBLR framework and that maintain a leverage ratio of greater than 9% will be considered to have satisfied the generally applicable risk-based and leverage capital requirements in the regulatory agencies' capital rules, and to have met the capital requirements for the well capitalized category under the agencies' prompt corrective action framework. The Bank has not currently elected to adopt the CBLR framework, but may consider that election in the future.</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regulatory agencies have adopted a rule that provides a banking organization the option to phase-in over a five-year period the effects of CECL on its regulatory capital upon the adoption of the standard. The Company adopted the five-year phase in provision as of July 1, 2020.</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March 30, 2023, the CFPB issued a final rule amending Regulation B to implement changes to the Equal Credit Opportunity Act made by Section 1071 of the Dodd-Frank Act. Under this rule, covered financial institutions are required to collect and report to the CFPB data on credit applications for small businesses, including those that are owned by women or minorities. Congress enacted Section 1071 for the purpose of facilitating enforcement of fair lending laws and enabling communities, governmental entities and creditors to identify business and community development needs and opportunities for women-owned, minority-owned and small businesses.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Regulation of HomeTrust Bank</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is subject to regulation and oversight by the NCCOB and the Federal Reserve extending to all aspects of its operations, including but not limited to requirements concerning an ACL, lending and mortgage operations, interest rates received on loans and paid on deposits, the payment of dividends to the Company, loans to officers and directors, mergers and acquisitions, capital and the opening and closing of branches. See "Capital Requirements for HomeTrust Bank" and "Limitations on Dividends" for additional details.</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a state-chartered institution, the Bank is subject to periodic examinations by the NCCOB and the Federal Reserve. During these examinations, the examiners assess compliance with state and federal banking regulations and safety and soundness standards on matters such as loan underwriting and documentation, asset quality, earnings standards, internal controls and audit systems, interest rate risk exposure and employee compensation and benefits. Any institution that fails to comply with these standards must submit a compliance plan.</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Bank is subject to a statutory lending limit on aggregate loans to one person or a group of persons combined because of certain relationships and common interests. That limit is generally equal to 15% of unimpaired capital and surplus, which was $79.2 million as of December 31, 2023. The limit is increased to 25% for loans fully secured by readily marketable collateral</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The Bank has no lending relationships in excess of its lending limit.</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NCCOB and the Federal Reserve have enforcement responsibility over the Bank and the authority to bring actions against the Bank and certain institution-affiliated parties, including officers, directors and employees, for violations of laws or regulations and for engaging in unsafe and unsound practices. Formal enforcement actions include the issuance of a capital directive or cease and desist order, civil money penalties, removal of officers and/or directors and receivership or conservatorship of the institution.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Insurance of Accounts and Regulation by the FDIC. </w:t>
      </w:r>
      <w:r>
        <w:rPr>
          <w:rFonts w:ascii="Times New Roman" w:cs="Times New Roman" w:eastAsia="Times New Roman" w:hAnsi="Times New Roman"/>
          <w:sz w:val="13"/>
          <w:szCs w:val="13"/>
          <w:color w:val="auto"/>
        </w:rPr>
        <w:t>The deposit insurance fund of the FDIC insures deposit accounts in HomeTrust Bank up to $250,000 per separately insured deposit ownership right or category.</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Under the FDIC’s risk-based assessment system, insured institutions are assessed based on supervisory ratings and in general, stronger institutions pay lower rates while riskier institutions pay higher rates. Currently, assessment rates (inclusive of certain possible adjustments)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3"/>
          <w:szCs w:val="13"/>
          <w:color w:val="auto"/>
        </w:rPr>
        <w:t>for an institution with total assets of less than $10.0 billion range from 1.5 to 30.0 basis points of each institution’s total average consolidated assets less average tangible equity (subject to upward adjustment for certain debt). Extraordinary growth in insured deposits during the first and second quarters of 2020 caused the Deposit Insurance Fund reserve ratio to decline below the statutory minimum of 1.35% as of June 30, 2020. In September 2020, the FDIC Board of Directors adopted a Restoration Plan to restore the reserve ratio to at least 1.35% within eight years, absent extraordinary circumstances, as required by the Federal Deposit Insurance Act. The Restoration Plan maintained the assessment rate schedules in place at the time and required the FDIC to update its analysis and projections for the deposit insurance fund balance and reserve ratio at least semiannually.</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the semiannual update for the Restoration Plan in June 2022, the FDIC projected that the reserve ratio was at risk of not reaching the statutory minimum of 1.35% by September 30, 2028. Based on this update, the FDIC Board of Directors approved an Amended Restoration Plan, and concurrently proposed an increase in initial base deposit insurance assessment rate schedules uniformly by 2 basis points, applicable to all insured depository institutions.</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October 2022, the FDIC Board of Directors finalized the increase with an effective date of January 1, 2023, applicable to the first quarterly assessment period of 2023 (i.e., January 1 through March 31, 2023, with an invoice payment date of June 30, 2023). The revised assessment rate schedules are intended to increase the likelihood that the reserve ratio of the DIF reaches the statutory minimum level of 1.35% by September 30, 2028. Revised assessment rate schedules will remain in effect unless and until the reserve ratio meets or exceeds 2%, absent further action by the FDIC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Increases in the assessment rates for deposit insurance adversely affect the Company's results of operations. Management cannot predict what assessment rates will be in the future.</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Insurance of deposits may be terminated by the FDIC upon a finding that an institution has engaged in unsafe or unsound practices, is in an unsafe or unsound condition to continue operations or has violated any applicable law, regulation, rule, order or condition imposed by the FDIC. We do not currently know of any practice, condition, or violation that may lead to termination of our deposit insurance.</w:t>
      </w:r>
    </w:p>
    <w:p>
      <w:pPr>
        <w:spacing w:after="0" w:line="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Transactions with Related Parties. </w:t>
      </w:r>
      <w:r>
        <w:rPr>
          <w:rFonts w:ascii="Times New Roman" w:cs="Times New Roman" w:eastAsia="Times New Roman" w:hAnsi="Times New Roman"/>
          <w:sz w:val="13"/>
          <w:szCs w:val="13"/>
          <w:color w:val="auto"/>
        </w:rPr>
        <w:t>Federal laws strictly limit the ability of banks to engage in certain transactions with their affiliates, including their bank holding companies. Transactions between the Bank and its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affiliates are required to be on terms as favorable to the Bank as transactions with non-affiliates. Certain of these transactions, such as loans to an affiliate, are restricted to a percentage of the Bank's capital, and loans to affiliates require eligible collateral in specified amounts. HomeTrust Bancshares, Inc. is an affiliate of the Bank.</w:t>
      </w:r>
    </w:p>
    <w:p>
      <w:pPr>
        <w:spacing w:after="0" w:line="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Federal law generally prohibits loans by HomeTrust Bancshares to its executive officers and directors, but there is an exception for loans made by HomeTrust Bank to its executive officers and directors in compliance with federal banking laws. However, HomeTrust Bank’s authority to extend credit to its executive officers, directors and 10% stockholders (“insiders”), as well as entities those insiders control, is limited. The individual and aggregate amounts of loans that HomeTrust Bank may make to insiders are based, in part, on HomeTrust Bank’s capital level and require that certain Board approval procedures be followed. Such loans are required to be made on terms substantially the same as those offered to unaffiliated individuals and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subject to additional limitations based on the type of loan involved.</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Requirements for HomeTrust Bank. </w:t>
      </w:r>
      <w:r>
        <w:rPr>
          <w:rFonts w:ascii="Times New Roman" w:cs="Times New Roman" w:eastAsia="Times New Roman" w:hAnsi="Times New Roman"/>
          <w:sz w:val="13"/>
          <w:szCs w:val="13"/>
          <w:color w:val="auto"/>
        </w:rPr>
        <w:t>The Bank is required to maintain specified levels of regulatory capital under federal banking regulations. The capital adequacy requirements are quantitative measures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established by regulation that require the Bank to maintain minimum amounts and ratios of capital. Failure to meet minimum capital requirements can initiate certain mandatory and possibly additional discretionary actions by bank regulators that, if undertaken, could have a direct material effect on the Company's financial statements.</w:t>
      </w:r>
    </w:p>
    <w:p>
      <w:pPr>
        <w:spacing w:after="0" w:line="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Under the capital regulations, the minimum required capital ratios for the Company and the Bank are (i) a CETI capital ratio of 4.50%; (ii) a Tier 1 capital ratio of 6.00%; (iii) a total capital ratio of 8.00%; and (iv) a leverage ratio (the ratio of Tier 1 capital to average total consolidated assets) of 4.00%. CET1 generally consists of common stock and retained earnings. Tier 1 capital generally consists of CET1 and noncumulative perpetual preferred stock. Tier 2 capital generally consists of other preferred stock and subordinated debt meeting certain conditions plus an amount of the ACL up to 1.25% of assets. Total capital is the sum of Tier 1 and Tier 2 capital. The CET1 capital ratio, the Tier 1 capital ratio and the total capital ratio are sometimes referred to as the risk-based capital ratios and are determined based on risk-weightings of assets and certain off-balance sheet items that range from 0% to 1,250%.</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Mortgage servicing and deferred tax assets over designated percentages of CET1 are deducted from capital. Because of our asset size, we were eligible to elect, and have elected, to permanently opt-out of the inclusion of unrealized gains and losses on available for sale debt and equity securities in our capital calculations.</w:t>
      </w:r>
    </w:p>
    <w:p>
      <w:pPr>
        <w:spacing w:after="0" w:line="3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addition to the risk-based capital ratios, the Bank must maintain a capital conservation buffer consisting of additional CET1 capital greater than 2.50% of risk-weighted assets above the minimum levels for such ratios in order to avoid limitations on paying dividends, engaging in share repurchases and paying discretionary bonuses based on percentages of eligible retained income that could be utilized for such actions. To meet the minimum capital ratios and the capital conservation buffer requirements, the capital ratios applicable to the Company and the Bank are (i) a CETI capital ratio greater than 7.00%; (ii) a Tier 1 capital ratio greater than 8.50%; (iii) a total capital ratio greater than 10.50%; and (iv) a Tier 1 leverage ratio greater than 4.00%. As of December 31, 2023, the Bank's risk-based capital exceeded the required capital contribution buffer.</w:t>
      </w:r>
    </w:p>
    <w:p>
      <w:pPr>
        <w:spacing w:after="0" w:line="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 be considered “well capitalized,” a depository institution must have a Tier 1 capital ratio of at least 8.00%, a total capital ratio of at least 10.00%, a CET1 capital ratio of at least 6.50% and a leverage ratio of at least 5.00% and not be subject to an individualized order, directive or agreement under which its primary federal banking regulator requires it to maintain a specific capital level. Institutions that are not well capitalized are subject to certain restrictions on brokered deposits and interest rates on deposits. Under certain circumstances, regulators are required to take certain actions against banks that fail to meet the minimum required capital ratios. Any such institution must submit a capital restoration plan and, until such plan is approved, may not increase its assets, acquire another depository institution, establish a branch or engage in any new activities, or make capital distributions. As of December 31, 2023, HomeTrust Bank met the requirements to be “well capitalized” and met the capital conservation buffer requirement. For additional information regarding the Bank’s required and actual capital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color w:val="auto"/>
        </w:rPr>
        <w:t>levels at December 31, 2023, see “Note 18 – Regulatory Capital Matters” of the Notes to Consolidated Financial Statements included in Item 8 in this report.</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Federal Home Loan Bank System. </w:t>
      </w:r>
      <w:r>
        <w:rPr>
          <w:rFonts w:ascii="Times New Roman" w:cs="Times New Roman" w:eastAsia="Times New Roman" w:hAnsi="Times New Roman"/>
          <w:sz w:val="13"/>
          <w:szCs w:val="13"/>
          <w:color w:val="auto"/>
        </w:rPr>
        <w:t>HomeTrust Bank is a member of the FHLB of Atlanta, which is one of the 11 regional banks in the FHLB System that administer the home financing credit function of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institutions. The FHLBs are subject to the oversight of the FHFA and each FHLB serves as a reserve or central bank for its members within its assigned region. The FHLBs are funded primarily from proceeds derived from the sale of consolidated obligations of the FHLB System and make loans or advances to members in accordance with policies and procedures established by the Board of Directors of the FHLB, which are subject to the oversight of the FHFA. All advances from the FHLB are required to be fully secured by sufficient collateral as determined by the FHLB. In addition, all long-term advances are required to provide funds for residential home financing.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December 31, 2023, the Bank held $10.1 million in FHLB stock that was in compliance with the holding requirements.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FHLBs continue to contribute to low- and moderately-priced housing programs through direct loans or interest subsidies on advances targeted for community investment and low- and moderate-income housing projects. These contributions have adversely affected the level of FHLB dividends paid and could continue to do so in the future. These contributions could also have an adverse effect on the value of FHLB stock in the future. A reduction in value of the Bank’s FHLB stock may result in a decrease in net income and possibly capital.</w:t>
      </w:r>
    </w:p>
    <w:p>
      <w:pPr>
        <w:spacing w:after="0" w:line="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Commercial Real Estate Lending Concentrations. </w:t>
      </w:r>
      <w:r>
        <w:rPr>
          <w:rFonts w:ascii="Times New Roman" w:cs="Times New Roman" w:eastAsia="Times New Roman" w:hAnsi="Times New Roman"/>
          <w:sz w:val="13"/>
          <w:szCs w:val="13"/>
          <w:color w:val="auto"/>
        </w:rPr>
        <w:t>The federal banking agencies have issued guidance on sound risk management practices for concentrations in commercial real estate lending. The particular focus is 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exposure to commercial real estate loans that are dependent on the cash flows from the real estate held as collateral and that are likely to be sensitive to conditions in the commercial real estate market (as opposed to real estate collateral held as a secondary source of repayment or as an abundance of caution). The purpose of the guidance is not to limit a bank’s commercial real estate lending but to guide banks in developing risk management practices and capital levels commensurate with the level and nature of real estate concentrations. The guidance directs the Federal Reserve and other bank regulatory agencies to focus their supervisory resources on institutions that may have significant commercial real estate loan concentration risk. A bank that has experienced rapid growth in commercial real estate lending, has notable exposure to a specific type of commercial real estate loan, or is approaching or exceeding the following supervisory criteria may be identified for further supervisory analysis with respect to real estate concentration risk:</w:t>
      </w:r>
    </w:p>
    <w:p>
      <w:pPr>
        <w:spacing w:after="0" w:line="1" w:lineRule="exact"/>
        <w:rPr>
          <w:sz w:val="20"/>
          <w:szCs w:val="20"/>
          <w:color w:val="auto"/>
        </w:rPr>
      </w:pPr>
    </w:p>
    <w:p>
      <w:pPr>
        <w:ind w:left="260" w:hanging="191"/>
        <w:spacing w:after="0"/>
        <w:tabs>
          <w:tab w:leader="none" w:pos="2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reported loans for construction, land development and other land represent 100% or more of the bank’s total regulatory capital; or</w:t>
      </w:r>
    </w:p>
    <w:p>
      <w:pPr>
        <w:spacing w:after="0" w:line="6" w:lineRule="exact"/>
        <w:rPr>
          <w:rFonts w:ascii="Times New Roman" w:cs="Times New Roman" w:eastAsia="Times New Roman" w:hAnsi="Times New Roman"/>
          <w:sz w:val="13"/>
          <w:szCs w:val="13"/>
          <w:color w:val="auto"/>
        </w:rPr>
      </w:pPr>
    </w:p>
    <w:p>
      <w:pPr>
        <w:ind w:left="260" w:hanging="191"/>
        <w:spacing w:after="0" w:line="241" w:lineRule="auto"/>
        <w:tabs>
          <w:tab w:leader="none" w:pos="25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commercial real estate loans (as defined in the guidance) represent 300% or more of the bank’s total regulatory capital and the outstanding balance of the bank’s commercial real estate loan portfolio has increased 50% or more during the prior 36 months.</w:t>
      </w:r>
    </w:p>
    <w:p>
      <w:pPr>
        <w:spacing w:after="0" w:line="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guidance provides that the strength of an institution’s lending and risk management practices with respect to such concentrations will be taken into account in supervisory guidance on evaluation of capital adequacy. As of December 31, 2023, HomeTrust Bank’s aggregate recorded loan balances for construction, land development and land loans were 76.4% of regulatory capital. In addition, at December 31, 2023, HomeTrust Bank’s commercial real estate loans, as defined by the guidance, were 258.6% of regulatory capital. See "Risk Factors – The level of our commercial real estate portfolio may subject us to additional regulatory scrutiny."</w:t>
      </w:r>
    </w:p>
    <w:p>
      <w:pPr>
        <w:spacing w:after="0" w:line="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Community Reinvestment and Consumer Protection Laws. </w:t>
      </w:r>
      <w:r>
        <w:rPr>
          <w:rFonts w:ascii="Times New Roman" w:cs="Times New Roman" w:eastAsia="Times New Roman" w:hAnsi="Times New Roman"/>
          <w:sz w:val="13"/>
          <w:szCs w:val="13"/>
          <w:color w:val="auto"/>
        </w:rPr>
        <w:t>In connection with its deposit-taking, lending and other activities, the Bank is subject to federal laws designed to protect consumers and promote lending for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various purposes. The CFPB issues regulations and standards under these federal consumer protection laws, which include the Equal Credit Opportunity Act, the Truth-in-Lending Act, the Home Mortgage Disclosure Act, the Real Estate Settlement Procedures Act and others. The CFPB has promulgated a number of proposed and final regulations under these laws that affect our consumer businesses. Among these regulatory initiatives are final regulations setting “ability to repay” and “qualified mortgage” standards for residential mortgage loans and establishing new mortgage loan servicing and loan originator compensation standards. In addition, customer privacy regulations limit the ability of the Bank to disclose nonpublic consumer information to non-affiliated third-parties. These regulations require disclosure of privacy policies and allow consumers to prevent certain personal information from being shared with non-affiliated parties.</w:t>
      </w:r>
    </w:p>
    <w:p>
      <w:pPr>
        <w:spacing w:after="0" w:line="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Community Reinvestment Act of 1977 (“CRA”) requires the appropriate federal bank regulatory agency to assess a bank’s performance under the CRA in meeting the credit needs of the community serviced by the bank, including low- and moderate-income neighborhoods. The regulatory agency’s assessment of the bank’s CRA record is made available to the public. Further, a bank’s CRA performance must be considered in connection with an application by the bank to, among other things, establish a new branch office that will accept deposits, relocate an existing office or merge or consolidate with, or acquire the assets or assume the liabilities of, a federally regulated financial institution. An unsatisfactory rating may be the basis for denial of certain applications. The Bank received a “satisfactory” rating during its most recent CRA examination.</w:t>
      </w:r>
    </w:p>
    <w:p>
      <w:pPr>
        <w:spacing w:after="0" w:line="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October 24, 2023, the federal banking agencies issued a final rule designed to strengthen and modernize regulations implementing the CRA. The changes are designed to encourage banks to expand access to credit, investment and banking services in low and moderate income communities, adapt to changes in the banking industry including mobile and internet banking, provide greater clarity and consistency in the application of the CRA regulations and tailor CRA evaluations and data collection to bank size and type. The Bank currently cannot predict the impact the changes to the CRA regulations will have on its operations.</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BSA / Anti-Money Laundering Laws. </w:t>
      </w:r>
      <w:r>
        <w:rPr>
          <w:rFonts w:ascii="Times New Roman" w:cs="Times New Roman" w:eastAsia="Times New Roman" w:hAnsi="Times New Roman"/>
          <w:sz w:val="13"/>
          <w:szCs w:val="13"/>
          <w:color w:val="auto"/>
        </w:rPr>
        <w:t>The Bank is subject to the BSA and other anti-money laundering laws and regulations, including the USA PATRIOT Act of 2001. These laws and regulations require the Bank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implement policies, procedures and controls to detect, prevent and report money laundering and terrorist financing and to verify the identity of its customers. Violations of these requirements can result in substantial civil and criminal sanctions. In addition, provisions of the USA PATRIOT Act require the federal financial institution regulatory agencies to consider the effectiveness of a financial institution's anti-money laundering activities when reviewing mergers and acquisitions.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AMLA, which amends the BSA, was enacted in January 2021. The AMLA is intended to be a comprehensive reform and modernization to U.S. bank secrecy and anti-money laundering laws. Among other things, it codifies a risk-based approach to anti-money laundering compliance for financial institutions; requires the development of standards for evaluating technology and internal processes for BSA compliance; expands enforcement- and investigation-related authority, including increasing available sanctions for certain BSA violations and instituting BSA whistleblower incentives and protections.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0" w:name="page11"/>
    <w:bookmarkEnd w:id="10"/>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Environmental Issues Associated with Real Estate Lending</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Comprehensive Environmental Response, Compensation and Liability Act (“CERCLA”) is a federal statute that generally imposes strict liability on all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To the extent that legal uncertainty exists in this area, all creditors, including the Bank, that have made loans secured by properties with potential hazardous waste contamination could be subject to liability for cleanup costs, which could substantially exceed the value of the collateral property.</w:t>
      </w:r>
    </w:p>
    <w:p>
      <w:pPr>
        <w:spacing w:after="0" w:line="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Limitations on Dividends. </w:t>
      </w:r>
      <w:r>
        <w:rPr>
          <w:rFonts w:ascii="Times New Roman" w:cs="Times New Roman" w:eastAsia="Times New Roman" w:hAnsi="Times New Roman"/>
          <w:sz w:val="12"/>
          <w:szCs w:val="12"/>
          <w:color w:val="auto"/>
        </w:rPr>
        <w:t>NCCOB and Federal Reserve regulations impose various restrictions on the ability of the Bank to pay dividends. The Bank generally may pay dividends during any calendar year in an amount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up to 100% of net income for the year-to-date plus retained net income for the two preceding years, without the approval of the Federal Reserve. If the Bank proposes to pay a dividend that will exceed this limitation, it must obtain the Federal Reserve's prior approval. The Federal Reserve may object to a proposed dividend based on safety and soundness concerns. No insured depository institution may pay a dividend if, after paying the dividend, the institution would be undercapitalized. In addition, as noted above, if the Bank does not have the required capital conservation buffer, its ability to pay dividends to HomeTrust Bancshares, Inc. will be limited.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Holding Company Regulation</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As a bank holding company under the BHCA, HomeTrust Bancshares, Inc. is subject to regulation, supervision and examination by the Federal Reserve. The Federal Reserve has enforcement authority with respect to HomeTrust Bancshares, Inc. similar to its enforcement authority over the Bank. We are required to file quarterly reports with the Federal Reserve and provide additional information as the Federal Reserve may require. The Federal Reserve may examine us, and any of our subsidiaries, and charge us for the cost of the examination. The Federal Reserve also has extensive enforcement authority over bank holding companies, including, among other things, the ability to assess civil money penalties, to issue cease and desist or removal orders and to require that a bank holding company divest subsidiaries (including its bank subsidiaries). In general, enforcement actions may be initiated for violations of law and regulations and unsafe or unsound practices. HomeTrust Bancshares, Inc. is also required to file certain reports with, and otherwise comply with the rules and regulations of, the SEC.</w:t>
      </w:r>
    </w:p>
    <w:p>
      <w:pPr>
        <w:spacing w:after="0" w:line="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i w:val="1"/>
          <w:iCs w:val="1"/>
          <w:color w:val="auto"/>
        </w:rPr>
        <w:t xml:space="preserve">The Bank Holding Company Act. </w:t>
      </w:r>
      <w:r>
        <w:rPr>
          <w:rFonts w:ascii="Times New Roman" w:cs="Times New Roman" w:eastAsia="Times New Roman" w:hAnsi="Times New Roman"/>
          <w:sz w:val="12"/>
          <w:szCs w:val="12"/>
          <w:color w:val="auto"/>
        </w:rPr>
        <w:t>Under the BHCA, we are supervised by the Federal Reserve. The Federal Reserve has a policy that requires a bank holding company to serve as a source of financial and managerial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strength to its subsidiary banks and may not conduct its operations in an unsafe or unsound manner. In addition, the Dodd-Frank Act and earlier Federal Reserve policy provide that a bank holding company should serve as a source of strength to its subsidiary banks by having the ability to provide financial assistance to its subsidiary banks during periods of financial distress to the banks. A bank holding company's failure to meet its obligation to serve as a source of strength to its subsidiary banks will generally be considered by the Federal Reserve to be an unsafe and unsound banking practice or a violation of the Federal Reserve's regulations or both. No regulations have yet been proposed by the Federal Reserve to implement the source of strength doctrine required by the Dodd-Frank Act. HomeTrust Bancshares, Inc. and any subsidiaries that it may control are considered “affiliates” within the meaning of the Federal Reserve Act, and transactions between HomeTrust Bancshares, Inc. and its affiliates are subject to numerous restrictions. With some exceptions, HomeTrust Bancshares, Inc. and its subsidiaries are prohibited from tying the provision of various services, such as extensions of credit, to other services offered by HomeTrust Bancshares, Inc. or by its affiliates.</w:t>
      </w:r>
    </w:p>
    <w:p>
      <w:pPr>
        <w:spacing w:after="0" w:line="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Permissible Activities. </w:t>
      </w:r>
      <w:r>
        <w:rPr>
          <w:rFonts w:ascii="Times New Roman" w:cs="Times New Roman" w:eastAsia="Times New Roman" w:hAnsi="Times New Roman"/>
          <w:sz w:val="13"/>
          <w:szCs w:val="13"/>
          <w:color w:val="auto"/>
        </w:rPr>
        <w:t>The business activities of HomeTrust Bancshares, Inc. are generally limited to those activities permissible for bank holding companies under Section 4(c)(8) of the BHCA, those permitted for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holding company under Section 4(f) of the BHCA, and certain additional activities authorized by regulation. The BHCA generally prohibits a financial holding company from acquiring direct or indirect ownership or control of more than 5% of the voting shares of any company which is not a bank or bank holding company. A bank holding company must obtain Federal Reserve approval before acquiring directly or indirectly, ownership or control of any voting shares of another bank or bank holding company if, after such acquisition, it would own or control more than 5% of such shares (unless it already owns or controls the majority of such shares).</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Capital Requirements for HomeTrust Bancshares. </w:t>
      </w:r>
      <w:r>
        <w:rPr>
          <w:rFonts w:ascii="Times New Roman" w:cs="Times New Roman" w:eastAsia="Times New Roman" w:hAnsi="Times New Roman"/>
          <w:sz w:val="13"/>
          <w:szCs w:val="13"/>
          <w:color w:val="auto"/>
        </w:rPr>
        <w:t>As a bank holding company, HomeTrust Bancshares, Inc. is subject to the minimum regulatory capital requirements established by Federal Reserve regulation,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generally are the same as the capital requirements for the Bank. These capital requirements include provisions that might impact the ability of the Company to pay dividends to stockholders or repurchase shares. For a description of the capital regulations, see "Regulation of HomeTrust Bank – Capital Requirements for HomeTrust Bank" and “Note 18 – Regulatory Capital Matters” of the Notes to Consolidated Financial Statements included in Item 8 in this report. At December 31, 2023, HomeTrust Bancshares, Inc. exceeded its minimum regulatory capital requirements under Federal Reserve regulations.</w:t>
      </w:r>
    </w:p>
    <w:p>
      <w:pPr>
        <w:spacing w:after="0" w:line="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 xml:space="preserve">Federal Securities Law. </w:t>
      </w:r>
      <w:r>
        <w:rPr>
          <w:rFonts w:ascii="Times New Roman" w:cs="Times New Roman" w:eastAsia="Times New Roman" w:hAnsi="Times New Roman"/>
          <w:sz w:val="13"/>
          <w:szCs w:val="13"/>
          <w:color w:val="auto"/>
        </w:rPr>
        <w:t>The common stock of HomeTrust Bancshares, Inc. is registered with the SEC under the Exchange Act. HomeTrust Bancshares, Inc. is subject to the information, proxy solicitation, insider trading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restrictions and other requirements of the SEC under the Exchange Act.</w:t>
      </w:r>
    </w:p>
    <w:p>
      <w:pPr>
        <w:spacing w:after="0" w:line="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3"/>
          <w:szCs w:val="13"/>
          <w:color w:val="auto"/>
        </w:rPr>
        <w:t>The SEC has adopted regulations and policies under the Exchange Act that seek to increase corporate responsibility, provide for enhanced penalties for accounting and auditing improprieties and protect investors by improving the accuracy and reliability of corporate disclosures in SEC filings. These regulations and policies include very specific additional disclosure requirements and mandate corporate governance practices.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Dividends. </w:t>
      </w:r>
      <w:r>
        <w:rPr>
          <w:rFonts w:ascii="Times New Roman" w:cs="Times New Roman" w:eastAsia="Times New Roman" w:hAnsi="Times New Roman"/>
          <w:sz w:val="13"/>
          <w:szCs w:val="13"/>
          <w:color w:val="auto"/>
        </w:rPr>
        <w:t>The Federal Reserve has issued a policy statement on the payment of cash dividends by bank holding companies, which expresses its view that although there are no specific regulations restricting dividend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payments by bank holding companies other than state corporate laws, a bank holding company must maintain an adequate capital position and generally should not pay cash dividends unless the company's net income for the past year is sufficient to fully fund the cash dividends and that the prospective rate of earnings appears consistent with the company's capital needs, asset quality and overall financial condition. The Federal Reserve policy statement also indicates that it would be inappropriate for a bank holding company experiencing serious financial problems to borrow funds to pay dividends. As described above under "Regulation of HomeTrust Bank – Capital Requirements for HomeTrust Bank," the capital conservation buffer requirement can also restrict the ability of HomeTrust Bancshares, Inc. and the Bank to pay dividends.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Stock Repurchases. </w:t>
      </w:r>
      <w:r>
        <w:rPr>
          <w:rFonts w:ascii="Times New Roman" w:cs="Times New Roman" w:eastAsia="Times New Roman" w:hAnsi="Times New Roman"/>
          <w:sz w:val="13"/>
          <w:szCs w:val="13"/>
          <w:color w:val="auto"/>
        </w:rPr>
        <w:t>A bank holding company, except for certain “well-capitalized” and highly rated bank holding companies, is required to give the Federal Reserve prior written notice of any purchase or redemption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its outstanding equity securities if the gross consideration for the purchase or redemption, when combined with the net consideration paid for all such purchases or redemptions during the preceding twelve months, is equal to 10% or more of its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No shares were repurchased during either the six-month transition period ended December 31, 2023 or the year ended June 30, 2023.</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Legislative and Regulatory Proposals. </w:t>
      </w:r>
      <w:r>
        <w:rPr>
          <w:rFonts w:ascii="Times New Roman" w:cs="Times New Roman" w:eastAsia="Times New Roman" w:hAnsi="Times New Roman"/>
          <w:sz w:val="13"/>
          <w:szCs w:val="13"/>
          <w:color w:val="auto"/>
        </w:rPr>
        <w:t>Any changes in the extensive regulatory scheme to which HomeTrust Bancshares, Inc. and the Bank are subject, whether by any of the federal banking agencies or Congress,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North Carolina legislature or NCCOB, or the legislatures or regulatory agencies of other states, could have a material effect on us, and we cannot predict what, if any, future actions may be taken by legislative or regulatory authorities or what impact such actions may have on 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Federal Taxation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General</w:t>
      </w:r>
      <w:r>
        <w:rPr>
          <w:rFonts w:ascii="Times New Roman" w:cs="Times New Roman" w:eastAsia="Times New Roman" w:hAnsi="Times New Roman"/>
          <w:sz w:val="13"/>
          <w:szCs w:val="13"/>
          <w:color w:val="auto"/>
        </w:rPr>
        <w:t>. HomeTrust Bancshares Inc. and the Bank are subject to federal income taxation in the same general manner as other corporations, with some exceptions discussed below. The following discussion of federal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taxation is intended only to summarize material federal income tax matters and is not a comprehensive description of the tax rules applicable to HomeTrust Bancshares and HomeTrust Bank. See “Note 12 – Income Taxes" in the Notes to the Consolidated Financial Statements included in Item 8 of this Form 10-KT for additional information.</w:t>
      </w:r>
    </w:p>
    <w:p>
      <w:pPr>
        <w:spacing w:after="0" w:line="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b w:val="1"/>
          <w:bCs w:val="1"/>
          <w:i w:val="1"/>
          <w:iCs w:val="1"/>
          <w:color w:val="auto"/>
        </w:rPr>
        <w:t>Method of Accounting</w:t>
      </w:r>
      <w:r>
        <w:rPr>
          <w:rFonts w:ascii="Times New Roman" w:cs="Times New Roman" w:eastAsia="Times New Roman" w:hAnsi="Times New Roman"/>
          <w:sz w:val="13"/>
          <w:szCs w:val="13"/>
          <w:color w:val="auto"/>
        </w:rPr>
        <w:t>. For federal income tax purposes, the Company currently reports its income and expenses on the accrual method of accounting and uses a fiscal year ending on December 31</w:t>
      </w:r>
      <w:r>
        <w:rPr>
          <w:rFonts w:ascii="Times New Roman" w:cs="Times New Roman" w:eastAsia="Times New Roman" w:hAnsi="Times New Roman"/>
          <w:sz w:val="16"/>
          <w:szCs w:val="16"/>
          <w:color w:val="auto"/>
          <w:vertAlign w:val="superscript"/>
        </w:rPr>
        <w:t>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for filing its federal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income tax return (updated from June 30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xml:space="preserve"> consistent with the Company's change in fiscal year end).</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Net Operating Loss Carryovers</w:t>
      </w:r>
      <w:r>
        <w:rPr>
          <w:rFonts w:ascii="Times New Roman" w:cs="Times New Roman" w:eastAsia="Times New Roman" w:hAnsi="Times New Roman"/>
          <w:sz w:val="13"/>
          <w:szCs w:val="13"/>
          <w:color w:val="auto"/>
        </w:rPr>
        <w:t>. A financial institution may carry back net operating losses to the preceding two taxable years and forward to the succeeding 20 taxable years. This provision applies to losses incurred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taxable years beginning after August 6, 1997. In 2009, IRC 172 (b) (1) was amended to allow businesses to carry back losses incurred in 2008 and 2009 for up to five years to offset 50% of the available income from the fifth year and 100% of the available income for the other four years. At December 31, 2023, we had $10.4 million of net operating loss carryforwards for federal income tax purposes.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Corporate Dividends-Received Deduction. </w:t>
      </w:r>
      <w:r>
        <w:rPr>
          <w:rFonts w:ascii="Times New Roman" w:cs="Times New Roman" w:eastAsia="Times New Roman" w:hAnsi="Times New Roman"/>
          <w:sz w:val="13"/>
          <w:szCs w:val="13"/>
          <w:color w:val="auto"/>
        </w:rPr>
        <w:t>HomeTrust Bancshares, Inc. files a consolidated return with the Bank. As a result, any dividends HomeTrust Bancshares, Inc. receives from the Bank will not be included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income to HomeTrust Bancshares, Inc. The corporate dividends-received deduction is 100%, or 65% in the case of dividends received from corporations with which a corporate recipient does not file a consolidated tax return, depending on the level of stock ownership of the payer of the dividend.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State Taxation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Georgia. </w:t>
      </w:r>
      <w:r>
        <w:rPr>
          <w:rFonts w:ascii="Times New Roman" w:cs="Times New Roman" w:eastAsia="Times New Roman" w:hAnsi="Times New Roman"/>
          <w:sz w:val="13"/>
          <w:szCs w:val="13"/>
          <w:color w:val="auto"/>
        </w:rPr>
        <w:t>The state of Georgia requires banks to file a bank tax return. As a multi-state bank, we pay taxes on the portion of revenue generated within the state. In 2023 and 2022 the tax rate was 5.75%.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North Carolina. </w:t>
      </w:r>
      <w:r>
        <w:rPr>
          <w:rFonts w:ascii="Times New Roman" w:cs="Times New Roman" w:eastAsia="Times New Roman" w:hAnsi="Times New Roman"/>
          <w:sz w:val="13"/>
          <w:szCs w:val="13"/>
          <w:color w:val="auto"/>
        </w:rPr>
        <w:t>The state of North Carolina requires all corporations chartered or doing business in the state to pay a corporate tax. In 2023 and 2022 the tax rate was 2.5%.</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a corporation in North Carolina does business in North Carolina and in one or more other states, North Carolina taxes a fraction of the corporation’s income based on the amount of sales, payroll and property it maintains within North Carolina. North Carolina franchise tax is levied on business corporations at the rate of $1.50 per $1,000 of the largest of the following three alternate bases: (i) the amount of the corporation’s capital stock, surplus and undivided profits apportionable to the state; (ii) 55% of the appraised value of the corporation’s property in the state subject to local taxation; or (iii) the book value of the corporation’s real and tangible personal property in the state less any outstanding debt that was created to acquire or improve real property in the state.</w:t>
      </w:r>
    </w:p>
    <w:p>
      <w:pPr>
        <w:spacing w:after="0" w:line="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Any cash dividends, in excess of a certain exempt amount, that would be paid with respect to HomeTrust Bancshares common stock to a stockholder (including a partnership and certain other entities) who is a resident of North Carolina will be subject to the North Carolina income tax. Any distribution by a corporation from earnings according to percentage ownership is considered a dividend, and the definition of a dividend for North Carolina income tax purposes may not be the same as the definition of a dividend for federal income tax purposes. A corporate distribution may be treated as a dividend for North Carolina income tax purposes if it is paid from funds that exceed the corporation’s earned surplus and profits under certain circumstances.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South Carolina. </w:t>
      </w:r>
      <w:r>
        <w:rPr>
          <w:rFonts w:ascii="Times New Roman" w:cs="Times New Roman" w:eastAsia="Times New Roman" w:hAnsi="Times New Roman"/>
          <w:sz w:val="13"/>
          <w:szCs w:val="13"/>
          <w:color w:val="auto"/>
        </w:rPr>
        <w:t>The state of South Carolina requires banks to file a bank tax return. As a multi-state bank, we pay taxes on the portion of revenue generated within the state. In 2023 and 2022 the tax rate was 4.5%.</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Tennessee</w:t>
      </w:r>
      <w:r>
        <w:rPr>
          <w:rFonts w:ascii="Times New Roman" w:cs="Times New Roman" w:eastAsia="Times New Roman" w:hAnsi="Times New Roman"/>
          <w:sz w:val="13"/>
          <w:szCs w:val="13"/>
          <w:color w:val="auto"/>
        </w:rPr>
        <w:t>. The state of Tennessee requires banks to file a franchise and excise tax form for financial institutions. The franchise tax is based on the portion of revenue generated in the state, the net worth of the Bank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applicable franchise tax, which was $0.25 per $100 in 2023 and 2022. The excise tax is based on the taxable income (as defined by the state), the portion of revenue generated in the state and the applicable excise tax, which was 6.5% in 2023 and 2022.</w:t>
      </w:r>
    </w:p>
    <w:p>
      <w:pPr>
        <w:spacing w:after="0" w:line="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3"/>
          <w:szCs w:val="13"/>
          <w:b w:val="1"/>
          <w:bCs w:val="1"/>
          <w:i w:val="1"/>
          <w:iCs w:val="1"/>
          <w:color w:val="auto"/>
        </w:rPr>
        <w:t>Virginia</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state of Virginia requires banks to file a bank franchise tax. The tax is based on the portion of capital deployed within the state and county level (as defined by the state) and was taxed at $1 per $100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taxable value in 2023 and 2022.</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is subject to taxation via nexus in several other states where we do not have physical locations. The amount paid to these states is immaterial to the financial statements. If the percentage of Company revenues were to increase in these states, our state income tax provision would have an increased effect on our effective tax rate and 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Available Information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The Company’s internet address is </w:t>
      </w:r>
      <w:r>
        <w:rPr>
          <w:rFonts w:ascii="Times New Roman" w:cs="Times New Roman" w:eastAsia="Times New Roman" w:hAnsi="Times New Roman"/>
          <w:sz w:val="13"/>
          <w:szCs w:val="13"/>
          <w:u w:val="single" w:color="auto"/>
          <w:color w:val="auto"/>
        </w:rPr>
        <w:t>www.htb.com</w:t>
      </w:r>
      <w:r>
        <w:rPr>
          <w:rFonts w:ascii="Times New Roman" w:cs="Times New Roman" w:eastAsia="Times New Roman" w:hAnsi="Times New Roman"/>
          <w:sz w:val="13"/>
          <w:szCs w:val="13"/>
          <w:color w:val="auto"/>
        </w:rPr>
        <w:t>. The information contained on our website is not included as a part of, or incorporated by reference into, this Transition Report on Form 10-KT. Other than an investor’s own Internet access charges, we make available free of charge through our website our Transition Report on Form 10-KT, quarterly reports on Form 10-Q and current reports on Form 8-K, and amendments to these reports, as soon as reasonably practicable after we have electronically filed such material with, or furnished such</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color w:val="auto"/>
        </w:rPr>
        <w:t>material to, the SEC.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An investment in our common stock is subject to risks inherent in our business. Before making an investment decision, you should carefully consider the risks and uncertainties described below together with all of the other information included in this report. In addition to the risks and uncertainties described below, other risks and uncertainties not currently known to us or that we currently deem to be immaterial also may materially and adversely affect our business, financial condition and results of operations. The value or market price of our common stock could decline due to any of these identified or other risks, and you could lose all or part of your investment.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Macroeconomic Conditions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Adverse economic conditions in the market areas we serve could adversely impact our earnings and could increase the credit risk associated with our loan portfolio.</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Our primary market areas are concentrated in North Carolina (the Asheville metropolitan area, the "Piedmont" region, Charlotte and Raleigh/Cary), South Carolina (Greenville and Charleston), East Tennessee (Kingsport/Johnson City, Knoxville and Morristown), Southwest Virginia (the Roanoke Valley) and Georgia (Greater Atlanta). Adverse economic conditions in our market areas can reduce our rate of growth, affect our customers’ ability to repay loans and adversely impact our financial condition and earnings. General economic conditions, including inflation, unemployment and money supply fluctuations, also may adversely affect our profitability.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deterioration in economic conditions, particularly within our primary market areas, could result in the following consequences among others, any of which could materially hurt our business:</w:t>
      </w:r>
    </w:p>
    <w:p>
      <w:pPr>
        <w:spacing w:after="0" w:line="16" w:lineRule="exact"/>
        <w:rPr>
          <w:sz w:val="20"/>
          <w:szCs w:val="20"/>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loan delinquencies, problem assets and foreclosures may increase;</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need to increase our ACL;</w:t>
      </w: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slowing of sales and/or the reduction in value of foreclosed assets;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demand for our products and services may decline, possibly resulting in a decrease in our total loans or assets;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collateral for loans may decline further in value, exposing us to increased risk of loss on existing loans and reducing customers’ borrowing power;</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worth and liquidity of loan guarantors may decline, impairing their ability to honor commitments to us; and</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our deposits may decrease and the composition of our deposits may be adversely affected.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December 31, 2023, the most significant portion of our loans located outside of our primary market areas were equipment finance, SBA and purchased HELOCs. As a result, our financial condition and results of operations are subject to general and regional economic conditions and the real estate conditions prevailing in the markets in which the underlying properties securing these loans are located, as well as the conditions in our primary market areas. If economic conditions or the real estate markets decline in the areas where these properties are located, we may suffer decreased net income or losses associated with higher default rates and decreased collateral values on our existing portfolio. Further, because of their geographical diversity, these loans can be more difficult to oversee than loans in our market areas in the event of delinquency.</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 decline in economic conditions may have a greater effect on our earnings and capital than on the earnings and capital of larger financial institutions whose real estate loan portfolios are more geographically diverse. Many of the loans in our portfolio are secured by real estate. Deterioration in the real estate markets where collateral for a mortgage loan is located could negatively affect the borrower’s ability to repay the loan and the value of the collateral securing the loan. Real estate values are affected by various other factors, including changes in governmental rules or policies and natural disasters. If we are required to liquidate a significant amount of collateral during a period of reduced real estate values, our financial condition and profitability could be adversely affected.</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b w:val="1"/>
          <w:bCs w:val="1"/>
          <w:color w:val="auto"/>
        </w:rPr>
        <w:t>A continued weak economic recovery or recessionary conditions could increase our level of nonperforming assets, lower real estate values and reduce demand for loans, which would result in increased loan losses and lower earnings.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Recessionary conditions and/or negative developments in the domestic and international credit markets may significantly affect the markets in which we do business, the value of our loans and investments and our ongoing operations, costs and profitability. Declines in real estate values and sales volumes and higher unemployment levels may result in higher than expected loan delinquencies and a decline in demand for our products and services. These negative events may cause us to incur reduced earnings or even losses</w:t>
      </w:r>
      <w:r>
        <w:rPr>
          <w:rFonts w:ascii="Times New Roman" w:cs="Times New Roman" w:eastAsia="Times New Roman" w:hAnsi="Times New Roman"/>
          <w:sz w:val="13"/>
          <w:szCs w:val="13"/>
          <w:color w:val="008080"/>
        </w:rPr>
        <w:t>,</w:t>
      </w:r>
      <w:r>
        <w:rPr>
          <w:rFonts w:ascii="Times New Roman" w:cs="Times New Roman" w:eastAsia="Times New Roman" w:hAnsi="Times New Roman"/>
          <w:sz w:val="13"/>
          <w:szCs w:val="13"/>
          <w:color w:val="auto"/>
        </w:rPr>
        <w:t xml:space="preserve"> and may adversely affect our capital, liquidity and financial condition.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Inflationary pressures and rising prices may adversely affect our results of operations and financial condition.</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Inflation rose sharply starting at the end of calendar year 2021 to levels not seen in more than 40 years. This rise continued through early calendar year 2023 and remained elevated at the end of 2023. Small- and medium-sized businesses may be impacted more during periods of high inflation, as they are not able to leverage economies of scale to mitigate cost pressures compared to larger businesses. Consequently, the ability of our business customers to repay their loans may deteriorate, and in some cases this deterioration may occur quickly, which would adversely impact our results of operations and financial condition. Furthermore, a prolonged period of inflation could cause wages and other costs to the Company to increase, which could adversely affect our results of operations and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economic impact of the COVID-19 pandemic could continue to adversely affect us.</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COVID-19 pandemic has adversely impacted the global and national economy and certain industries and geographies in which our customers reside and operate. As a result of its ongoing and dynamic nature, it is difficult to predict the full impact of the COVID-19 pandemic on the Company and its customers, employees and third-party service providers. The extent of this impact will depend on future developments which are highly uncertain. Additionally, the responses of various governmental and nongovernmental authorities and consumers to the pandemic may have material long-term effects on the Company and its customers, which are difficult to quantify in the near-term or long-term.</w:t>
      </w:r>
    </w:p>
    <w:p>
      <w:pPr>
        <w:spacing w:after="0" w:line="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could be subject to a number of risks as the result of the COVID-19 pandemic, any of which could have a material adverse effect on our business, financial condition, liquidity and/or results of operations. These risks include, but are not limited to, changes in demand for our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3"/>
          <w:szCs w:val="13"/>
          <w:color w:val="auto"/>
        </w:rPr>
        <w:t>products and services; increased loan losses or other impairments in our loan portfolios and increases in our ACL; a decline in collateral for our loans, especially real estate; unanticipated unavailability of employees; increased cyber security risks to the extent employees work remotely; a prolonged weakness in economic conditions; and increased costs as we and our regulators, customers and third-party service providers adapt to evolving pandemic conditions.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Severe weather and other natural disasters, acts of war or terrorism, new public health issues or other adverse external events could harm our business.</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Severe weather and other natural disasters, acts of war or terrorism, new public health issues or other adverse external events could have a significant impact on our ability to conduct business. Such events could harm our operations through interference with communications, including the interruption or loss of our computer systems, which could prevent or impede us from gathering deposits, originating loans and processing and controlling the flow of business, as well as through the destruction of our facilities and our operational, financial and management information systems. There is no assurance that our business continuity and disaster recovery program can adequately mitigate these risks. Such events could also affect the stability of our deposit base, cause significant property damage, adversely affect our employees, adversely impact the values of collateral securing our loans and/or interfere with our borrowers’ abilities to repay their debt obligations to 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Lending Activities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credit risk associated with residential property.</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At December 31, 2023, $584.4 million, or 16.1% of our total loan portfolio, was secured by liens on one-to-four family residential loans. These types of loans are generally sensitive to regional and local economic conditions that significantly impact the ability of borrowers to meet their loan payment obligations, making loss levels difficult to predict. A decline in residential real estate values resulting from a downturn in the housing markets in which we operate may reduce the value of the real estate collateral securing these types of loans and increase our risk of loss if borrowers default on their loans. Recessionary conditions or declines in the volume of real estate sales and/or sales prices coupled with elevated unemployment rates may result in higher than expected loan delinquencies or problem assets, and a decline in demand for our products and services. These potential negative events may cause us to incur losses, adversely affect our capital and liquidity and damage our financial condition and business operations.</w:t>
      </w:r>
    </w:p>
    <w:p>
      <w:pPr>
        <w:spacing w:after="0" w:line="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majority of our residential loans are “non-conforming” because they are adjustable rate mortgages that contain interest rate floors or do not satisfy credit or other requirements due to personal and financial reasons (e.g., divorce, bankruptcy, length of time employed, etc.), conforming loan limits (i.e., jumbo mortgages), and other requirements imposed by secondary market purchasers. Some of these borrowers have higher debt-to-income ratios, or the loans are secured by unique properties in rural markets for which there are no sales of comparable properties to support the value according to secondary market requirements. We may require additional collateral or lower loan-to-value ratios to reduce the risk of these loans. We believe that these loans satisfy a need in our local market areas. As a result, subject to market conditions, we intend to continue to originate these types of loans.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High loan-to-value ratios on a portion of our residential mortgage loan portfolio expose us to greater risk of loss.</w:t>
      </w:r>
    </w:p>
    <w:p>
      <w:pPr>
        <w:spacing w:after="0" w:line="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Many of our one-to-four family loans and home equity lines of credit are secured by liens on mortgage properties in which the borrowers have little or no equity because of home value declines in our market areas in prior years. Residential loans with high combined loan-to-value ratios will be more sensitive to declining property values than those with lower combined loan-to-value ratios and therefore may experience a higher incidence of default and severity of losses. In addition, if the borrowers sell their homes, they may be unable to repay their loans in full from the sale proceeds. Further, a majority of our home equity lines of credit consist of second mortgage loans. For those home equity lines secured by a second mortgage, it is unlikely that we will be successful in recovering all or a portion of our loan proceeds in the event of default unless we are prepared to repay the first mortgage loan and such repayment and the costs associated with a foreclosure are justified by the value of the property. For these reasons, we may experience higher rates of delinquency, default and loss.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non-owner occupied real estate loans may expose us to increased credit risk.</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At December 31, 2023, $151.3 million, or 25.9% of our one-to-four family loans and 4.2% of our total loan portfolio, consisted of loans secured by non-owner occupied residential properties. Loans secured by non-owner occupied properties generally expose a lender to greater risk of non-payment and loss than loans secured by owner occupied properties because repayment of such loans depends primarily on the tenant’s continuing ability to pay rent to the property owner who is our borrower, or, if the property owner is unable to find a tenant, the property owner’s ability to repay the loan without the benefit of a rental income stream. In addition, the physical condition of non-owner occupied properties is often below that of owner occupied properties due to lax property maintenance standards, which has a negative impact on the value of the collateral properties. Furthermore, some of our non-owner occupied residential loan borrowers have more than one loan outstanding with the Bank, which may expose us to a greater risk of loss compared to an adverse development with respect to an owner occupied residential mortgage loan.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construction and land development loans have a higher risk of loss than residential or commercial real estate loans.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December 31, 2023, construction and land development loans in our residential real estate loan portfolio were $96.6 million, or 2.7% of our total loan portfolio, and consisted primarily of construction to permanent loans to homeowners building a residence or developing lots in residential subdivisions intending to construct a residence within one year. Construction and development loans in our commercial real estate loan portfolio at December 31, 2023, totaled $305.3 million, or 8.4% of our total loan portfolio, and consisted of loans to contractors and builders primarily to finance the construction of single and multifamily homes, subdivisions, as well as commercial properties. We originate these loans whether or not the collateral property underlying the loan is under contract for sale.</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Construction and land development lending involves additional risks when compared with permanent residential or commercial real estate lending because funds are advanced based on an estimate of costs that will produce a future value at completion. Because of the uncertainties inherent in estimating construction costs, as well as the market value of the complete project and the effects of governmental regulation on real property, it is relatively difficult to accurately evaluate the total funds required to complete a project and the completed project loan-to-value ratio. Changes in demand for new housing or commercial buildings and higher than anticipated building costs, may cause actual results to vary significantly from those estimated. This type of lending also typically involves higher loan principal amounts and is often concentrated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3"/>
          <w:szCs w:val="13"/>
          <w:color w:val="auto"/>
        </w:rPr>
        <w:t>with loans to a small number of builders. For these reasons, a downturn in housing or the real estate market could increase loan delinquencies, defaults and foreclosures and significantly impair the value of the collateral underlying our construction and land development loans and our ability to sell the collateral upon foreclosure. Some of the builders we deal with have more than one loan outstanding with us. Consequently, an adverse development with respect to one loan or one credit relationship can expose us to a significantly greater risk of loss.</w:t>
      </w:r>
    </w:p>
    <w:p>
      <w:pPr>
        <w:spacing w:after="0" w:line="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In addition, during the term of some of our construction and land development loans, no payment from the borrower is required since the accumulated interest is added to the principal of the loan through an interest reserve. As a result, these loans often involve the disbursement of funds with repayment substantially dependent on the success of the ultimate project and the ability of the borrower to sell or lease the property or obtain permanent take-out financing, rather than the ability of the borrower or guarantor to repay principal and interest. If our appraisal of the value of a completed project proves to be overstated, we may have inadequate security for the repayment of the loan upon completion of construction of the project and may incur a loss. Because construction loans require active monitoring of the building process, including cost comparisons and on-site inspections, these loans are more difficult and costly to monitor. In addition, increases in market rates of interest may have a more pronounced effect on construction loans by rapidly increasing the end-purchasers' borrowing costs, thereby reducing the overall demand for the project.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and assume the market risk of selling the project at a future market price, which may or may not enable us to fully recover unpaid loan funds and associated construction and liquidation costs. Furthermore, in the case of speculative construction loans, there is the added risk associated with identifying an end-purchaser for the finished project. At December 31, 2023, $86.2 million of our construction and land development loans were for speculative construction and none were classified as nonaccruing.</w:t>
      </w:r>
    </w:p>
    <w:p>
      <w:pPr>
        <w:spacing w:after="0" w:line="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Loans on land under development or held for future construction as well as lot loans made to individuals for the future construction of a residence also pose additional risk because the length of time from financing to completion of a development project is significantly longer than for a traditional construction loan. This makes them more susceptible to declines in real estate values, declines in overall economic conditions, which may delay the development of the land, changes in the political landscape that could affect the permitted and intended use of the land being financed, and the potential illiquid nature of the collateral. In addition, during this long period of time from financing to completion, the collateral often does not generate any cash flow to support debt service.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commercial real estate loans involve higher principal amounts than other loans and repayment of these loans may be dependent on factors outside our control or the control of our borrowers.</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While commercial real estate lending may potentially be more profitable than single-family residential lending, it is generally more sensitive to regional and local economic conditions, making loss levels more difficult to predict. Collateral evaluation and financial statement analysis in these types of loans require a more detailed analysis at the time of loan underwriting and on an ongoing basis. At December 31, 2023, commercial real estate loans were $1.8 billion, or 49.6% of our total loan portfolio, including multifamily loans totaling $88.6 million or 2.4% of our total loan portfolio. These loans typically involve higher principal amounts than other types of loans and some of our commercial borrowers have more than one loan outstanding with us. Consequently, an adverse development with respect to one loan or one credit relationship can expose us to a significantly greater risk of loss compared to an adverse development with respect to a one-to-four family residential mortgage loan. Repayment of these loans is dependent upon income being generated from the property securing the loan in amounts sufficient to cover operating expenses and debt service, which may be adversely affected by changes in the economy or local market conditions. Commercial real estate loans also expose a lender to greater credit risk than loans secured by one-to-four family residential real estate because the collateral securing these loans typically cannot be sold as easily as residential real estate. In addition, many of our commercial real estate loans are not fully amortizing and contain large balloon payments upon maturity. Such balloon payments may require the borrower to either sell or refinance the underlying property in order to make the payment, which may increase the risk of default or non-payment. At December 31, 2023, commercial real estate loans that were nonperforming totaled $5.0 million, or 25.9% of our total nonperforming loans.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 secondary market for most types of commercial real estate loans is not readily available, so we have less opportunity to mitigate credit risk by selling part or all of our interest in these loans. As a result of these characteristics, if we foreclose on a commercial real estate loan, our holding period for the collateral typically is longer than for one-to-four family residential loans because there are fewer potential purchasers of the collateral. Additionally, charge-offs on commercial real estate loans may be larger on a per loan basis than those incurred with our residential and consumer loan portfolios.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level of our commercial real estate loan portfolio may subject us to additional regulatory scrutiny.</w:t>
      </w:r>
    </w:p>
    <w:p>
      <w:pPr>
        <w:spacing w:after="0" w:line="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FDIC, the Federal Reserve and the Office of the Comptroller of the Currency have promulgated joint guidance on sound risk management practices for financial institutions with concentrations in commercial real estate lending. Under this guidance, a financial institution that, like us, is actively involved in commercial real estate lending should perform a risk assessment to identify concentrations. A financial institution may have a concentration in commercial real estate lending if, among other factors (i) total reported loans for construction, land development and other land represent 100% or more of total capital, or (ii) total reported loans secured by multifamily and non-farm/non-residential properties, loans for construction, land development and other land and loans otherwise sensitive to the general commercial real estate market, including loans to commercial real estate related entities, represent 300% or more of total capital. Our total loans for multifamily, non-farm/non-residential, construction, land development and other land represented 258.6% of total risk-based capital at December 31, 2023. The particular focus of the guidance is on exposure to commercial real estate loans that are dependent on the cash flow from the real estate held as collateral and that are likely to be at greater risk to conditions in the commercial real estate market (as opposed to real estate collateral held as a secondary source of repayment or as an abundance of caution). The purpose of the guidance is to assist banks in developing risk management practices and capital levels commensurate with the level and nature of real estate concentrations. The guidance states that management should employ heightened risk management practices including Board and management oversight and strategic planning, development of underwriting standards, risk assessment and monitoring through market analysis and stress testing. While not exceeding the 300% of capital threshold, we have implemented what we believe are policies and procedures with respect to our commercial real estate loan portfolio consistent with this guidance. Bank regulators could, however, require us to implement additional policies and procedures pursuant to their interpretation of the guidance that may result in additional costs to us.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color w:val="auto"/>
        </w:rPr>
        <w:t>Our equipment finance and auto finance lending increases our exposure to lending risks.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December 31, 2023, $465.6 million and $107.0 million, or 12.8% and 2.9% of our total loan portfolio, consisted of equipment finance and indirect auto finance loans, respectively. Equipment finance and indirect auto finance loans are inherently risky as they are secured by assets that depreciate rapidly. In some cases, repossessed collateral for transportation and construction loans, and manufacturing equipment for equipment finance loans may not provide an adequate source of repayment for the outstanding loan and the remaining deficiency may not warrant further substantial collection efforts against the borrower. Equipment finance loan collections depend on the borrower's continuing financial stability and, therefore, are more likely to be adversely affected by the cash flows of the borrower's business within certain industries.</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Specific to the equipment finance portfolio, during the six months ended December 31, 2023, our balances of both nonaccrual loans and net charge-offs increased significantly due to pressure in the over-the-road trucking sector. These pressures were most prevalent in loans to smaller operators which had an outstanding balance of $56.2 million as of December 31, 2023. Of this amount, $34.4 million of loans originated in calendar years 2021 and 2022 currently present the greatest risk as equipment prices were elevated during that time and have since declined. See "Part II, Item 7. Management’s Discussion and Analysis of Financial Condition and Results of Operations", specifically the "Nonperforming Assets" section, for additional information about changes in problem loans and actions taken to address this risk.</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Lastly, as announced in our Current Report on Form 8-K filed on January 24, 2024, we decided to cease indirect auto originations effective by the end of the quarter ending March 31, 2024. The collectibility of the existing portfolio of auto loans depends on the borrower’s continuing financial stability, and therefore are more likely to be adversely affected by job loss, divorce, illness, or personal bankruptcy.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Repayment of our municipal leases is dependent on fire departments receiving tax revenues from counties/municipalities.</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At December 31, 2023, municipal leases were $150.3 million, or 4.1% of our total loan portfolio. We offer ground and equipment lease financing to fire departments located throughout North Carolina and, to a lesser extent, South Carolina. Repayment of our municipal leases is often dependent on the tax revenues collected by the county/municipality on behalf of the fire department. Although a municipal lease does not constitute a general obligation of the county/municipality for which the county/municipality's taxing power is pledged, a municipal lease is ordinarily backed by the county/municipality's covenant to budget for, appropriate and pay the tax revenues to the fire department. However, certain municipal leases contain "non-appropriation" clauses which provide that the municipality has no obligation to make lease or installment purchase payments in future years unless money is appropriated for that purpose on a yearly basis. In the case of a "non-appropriation" lease, our ability to recover under the lease in the event of non-appropriation or default will be limited solely to the repossession of the leased property, without recourse to the general credit of the lessee, and disposition or releasing of the property might prove difficult. At December 31, 2023, $24.2 million of our municipal leases contained a non-appropriation clause.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allowance for credit losses may prove to be insufficient to absorb losses in our loan portfolio.</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Lending money is a substantial part of our business, and each loan carries a certain risk that it will not be repaid in accordance with its terms, or that any underlying collateral will not be sufficient to assure repayment. This risk is affected by, among other things:</w:t>
      </w:r>
    </w:p>
    <w:p>
      <w:pPr>
        <w:ind w:left="260" w:hanging="19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flow of the borrower and/or the project being financed;</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collateralized loan, changes and uncertainties as to the future value of the collateral;</w:t>
      </w:r>
    </w:p>
    <w:p>
      <w:pPr>
        <w:ind w:left="260" w:hanging="19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duration of the loan;</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character and creditworthiness of a particular borrower; and</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economic and industry conditions.</w:t>
      </w:r>
    </w:p>
    <w:p>
      <w:pPr>
        <w:spacing w:after="0" w:line="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We maintain an ACL, established through a provision for expected losses charged against income, which we believe is appropriate to provide for lifetime ECLs in our loan portfolio. The amount of this ACL is determined by our management through periodic reviews and consideration of several factors, including, but not limited to:</w:t>
      </w:r>
    </w:p>
    <w:p>
      <w:pPr>
        <w:ind w:left="260" w:hanging="191"/>
        <w:spacing w:after="0" w:line="244" w:lineRule="auto"/>
        <w:tabs>
          <w:tab w:leader="none" w:pos="25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reserve on loans collectively evaluated, based on peer loss experience, which management believes provides the best basis for its assessment of ECLs, and consideration of the effects of past events, current conditions and reasonable and supportable forecasts on the collectability of the loan portfolio;</w:t>
      </w:r>
    </w:p>
    <w:p>
      <w:pPr>
        <w:ind w:left="260" w:hanging="191"/>
        <w:spacing w:after="0"/>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qualitative reserve based on factors that are relevant within the qualitative framework; and</w:t>
      </w:r>
    </w:p>
    <w:p>
      <w:pPr>
        <w:spacing w:after="0" w:line="1" w:lineRule="exact"/>
        <w:rPr>
          <w:rFonts w:ascii="Times New Roman" w:cs="Times New Roman" w:eastAsia="Times New Roman" w:hAnsi="Times New Roman"/>
          <w:sz w:val="13"/>
          <w:szCs w:val="13"/>
          <w:color w:val="auto"/>
        </w:rPr>
      </w:pPr>
    </w:p>
    <w:p>
      <w:pPr>
        <w:ind w:left="260" w:hanging="191"/>
        <w:spacing w:after="0" w:line="253" w:lineRule="auto"/>
        <w:tabs>
          <w:tab w:leader="none" w:pos="25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reserve on loans individually evaluated for loans no longer sharing similar risk characteristics, which is based on a DCF analysis unless the loan meets the criteria for use of the fair value of collateral, either by virtue of an expected foreclosure or through meeting the definition of collateral dependent.</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determination of the appropriate level of the ACL inherently involves a high degree of subjectivity and requires us to make significant estimates of current credit risks and future trends, all of which may undergo material changes. If our estimates are incorrect, the ACL may not be sufficient to cover the expected losses in our loan portfolio, resulting in the need for increases in our ACL. Management also recognizes that significant new growth in loan portfolios, new loan products and the refinancing of existing loans can result in portfolios comprised of unseasoned loans that may not perform in a historical or projected manner and will increase the risk that our ACL may be insufficient to absorb losses without significant additional provisions.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bank regulatory agencies periodically review our ACL and may require an increase in the provision for credit losses or the recognition of further loan charge-offs based on judgments different than those of management. If charge-offs in future periods exceed the ACL, we may need additional provisions to increase the ACL. Any increases in the ACL will result in a decrease in net income and possibly capital and may have a material adverse effect on our financial condition and results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our nonperforming assets increase, our earnings will be adversely affected.</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nonperforming assets (which consist of nonaccruing loans and OREO) were $19.3 million, or 0.41% of total assets, at December 31, 2023, compared to $8.3 million, or 0.18% of total assets, at June 30, 2023, respectively. Our nonperforming assets adversely affect our net income in various ways:</w:t>
      </w:r>
    </w:p>
    <w:p>
      <w:pPr>
        <w:spacing w:after="0" w:line="1" w:lineRule="exact"/>
        <w:rPr>
          <w:sz w:val="20"/>
          <w:szCs w:val="20"/>
          <w:color w:val="auto"/>
        </w:rPr>
      </w:pPr>
    </w:p>
    <w:p>
      <w:pPr>
        <w:ind w:left="260" w:hanging="191"/>
        <w:spacing w:after="0"/>
        <w:tabs>
          <w:tab w:leader="none" w:pos="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record interest income only on a cash basis for nonaccrual loans and any nonperforming debt securities, and do not record interest income for OREO;</w:t>
      </w:r>
    </w:p>
    <w:p>
      <w:pPr>
        <w:spacing w:after="0" w:line="299" w:lineRule="exact"/>
        <w:rPr>
          <w:rFonts w:ascii="Times New Roman" w:cs="Times New Roman" w:eastAsia="Times New Roman" w:hAnsi="Times New Roman"/>
          <w:sz w:val="13"/>
          <w:szCs w:val="13"/>
          <w:color w:val="auto"/>
        </w:rPr>
      </w:pPr>
    </w:p>
    <w:p>
      <w:pPr>
        <w:ind w:left="55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16" w:name="page17"/>
    <w:bookmarkEnd w:id="16"/>
    <w:p>
      <w:pPr>
        <w:ind w:left="260" w:hanging="191"/>
        <w:spacing w:after="0"/>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must provide for ECLs through a current period charge to the provision for credit losses;</w:t>
      </w:r>
    </w:p>
    <w:p>
      <w:pPr>
        <w:spacing w:after="0" w:line="13"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noninterest expense increases when we write down the value of properties in our OREO portfolio to reflect changing market values or recognize credit impairment on nonperforming debt securities;</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legal fees associated with the resolution of problem assets, as well as carrying costs such as taxes, insurance and maintenance fees related to our OREO; and</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resolution of nonperforming assets requires the active involvement of management, a distraction from more profitable activity.</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If additional borrowers become delinquent and do not pay their loans and we are unable to successfully manage our nonperforming assets, our losses and troubled assets could increase significantly, which could have a material adverse effect on our financial condition and results of operations.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If our OREO is not properly valued or sufficiently reserved to cover actual losses, or if we are required to increase our valuation reserves, our earnings could be reduced.</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We obtain updated valuations in the form of appraisals and broker price opinions when a loan has been foreclosed upon and the property is taken in as OREO, and at certain other times during the asset’s holding period. Our NBV in the loan at the time of foreclosure and thereafter is compared to the updated market value of the foreclosed property less estimated selling costs (fair value). A charge-off is recorded for any excess in the asset’s NBV over its fair value. If our valuation process is incorrect, or if property values decline, the fair value of our OREO may not be sufficient to recover our carrying value in such assets, resulting in the need for additional charge-offs. Significant charge-offs to our OREO could have a material adverse effect on our financial condition and results of operations.</w:t>
      </w:r>
    </w:p>
    <w:p>
      <w:pPr>
        <w:spacing w:after="0" w:line="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bank regulators periodically review our OREO and may require us to recognize further charge-offs. Any increase in our write-downs may have a material adverse effect on our financial condition, liquidity and 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Market Interest Rates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Fluctuating interest rates can adversely affect our profitability.</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earnings and cash flows are largely dependent upon our net interest income, which is the difference, or spread, between the interest earned on loans, securities and other interest-earning assets and the interest paid on deposits, borrowings and other interest-bearing liabilities. Interest rates are highly sensitive to many factors that are beyond our control, including general economic conditions and policies of various governmental and regulatory agencies and, in particular, the Federal Reserve. In March 2020, in response to the COVID-19 pandemic, the Federal Open Market Committee (“FOMC”) of the Federal Reserve reduced the targeted federal funds rate 150 basis points to a range of 0.00% to 0.25%. The reduction in the targeted federal funds rate resulted in a decline in overall interest rates which negatively impacted our net interest income. Starting in March 2022, the FOMC has increased the targeted federal funds rate 11 separate times, raising the rate by 525 basis points to a range of 5.25% to 5.50%. If the FOMC further increases the targeted federal funds rates, overall interest rates will likely rise, which may continue to negatively impact both the housing market, by reducing refinancing activity and new home purchases, and the U.S. economy. In addition, deflationary pressures, while possibly lowering our operational costs, could have a significant negative effect on our borrowers, especially our business borrowers, and the values of collateral securing loans, which could negatively affect our financial performance.</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principally manage interest rate risk by managing our volume and mix of earning assets and funding liabilities. Changes in monetary policy, including changes in interest rates, could influence not only the interest we receive on loans and investments and the amount of interest we pay on deposits and borrowings, but also (i) our ability to originate loans and obtain deposits, (ii) the fair value of our financial assets and liabilities, which could negatively impact stockholders' equity and our ability to realize gains from the sale of such assets; (iii) our ability to obtain and retain deposits in competition with other available investment alternatives; (iv) the ability of our borrowers to repay adjustable or variable rate loans; and (v) the average duration of our debt securities portfolio and other interest-earning assets.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In a changing interest rate environment we may not be able to manage this risk effectively. If we are unable to manage interest rate risk effectively, our business, financial condition and results of operations could be materially affected.</w:t>
      </w:r>
    </w:p>
    <w:p>
      <w:pPr>
        <w:spacing w:after="0" w:line="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Changes in interest rates could also have a negative impact on our results of operations by reducing the ability of borrowers to repay their current loan obligations (generally, if rates increase) or by reducing our margins and profitability (generally, if rates decrease). Our net interest margin is the difference between the yield we earn on our assets and the interest rate we pay for deposits and our other sources of funding. Changes in interest rates, up or down, could adversely affect our net interest margin and, as a result, our net interest income. Although the yield we earn on our assets and our funding costs tend to move in the same direction in response to changes in interest rates, one can rise or fall faster than the other, causing our net interest margin to expand or contract. When we anticipate a rising-rate environment, we work to adjust our assets to be shorter in duration than our liabilities, so they may adjust faster in response to changes in interest rates. As a result, when interest rates decline, the yield we earn on our assets may decline faster than the rate we pay on funding, causing our net interest margin to contract until the interest rates on interest-bearing liabilities catch up. When we anticipate a declining-rate environment, we work to adjust our liabilities to be shorter in duration than our assets, so they may adjust faster in response to changes in interest rates. As a result, when interest rates rise, our funding costs may rise faster than the yield we earn on our assets, causing our net interest margin to contract until the yields on interest-earning assets catch up. Changes in the slope of the “yield curve”, or the spread between short-term and long-term interest rates, could also reduce our net interest margin. Normally, the yield curve is upward sloping, meaning short-term rates are lower than long-term rates. Because our liabilities tend to be shorter in duration than our assets in periods where we anticipate a declining-rate environment, when the yield curve flattens or even inverts, we will experience pressure on our net interest margin as our cost of funds increases relative to the yield we can earn on our assets. Also,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investments, which would likely hurt our income.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7" w:name="page18"/>
    <w:bookmarkEnd w:id="17"/>
    <w:p>
      <w:pPr>
        <w:jc w:val="both"/>
        <w:spacing w:after="0" w:line="250" w:lineRule="auto"/>
        <w:rPr>
          <w:sz w:val="20"/>
          <w:szCs w:val="20"/>
          <w:color w:val="auto"/>
        </w:rPr>
      </w:pPr>
      <w:r>
        <w:rPr>
          <w:rFonts w:ascii="Times New Roman" w:cs="Times New Roman" w:eastAsia="Times New Roman" w:hAnsi="Times New Roman"/>
          <w:sz w:val="13"/>
          <w:szCs w:val="13"/>
          <w:color w:val="auto"/>
        </w:rPr>
        <w:t>A sustained increase in market interest rates, such as the increases experienced during calendar year 2022 and early 2023, could adversely affect our earnings. A significant portion of our loans have fixed interest rates and longer terms than our deposits and borrowings. As is the case with many other financial institutions, our emphasis on increasing the development of core deposits, those deposits bearing no or a relatively low rate of interest with no stated maturity date, resulted in our having a significant amount of these deposits, which have a shorter duration than our assets. At December 31, 2023, we had $813.0 million in certificates of deposit that mature within one year and $2.8 billion in checking, savings and money market accounts with no stated maturity. We have incurred and may continue to incur a higher cost of funds to retain these deposits in a rising interest rate environment or one that is maintained for a significant period of time at a historically high rate of interest, as well as supplementing any runoff with other types of borrowings also at a higher cost of funds. Our net interest income has been and could continue to be adversely affected if the rates we pay on deposits and borrowings increase more rapidly than the rates we earn on loans and other investments.</w:t>
      </w:r>
    </w:p>
    <w:p>
      <w:pPr>
        <w:spacing w:after="0" w:line="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a substantial amount of our loans have adjustable interest rates. As a result, these loans may experience a higher rate of default in a rising interest rate environment. Further, a significant portion of our adjustable rate loans have interest rate floors below which the loan’s contractual interest rate may not adjust. As of December 31, 2023, our loans with interest rate floors totaled approximately $650.9 million, or 17.9% of our total loan portfolio, and had a weighted average floor rate of 5.14%, of which $46.9 million were at their floor rate. The inability of our loans to adjust downward can contribute to increased income in periods of declining interest rates, although this result is subject to the risks that borrowers may refinance these loans during such periods. Also, when loans are at their floors, there is a further risk that our interest income may not increase as rapidly as our cost of funds during periods of increasing interest rates, which could have a material adverse effect on our results of operations.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Changes in interest rates also affect the value of our interest-earning assets and in particular our debt securities portfolio. Generally, the fair values of fixed-rate debt securities fluctuate inversely with changes in interest rates. Unrealized gains and losses on debt securities available for sale are reported as a separate component of stockholders' equity, net of tax. Decreases in the fair value of debt securities available for sale resulting from increases in interest rates could have an adverse effect on stockholders’ equity.</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Although management believes it has implemented effective asset and liability management strategies to reduce the potential effects of changes in interest rates on our results of operations, any substantial, unexpected or prolonged change in market interest rates could have a material adverse effect on our financial condition, liquidity and results of operations. Also, our interest rate risk modeling techniques and assumptions likely may not fully predict or capture the impact of actual interest rate changes on our consolidated balance sheet or projected operating results. For further discussion of how changes in interest rates could impact us, see "Part II, Item 7A. Quantitative and Qualitative Disclosures About Market Risk" for additional information about our interest rate risk management.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incur losses on our securities portfolio due to factors beyond our control, including changes in interest rates.</w:t>
      </w:r>
    </w:p>
    <w:p>
      <w:pPr>
        <w:spacing w:after="0" w:line="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or other adverse events affecting the issuer or the underlying securities, and changes in market interest rates and continued instability in the capital markets. Any of these factors, among others, and any changes to the Company's intent or ability to hold the securities until such securities recover in value could cause impairments and realized and/or unrealized losses in future periods and declines in other comprehensive income, which could have an adverse effect on our business, financial condition and results of operations. The process for determining whether the decline in fair value below the amortized cost basis (impairment) is due to credit-related factors or noncredit-related factors usually requires complex, subjective judgments about the future financial performance and liquidity of the issuer and any collateral underlying the security to assess the probability of receiving all contractual principal and interest payments on the security. Furthermore, there can be no assurance that the declines in market value will not result in impairments of these assets and lead to accounting charges that could have a material adverse effect on our net income and capital levels. Any impairment that is not credit-related is recognized in other comprehensive income, net of applicable taxes. Credit-related impairment is recognized as an ACL on the balance sheet, limited to the amount by which the amortized cost basis exceeds the fair value, with a corresponding adjustment to earnings. As of December 31, 2023, an ACL was not deemed necessary by the Company for credit-related impairment on our securities portfolio.</w:t>
      </w:r>
    </w:p>
    <w:p>
      <w:pPr>
        <w:spacing w:after="0" w:line="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b w:val="1"/>
          <w:bCs w:val="1"/>
          <w:color w:val="auto"/>
        </w:rPr>
        <w:t>Changes in the programs offered by GSEs, our ability to qualify for such programs, and changes in interest rates may affect our gains on sale of loans held for sale, which could negatively impact our noninterest income.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mortgage banking and SBA lending operations provide a significant portion of our noninterest income. We generate mortgage revenues primarily from gains on the sale of single-family residential loans pursuant to programs currently offered by Fannie Mae, Freddie Mac, Ginnie Mae and other investors. These entities account for a substantial portion of the secondary market in residential mortgage loans. We also generate commercial business loan revenues from gains on the sale of the guaranteed portion of SBA and business and industry loans pursuant to programs currently offered by the SBA and USDA B&amp;I. Any future changes in these programs, significant impairment of our eligibility to participate in such programs, the criteria for loans to be accepted or laws that significantly affect the activity of such entities could, in turn, result in a lower volume of corresponding loan originations or increase other administrative costs, which may materially adversely affect our results of operations.</w:t>
      </w:r>
    </w:p>
    <w:p>
      <w:pPr>
        <w:spacing w:after="0" w:line="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Mortgage production, especially refinancing, generally declines in rising interest rate environments, resulting in fewer loans that are available to be sold to investors. When interest rates rise, or even if they do not, there can be no assurance that our mortgage production will continue at current levels. The profitability of our mortgage banking operations depends in large part upon our ability to aggregate a high volume of loans and sell them in the secondary market at a gain. Thus, in addition to the interest rate environment, our mortgage business is dependent upon (i) the existence of an active secondary market and (ii) our ability to profitably sell loans into that market. Similar to mortgage production, our SBA and USDA B&amp;I operations are dependent upon (i) and (ii) previously mentioned. The loans in our held-for-sale portfolio are carried at either fair market value or the lower of cost or fair market value less estimated costs to sell, with changes recognized in our statement of operations. Carrying the loans at fair value may also increase the volatility in our earnings.</w:t>
      </w:r>
    </w:p>
    <w:p>
      <w:pPr>
        <w:spacing w:after="0" w:line="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our results of operations are affected by the amount of noninterest expense associated with mortgage banking and SBA lending activities, such as salaries and employee benefits, occupancy, equipment and data processing expense and other operating costs. During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3"/>
          <w:szCs w:val="13"/>
          <w:color w:val="auto"/>
        </w:rPr>
        <w:t>periods of reduced loan demand, our results of operations may be adversely affected to the extent that we are unable to reduce expenses commensurate with the decline in loan originations. Also, although we sell loans into the secondary market without recourse, we are required to give customary representations and warranties about the loans to the buyers. If we breach those representations and warranties, the buyers may require us to repurchase the loans and we may incur a loss on the repurchase.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Acquisition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strategy of pursuing acquisitions exposes us to financial, execution and operational risks that could adversely affect us.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have implemented a strategy of supplementing organic growth by acquiring other financial institutions or other businesses that we believe will help us fulfill our strategic objectives and enhance our earnings; however, there are risks associated with this strategy, including the following:</w:t>
      </w:r>
    </w:p>
    <w:p>
      <w:pPr>
        <w:ind w:left="260" w:hanging="191"/>
        <w:spacing w:after="0" w:line="244" w:lineRule="auto"/>
        <w:tabs>
          <w:tab w:leader="none" w:pos="25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exposed to potential asset quality issues or unknown or contingent liabilities of the banks, businesses, assets and liabilities we acquire. If these issues or liabilities exceed our estimates, our results of operations and financial condition may be materially negatively affected.</w:t>
      </w:r>
    </w:p>
    <w:p>
      <w:pPr>
        <w:ind w:left="260" w:hanging="191"/>
        <w:spacing w:after="0"/>
        <w:tabs>
          <w:tab w:leader="none" w:pos="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at which future acquisitions can be made may not be acceptable to us.</w:t>
      </w:r>
    </w:p>
    <w:p>
      <w:pPr>
        <w:spacing w:after="0" w:line="1" w:lineRule="exact"/>
        <w:rPr>
          <w:rFonts w:ascii="Times New Roman" w:cs="Times New Roman" w:eastAsia="Times New Roman" w:hAnsi="Times New Roman"/>
          <w:sz w:val="13"/>
          <w:szCs w:val="13"/>
          <w:color w:val="auto"/>
        </w:rPr>
      </w:pPr>
    </w:p>
    <w:p>
      <w:pPr>
        <w:ind w:left="260" w:hanging="191"/>
        <w:spacing w:after="0" w:line="246" w:lineRule="auto"/>
        <w:tabs>
          <w:tab w:leader="none" w:pos="25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growth initiatives may require us to recruit experienced personnel to assist in such initiatives. The failure to identify and retain such personnel would place significant limitations on our ability to execute our growth strategy.</w:t>
      </w:r>
    </w:p>
    <w:p>
      <w:pPr>
        <w:spacing w:after="0" w:line="1"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strategic efforts may divert resources or management’s attention from ongoing business operations and may subject us to additional regulatory scrutiny.</w:t>
      </w:r>
    </w:p>
    <w:p>
      <w:pPr>
        <w:spacing w:after="0" w:line="6" w:lineRule="exact"/>
        <w:rPr>
          <w:rFonts w:ascii="Times New Roman" w:cs="Times New Roman" w:eastAsia="Times New Roman" w:hAnsi="Times New Roman"/>
          <w:sz w:val="13"/>
          <w:szCs w:val="13"/>
          <w:color w:val="auto"/>
        </w:rPr>
      </w:pPr>
    </w:p>
    <w:p>
      <w:pPr>
        <w:jc w:val="both"/>
        <w:ind w:left="260" w:hanging="191"/>
        <w:spacing w:after="0" w:line="243" w:lineRule="auto"/>
        <w:tabs>
          <w:tab w:leader="none" w:pos="25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of other entities generally requires integration of systems, procedures and personnel of the acquired entity into our company to make the transaction economically successful. This integration process is complicated and time-consuming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to the extent expected or within the expected time frame, and we may lose customers or employees of the acquired business. We may also experience greater than anticipated customer losses even if the integration process is successful.</w:t>
      </w:r>
    </w:p>
    <w:p>
      <w:pPr>
        <w:spacing w:after="0" w:line="2"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finance a future acquisition, we may borrow funds, thereby increasing our leverage and diminishing our liquidity, or raise additional capital, which could dilute the interests of our existing stockholders.</w:t>
      </w:r>
    </w:p>
    <w:p>
      <w:pPr>
        <w:spacing w:after="0" w:line="6" w:lineRule="exact"/>
        <w:rPr>
          <w:rFonts w:ascii="Times New Roman" w:cs="Times New Roman" w:eastAsia="Times New Roman" w:hAnsi="Times New Roman"/>
          <w:sz w:val="13"/>
          <w:szCs w:val="13"/>
          <w:color w:val="auto"/>
        </w:rPr>
      </w:pPr>
    </w:p>
    <w:p>
      <w:pPr>
        <w:ind w:left="260" w:hanging="191"/>
        <w:spacing w:after="0"/>
        <w:tabs>
          <w:tab w:leader="none" w:pos="25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completed six acquisitions during the past 10 years that enhanced our rate of growth. We may not be able to continue to maintain our past rate of growth or to grow at all in the future, even if we do have additional acquisitions.</w:t>
      </w:r>
    </w:p>
    <w:p>
      <w:pPr>
        <w:spacing w:after="0" w:line="1" w:lineRule="exact"/>
        <w:rPr>
          <w:rFonts w:ascii="Times New Roman" w:cs="Times New Roman" w:eastAsia="Times New Roman" w:hAnsi="Times New Roman"/>
          <w:sz w:val="13"/>
          <w:szCs w:val="13"/>
          <w:color w:val="auto"/>
        </w:rPr>
      </w:pPr>
    </w:p>
    <w:p>
      <w:pPr>
        <w:jc w:val="both"/>
        <w:ind w:left="260" w:hanging="191"/>
        <w:spacing w:after="0" w:line="254" w:lineRule="auto"/>
        <w:tabs>
          <w:tab w:leader="none" w:pos="25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expect our net income will increase following our acquisitions; however, we also expect our general and administrative expenses, and consequently our efficiency rates, will also increase. Ultimately, we would expect our efficiency ratio to improve; however, if we are not successful in our integration process, this may not occur, and our acquisitions or branching activities may not be accretive to earnings in the short or long-term.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faced many of these risks in connection with our recently completed merger with Quantum.</w:t>
      </w:r>
    </w:p>
    <w:p>
      <w:pPr>
        <w:spacing w:after="0" w:line="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b w:val="1"/>
          <w:bCs w:val="1"/>
          <w:color w:val="auto"/>
        </w:rPr>
        <w:t>The required accounting treatment of loans we acquire through acquisitions, including purchased financial assets with credit deterioration, could result in higher net interest margins and interest income in current periods and lower net interest margins and interest income in future periods.</w:t>
      </w:r>
    </w:p>
    <w:p>
      <w:pPr>
        <w:jc w:val="both"/>
        <w:spacing w:after="0" w:line="249" w:lineRule="auto"/>
        <w:rPr>
          <w:sz w:val="20"/>
          <w:szCs w:val="20"/>
          <w:color w:val="auto"/>
        </w:rPr>
      </w:pPr>
      <w:r>
        <w:rPr>
          <w:rFonts w:ascii="Times New Roman" w:cs="Times New Roman" w:eastAsia="Times New Roman" w:hAnsi="Times New Roman"/>
          <w:sz w:val="13"/>
          <w:szCs w:val="13"/>
          <w:color w:val="auto"/>
        </w:rPr>
        <w:t>Under US GAAP, we are required to record loans acquired through acquisitions, including PCD, at fair value. Estimating the fair value of such loans requires management to make estimates based on available information and facts and circumstances as of the acquisition date. Actual performance could differ from management's initial estimates. If these loans outperform our original fair value estimates, the difference between our original estimate and the actual performance of the loan (the “discount”) is accreted into net interest income. Thus, our net interest margins may initially increase due to the discount. We expect the yields on our loans to decline as our acquired loan portfolio pays down or matures and the discount decreases, and we expect downward pressure on our interest income to the extent that the runoff on our acquired loan portfolio is not replaced with comparable high-yielding loans. This could result in lower net interest margins and lower interest income in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may experience future goodwill impairment, which could reduce our earnings.</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annual goodwill impairment test, the timing of which was adjusted to occur within the six-month transition period, did not identify any impairment for the period from June 30, 2023 to December 31, 2023. In testing goodwill for impairment, the Company has the option to assess either qualitative or quantitative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a quantitative impairment test; otherwise, no further analysis is required. Under the quantitative impairment test, the evaluation involves comparing the current fair value of each reporting unit to its carrying value, including goodwill. Our evaluation of the fair value of goodwill involves a substantial amount of judgment. If our judgment was incorrect, or if events or circumstances change, and an impairment of goodwill is deemed to exist, we would be required to write down our goodwill resulting in a charge to earnings, which would adversely affect our results of operations, perhaps materially; however, it would have no impact on our liquidity, operations or regulatory capital.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Regulation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operate in a highly regulated environment and may be adversely affected by changes in federal and state laws and regulations.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financial services industry is extensively regulated. Federal and state banking regulations are designed primarily to protect the deposit insurance funds and consumers, not to benefit a company’s stockholders. These regulations may sometimes impose significant limitations on operations. Regulatory authorities have extensive discretion in connection with their supervisory and enforcement activities, including the imposition of restrictions on the operation of an institution, the classification of assets by the institution and the adequacy of an institution’s ACL. Bank regulators also have the ability to impose conditions in the approval of merger and acquisition transactions.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significant federal and state banking regulations that affect us are described under the heading "Business – How We Are Regulated” in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9" w:name="page20"/>
    <w:bookmarkEnd w:id="19"/>
    <w:p>
      <w:pPr>
        <w:jc w:val="both"/>
        <w:spacing w:after="0" w:line="248" w:lineRule="auto"/>
        <w:rPr>
          <w:sz w:val="20"/>
          <w:szCs w:val="20"/>
          <w:color w:val="auto"/>
        </w:rPr>
      </w:pPr>
      <w:r>
        <w:rPr>
          <w:rFonts w:ascii="Times New Roman" w:cs="Times New Roman" w:eastAsia="Times New Roman" w:hAnsi="Times New Roman"/>
          <w:sz w:val="13"/>
          <w:szCs w:val="13"/>
          <w:color w:val="auto"/>
        </w:rPr>
        <w:t>Item 1 of this Form 10-KT. These regulations, along with the currently existing tax, accounting, securities, insurance and monetary laws, regulations, rules, standards, policies and interpretations control the methods by which financial institutions conduct business, implement strategic initiatives and tax compliance and govern financial reporting and disclosures. These laws, regulations, rules, standards, policies and interpretations are constantly evolving and may change significantly over time. Any new regulations or legislation, change in existing regulations or oversight, whether a change in regulatory policy or a change in a regulator’s interpretation of a law or regulation, may require us to invest significant management attention and resources to make any necessary changes to operations to comply and could have an adverse effect on our business, financial condition and results of operations. Additionally, actions by regulatory agencies or significant litigation against us may lead to penalties that materially affect us. Further, changes in accounting standards can be both difficult to predict and involve judgment and discretion in their interpretation by us and our independent registered public accounting firm. These accounting changes could materially impact, potentially even retroactively, how we report our financial condition and results of our operations as could our interpretation of those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Non-compliance with the USA PATRIOT Act, Bank Secrecy Act or other laws and regulations could result in fines or sanctions and limit our ability to get regulatory approval of acquisitions.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USA PATRIOT and Bank Secrecy Acts require financial institutions to develop programs to prevent them from being used for money laundering and terrorist activities. If such activities are detected, financial institutions are obligated to file suspicious activity reports with the U.S. Treasury’s Office of Financial Crimes Enforcement Network. These rules require financial institutions to establish procedures for identifying and verifying the identity of customers seeking to open new financial accounts. Failure to comply with these regulations could result in fines or sanctions and limit our ability to get regulatory approval of acquisitions. Banking institutions continue to receive large fines for non-compliance with these laws and regulations. While we have developed policies and procedures designed to assist in compliance with these laws and regulations, no assurance can be given that these policies and procedures will be effective in preventing violations of these laws and regulations.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framework for managing risks may not be effective in mitigating risk and loss to us</w:t>
      </w:r>
      <w:r>
        <w:rPr>
          <w:rFonts w:ascii="Times New Roman" w:cs="Times New Roman" w:eastAsia="Times New Roman" w:hAnsi="Times New Roman"/>
          <w:sz w:val="13"/>
          <w:szCs w:val="13"/>
          <w:color w:val="auto"/>
        </w:rPr>
        <w:t>.</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have established processes and procedures intended to identify, measure, monitor, report, analyze and control the types of risk to which we are subject. These risks include liquidity risk, credit risk, market risk, interest rate risk, operational risk, legal and compliance risk and reputational risk, among others. We also maintain a compliance program to identify, measure, assess and report on our adherence to applicable laws, policies and procedures. While we assess and improve these programs on an ongoing basis, there can be no assurance that our risk management or compliance programs, along with other related controls, will effectively mitigate all risk and limit losses in our business. As with any risk management framework, there are inherent limitations to our risk management strategies as there may exist, or develop in the future, risks that we have not appropriately anticipated or identified. If our risk management framework proves ineffective, we could suffer unexpected losses, which could have a material adverse effect on our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Cybersecurity, Data and Fraud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are subject to certain risks in connection with our use of technology.</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i w:val="1"/>
          <w:iCs w:val="1"/>
          <w:color w:val="auto"/>
        </w:rPr>
        <w:t xml:space="preserve">Our security measures may not be sufficient to mitigate the risk of a cyber attack. </w:t>
      </w:r>
      <w:r>
        <w:rPr>
          <w:rFonts w:ascii="Times New Roman" w:cs="Times New Roman" w:eastAsia="Times New Roman" w:hAnsi="Times New Roman"/>
          <w:sz w:val="12"/>
          <w:szCs w:val="12"/>
          <w:color w:val="auto"/>
        </w:rPr>
        <w:t>Communications and information systems are essential to the conduct of our business, as we use these systems to manage our customer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relationships, our general ledger and virtually all other aspects of our business. Our operations rely on the secure processing, storage and transmission of confidential and other information in our computer systems and networks. Although we take protective measures and endeavor to modify them as circumstances warrant, the security of our computer systems, software and networks may be vulnerable to breaches, fraudulent or unauthorized access, denial or degradation of service attacks, misuse, computer viruses, malware or other malicious code and cyber-attacks that could have a security impact. If one or more of these events occur, this could jeopardize our or our customers' confidential and other information processed and stored in, and transmitted through, our computer systems and networks, or otherwise cause interruptions or malfunctions in our operations or the operations of our customers or counterparties. We may be required to expend significant additional resources to modify our protective measures or to investigate and remediate vulnerabilities or other exposures, and we may be subject to litigation and financial losses that are either not insured against or not fully covered through any insurance maintained by us. We could also suffer significant reputational damage.</w:t>
      </w:r>
    </w:p>
    <w:p>
      <w:pPr>
        <w:spacing w:after="0" w:line="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Further, our cardholders use their debit and credit cards to make purchases from third-parties or through third-party processing services. As such, we are subject to risk from data breaches of a third-party’s information systems or their payment processors. Such a data security breach could compromise our account information. The payment methods that we offer also subject us to potential fraud and theft by criminals who are becoming increasingly more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losses associated with reimbursing our clients for fraudulent transactions on clients’ card accounts, as well as costs incurred by payment card issuing banks and other third-parties, we may be subject to fines and higher transaction fees, and our ability to accept or facilitate certain types of payments may be impaired. We may also incur other costs related to data security breaches, such as replacing cards associated with compromised card accounts. In addition, our customers could lose confidence in certain payment types, which may result in a shift to other payment types or potential changes to our payment systems that may result in higher costs.</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Breaches of information security also may occur through intentional or unintentional acts by those having access to our systems or our clients’ or counterparties’ confidential information, including employees. The Company is continuously working to install new, and upgrade its existing, information technology systems and provide employee awareness training around phishing, malware and other cyber risks to further protect the Company against cyber risks and security breaches.</w:t>
      </w:r>
    </w:p>
    <w:p>
      <w:pPr>
        <w:spacing w:after="0" w:line="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There continues to be a rise in electronic fraudulent activity, security breaches and cyber-attacks within the financial services industry, especially in the commercial banking sector, due to cyber criminals targeting commercial bank accounts. 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companies, including ours. We are not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p>
      <w:pPr>
        <w:jc w:val="both"/>
        <w:spacing w:after="0" w:line="264" w:lineRule="auto"/>
        <w:rPr>
          <w:sz w:val="20"/>
          <w:szCs w:val="20"/>
          <w:color w:val="auto"/>
        </w:rPr>
      </w:pPr>
      <w:r>
        <w:rPr>
          <w:rFonts w:ascii="Times New Roman" w:cs="Times New Roman" w:eastAsia="Times New Roman" w:hAnsi="Times New Roman"/>
          <w:sz w:val="13"/>
          <w:szCs w:val="13"/>
          <w:color w:val="auto"/>
        </w:rPr>
        <w:t>aware that we have experienced any material misappropriation, loss or other unauthorized disclosure of confidential or personally identifiable information as a result of a cyber-security breach or other act; however, some of our clients may have been affected by these breaches, which could increase their risks of identity theft, credit card fraud and other fraudulent activity that could involve their accounts with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Security breaches in our internet banking activities could further expose us to possible liability and damage our reputation. </w:t>
      </w:r>
      <w:r>
        <w:rPr>
          <w:rFonts w:ascii="Times New Roman" w:cs="Times New Roman" w:eastAsia="Times New Roman" w:hAnsi="Times New Roman"/>
          <w:sz w:val="12"/>
          <w:szCs w:val="12"/>
          <w:color w:val="auto"/>
        </w:rPr>
        <w:t>Increases in criminal activity levels and sophistication, advances in computer capabilities, new</w:t>
      </w:r>
    </w:p>
    <w:p>
      <w:pPr>
        <w:spacing w:after="0" w:line="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discoveries, vulnerabilities in third-party technologies (including browsers and operating systems) or other developments could result in a compromise or breach of the technology, processes and controls that we use to prevent fraudulent transactions and to protect data about us, our clients and underlying transactions. Any compromise of our security could deter customers from using our internet banking services that involve the transmission of confidential information. We rely on standard internet security systems to provide the security and authentication necessary to effect secure transmission of data. Although we have developed and continue to invest in systems and processes that are designed to detect and prevent security breaches and cyber-attacks and periodically test our security, these precautions may not protect our systems from compromises or breaches of our security measures, and could result in losses to us or our customers, our loss of business and/or customers, damage to our reputation, the incurrence of additional expenses,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spacing w:after="0" w:line="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i w:val="1"/>
          <w:iCs w:val="1"/>
          <w:color w:val="auto"/>
        </w:rPr>
        <w:t>Our security measures may not protect us from system failures or interruptions of our own systems or those of our third-party vendors</w:t>
      </w:r>
      <w:r>
        <w:rPr>
          <w:rFonts w:ascii="Times New Roman" w:cs="Times New Roman" w:eastAsia="Times New Roman" w:hAnsi="Times New Roman"/>
          <w:sz w:val="13"/>
          <w:szCs w:val="13"/>
          <w:color w:val="auto"/>
        </w:rPr>
        <w:t>. While we have established policies and procedures to prevent or limit the impact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systems failures and interruptions, there can be no assurance that such events will not occur or that they will be adequately addressed if they do. In addition, we outsource certain aspects of our data processing and other operational functions to certain third-party providers. While the Company selects third-party vendors carefully, it does not control their actions. If our third-party providers encounter difficulties, including those resulting from breakdowns or other disruptions in communication services provided by a vendor, failure of a vendor to handle current or higher transaction volumes, cyber-attacks or security breaches or if we otherwise have difficulty in communicating with them, our ability to adequately process and account for transactions could be affected, and our ability to deliver products and services to our customers and otherwise conduct business operations could be adversely impacted. Replacing these third-party vendors could also entail significant delay and expense. Threats to information security also exist in the processing of customer information through various other vendors and their personnel.</w:t>
      </w:r>
    </w:p>
    <w:p>
      <w:pPr>
        <w:spacing w:after="0" w:line="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cannot assure you that such breaches, failures or interruptions will not occur or, if they do occur, that they will be adequately addressed by us or the third-parties on which we rely. We may not be insured against all types of losses as a result of third-party failures, and insurance coverage may be inadequate to cover all losses resulting from breaches, system failures or other disruptions. If any of our third-party service providers experience financial, operational or technological difficulties, or if there is any other disruption in our relationships with them, we may be required to identify alternative sources of such services, and we cannot assure you that we could negotiate terms that are as favorable to us, or could obtain services with similar functionality as found in our existing systems without the need to expend substantial resources, if at all. Further, the occurrence of any systems failure or interruption could damage our reputation and result in a loss of customers and business, could subject us to additional regulatory scrutiny or could expose us to legal liability. Any of these occurrences could have a material adverse effect on our financial condition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 may be adversely affected by an increasing prevalence of fraud and other financial crimes</w:t>
      </w:r>
      <w:r>
        <w:rPr>
          <w:rFonts w:ascii="Times New Roman" w:cs="Times New Roman" w:eastAsia="Times New Roman" w:hAnsi="Times New Roman"/>
          <w:sz w:val="13"/>
          <w:szCs w:val="13"/>
          <w:color w:val="auto"/>
        </w:rPr>
        <w:t>.</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a bank, we are susceptible to fraudulent activity that may be committed against us or our clients, which may result in financial losses or increased costs to us or our clients, disclosure or misuse of our information or our client information, misappropriation of assets, privacy breaches against our clients, litigation or damage to our reputation. Such fraudulent activity may take many forms, including check fraud, electronic fraud, wire fraud, phishing, social engineering and other dishonest acts. Nationally, reported incidents of fraud and other financial crimes have increased. We have also experienced losses due to apparent fraud and other financial crimes. While we have policies and procedures designed to prevent or reduce the severity of such losses, there can be no assurance that such losses will not occur.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Risks Related to Our Business and Industry Generally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Ineffective liquidity management could adversely affect our financial results and condition.</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Liquidity is essential to our business. We rely on a number of different sources in order to meet our potential liquidity demands. Our primary sources of liquidity are increases in deposit accounts, cash flows from loan payments and our securities portfolio. Borrowings also provide us with a source of funds to meet liquidity demands. An inability to raise funds through deposits, borrowings, the sale of loans or debt securities and other sources could have a substantial negative effect on our liquidity. Our access to funding sources in amounts adequate to finance our activities or on terms which are acceptable to us could be impaired by factors that affect us specifically, or the financial services industry or economy in general. Factors that could detrimentally impact our access to liquidity sources include a decrease in the level of our business activity as a result of a downturn in the Georgia, North Carolina, South Carolina, Tennessee and/or Virginia markets in which the majority of our loans are concentrated or adverse regulatory action against us. Our ability to borrow could also be impaired by factors that are not specific to us, such as a disruption in the financial markets or negative views and expectations about the prospects for the financial services industry or deterioration in credit markets. In particular, our liquidity position could be significantly constrained if we are unable to access funds from the FHLB Atlanta or other wholesale funding sources, or if adequate financing is not available at acceptable interest rates. Finally, if we are required to rely more heavily on more expensive funding sources, our revenues may not increase proportionately to cover our costs. 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 See “Item 7. Management’s Discussion and Analysis of Financial Condition and Results of Operations – Liquidity” of this Form 10-KT.</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Additionally, collateralized public funds are bank deposits of state and local municipalities. These deposits are required to be secured by certain investment grade securities to ensure repayment, which on the one hand tends to reduce our contingent liquidity risk by making these funds somewhat less credit sensitive, but on the other hand reduces standby liquidity by restricting the potential liquidity of the pledged collateral. Although these funds historically have been a relatively stable source of funds for us, availability depends on the individual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color w:val="auto"/>
        </w:rPr>
        <w:t>municipality’s fiscal policies and cash flow needs.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Competition with other financial institutions could adversely affect our profitability.</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Although we consider ourselves competitive in our market areas, we face intense competition in both making loans and attracting deposits. Price competition for loans and deposits might result in our earning less on our loans and paying more on our deposits, which reduces net interest income. Some of the institutions with which we compete have substantially greater resources than we have and may offer services that we do not provide. We expect competition to increase in the future as a result of legislative, regulatory and technological changes and the continuing trend of consolidation in the financial services industry. Our profitability will depend upon our continued ability to compete successfully in our market areas.</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b w:val="1"/>
          <w:bCs w:val="1"/>
          <w:color w:val="auto"/>
        </w:rPr>
        <w:t>Our ability to retain and recruit key management personnel and bankers is critical to the success of our business strategy and any failure to do so could impair our customer relationships and adversely affect our business and results of operations.</w:t>
      </w:r>
    </w:p>
    <w:p>
      <w:pPr>
        <w:jc w:val="both"/>
        <w:spacing w:after="0" w:line="248" w:lineRule="auto"/>
        <w:rPr>
          <w:sz w:val="20"/>
          <w:szCs w:val="20"/>
          <w:color w:val="auto"/>
        </w:rPr>
      </w:pPr>
      <w:r>
        <w:rPr>
          <w:rFonts w:ascii="Times New Roman" w:cs="Times New Roman" w:eastAsia="Times New Roman" w:hAnsi="Times New Roman"/>
          <w:sz w:val="13"/>
          <w:szCs w:val="13"/>
          <w:color w:val="auto"/>
        </w:rPr>
        <w:t>Competition for qualified employees and personnel in the banking industry is intense and there are a limited number of qualified persons with knowledge of, and experience in, the community banking industry where the Bank conducts its business. The process of recruiting personnel with the combination of skills and attributes required to carry out our strategies is often lengthy. Our success depends to a significant degree upon our ability to attract and retain qualified management, loan origination, finance, administrative, marketing and technical personnel and upon the continued contributions of our management and personnel. Our ability to retain and grow our loans, deposits and fee income depends upon the business generation capabilities, reputation and relationship management skills of our bankers. If we were to lose the services of any of our bankers, including successful bankers employed by banks that we may acquire, to a new or existing competitor, or otherwise, we may not be able to retain valuable relationships and some of our customers could choose to use the services of a competitor instead of our services. In addition, our success has been and continues to be highly dependent upon the services of our directors, several of whom are nearing retirement age, and we may not be able to identify and attract suitable candidates to replace such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financial services market is undergoing rapid technological changes, and if we are unable to stay current with those changes, we will not be able to effectively compete.</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financial services market, including banking services, is undergoing rapid changes with frequent introductions of new technology-driven products and services. Our future success will depend, in part, on our ability to keep pace with technological changes and to use technology to satisfy and grow customer demand for our products and services and to create additional efficiencies in our operations. We expect that we will need to make substantial investments in our technology and information systems to compete effectively and to stay current with technological changes. Some of our competitors have substantially greater resources to invest in technological improvements and will be able to invest more heavily in developing and adopting new technologies, which may put us at a competitive disadvantage. We may not be able to effectively implement new technology-driven products and services or be successful in marketing these products and services to our customers. As a result, our ability to effectively compete to retain or acquire new business may be impaired, and our business, financial condition or results of operations may be adversely affected</w:t>
      </w:r>
      <w:r>
        <w:rPr>
          <w:rFonts w:ascii="Times New Roman" w:cs="Times New Roman" w:eastAsia="Times New Roman" w:hAnsi="Times New Roman"/>
          <w:sz w:val="13"/>
          <w:szCs w:val="13"/>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rely on other companies to provide key components of our business infrastructure.</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rely on numerous external vendors to provide us with products and services necessary to maintain our day-to-day operations. Accordingly, our operations are exposed to the risk that these vendors will not perform in accordance with the contracted arrangements under service level agreements. The failure of an external vendor to perform in accordance with the contracted arrangements under service level agreements because of changes in the vendor’s organizational structure, financial condition, support for existing products and services or strategic focus or for any other reason, could be disruptive to our operations, which in turn could have a material negative impact on our financial condition and results of operations. We also could be adversely affected to the extent such an agreement is not renewed by the third-party vendor or is renewed on terms less favorable to us. Additionally, the bank regulatory agencies expect financial institutions to be responsible for all aspects of a vendor’s performance, including aspects which the vendor delegates to third-parties. Disruptions or failures in the physical infrastructure or operating systems that support our business and clients could result in client attrition, regulatory fines, penalties or intervention, reputational damage, reimbursement or other compensation costs and/or additional compliance costs, any of which could materially adversely affect our results of operations or financial condition.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 a community bank, maintaining our reputation in our market areas is critical to the success of our business, and the failure to do so may materially adversely affect our performance.</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are a community bank, and our reputation is one of the most valuable aspects of our business. A key component of our business strategy is to utilize our reputation for customer service and knowledge of local markets to expand our presence by capturing new business opportunities from existing and prospective customers in our current market and contiguous areas. As such, we strive to conduct our business in a manner that enhances our reputation. This is done, in part, by recruiting, hiring and retaining employees who share our core values of being an integral part of the communities we serve, delivering superior service to our customers and caring about our customers and associates.</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Threats to our reputation can come from many sources, including adverse sentiment about financial institutions generally, unethical practices, employee misconduct, failure to deliver minimum standards of service or quality, compliance deficiencies and questionable or fraudulent activities of our customers. We have policies and procedures in place to protect our reputation and promote ethical conduct, but these policies and procedures may not be fully effective. Negative publicity regarding our business, employees or customers, with or without merit, may result in the loss of customers, investors and employees, costly litigation, a decline in revenues and increased governmental regulation.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growth or future losses may require us to raise additional capital in the future, but that capital may not be available when it is needed or the cost of that capital may be very high.</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required by federal regulatory authorities to maintain adequate levels of capital to support our operations. Our ability to raise additional capital, if needed, will depend on conditions in the capital markets at that time, which are outside our control, and on our financial condition and performance. Accordingly, we cannot make assurances that we will be able to raise additional capital, if needed, on terms that are acceptable to us, or at all. If we cannot raise additional capital when needed, our ability to further expand our operations could be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color w:val="auto"/>
        </w:rPr>
        <w:t>materially impaired and our financial condition and liquidity could be materially and adversely affected. In addition, any additional capital we obtain may dilute the interests of existing holders of our common stock.</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Further, if we are unable to raise additional capital when required by our bank regulators, we may be subject to adverse regulatory action.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 rely on dividends from the Bank for substantially all of our revenue at the holding company level.</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We are an entity separate and distinct from our principal subsidiary, the Bank, and derive substantially all of our revenue at the holding company level in the form of dividends from that subsidiary. Accordingly, we are, and will be, dependent upon dividends from the Bank to pay the principal of and interest on our indebtedness, to satisfy our other cash needs and to pay dividends on our common stock. The Bank’s ability to pay dividends is subject to its ability to earn net income and to meet certain regulatory requirements. In the event the Bank is unable to pay dividends to us, we may not be able to pay dividends on our common stock or continue stock repurchases. Also, our right to participate in a distribution of assets upon a subsidiary’s liquidation or reorganization is subject to the prior claims of the subsidiary’s creditors.</w:t>
      </w:r>
    </w:p>
    <w:p>
      <w:pPr>
        <w:spacing w:after="0" w:line="4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3"/>
          <w:szCs w:val="13"/>
          <w:b w:val="1"/>
          <w:b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Companies are facing increasing scrutiny from customers, regulators, investors and other stakeholders related to their environmental, social and governance (“ESG”) practices and disclosures. Investor advocacy groups, investment funds and influential investors are also increasingly focused on these practices, especially as they relate to the environment, health and safety, diversity, labor conditions and human rights. Increased ESG 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our stock price. New government regulations could also result in new or more stringent forms of ESG oversight and expanding mandatory and voluntary reporting, diligence and disclosure.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1C. Cybersecurity Risk Management, Strategy and Governance</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There continues to be a rise in electronic fraudulent activity, security breaches and cyber-attacks within the financial services industry, especially in the commercial banking sector where our operations rely on the secure processing, storage and transmission of confidential and other information in our computer systems and networks. Although we are not aware that we have experienced any material misappropriation, loss or other unauthorized disclosure of confidential or personally identifiable information as a result of a cybersecurity breach or other act, we are regularly the target of attempted threats such as ransomware and denial-of-service attacks. In addition, our customers, vendors and other third parties also face the same threats, and a cybersecurity incident impacting any of these parties could also impact our operations. For these reasons, cybersecurity is critical to supporting our business and protecting our customers.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Our Chief Information Officer is responsible for monitoring and coordinating the Company’s Information Security Program, which is managed on a day-to-day basis by our Physical and Information Security Officer. This program has been designed to:</w:t>
      </w:r>
    </w:p>
    <w:p>
      <w:pPr>
        <w:ind w:left="260" w:hanging="191"/>
        <w:spacing w:after="0"/>
        <w:tabs>
          <w:tab w:leader="none" w:pos="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appropriate security of all information systems data, equipment and processes;</w:t>
      </w:r>
    </w:p>
    <w:p>
      <w:pPr>
        <w:spacing w:after="0" w:line="16"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security and confidentiality of nonpublic customer information;</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 against any anticipated threats or hazards; and</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Protect against unauthorized access to, or use of, such information.</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Operationally, the information security team employs numerous security tools such as threat detection, alerting and monitoring, data loss prevention, vulnerability remediation, anti-malware and email security protections. Consistent with our Business Continuity and Security Incident Response Policies, the Company engages in annual disaster recovery and information security tabletop exercises to simulate threats and events, and engages third parties on an annual basis to conduct and report on penetration testing exercises. We administer mandatory annual security awareness training, routine employee email phishing testing, and provide regular updates across the Company to highlight recent examples of risks as they are identified.</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Board of Directors is responsible for overseeing the Company’s cybersecurity strategies and setting the acceptable cybersecurity risk appetite as part of its oversight of the Company’s risk management activities. The Board has designated the Executive and Risk Committee to oversee the Company’s Enterprise Risk Management Program, which includes the framework for identifying, measuring, monitoring and controlling cybersecurity risk. Between updates provided by the Chief Information Officer and Chief Risk Officer, who leads the Company’s Enterprise Risk Management function, the Committee receives quarterly updates over assessed internal and external risks, cyber threats, industry trends in the cyber area, security operations and incident response, threat and vulnerability management activities, identity and access management controls, and the results of third-party audits and examinations. To ensure this focus is properly disseminated, the Enterprise Risk Management Program includes a Management Risk Committee, made up of executive officers, to ensure proper oversight of risk-related decision making and communication by executive management.</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 addition to internal monitoring procedures, the Company maintains a vendor risk management program that is designed to identify and manage risks, including cybersecurity risks, posed by our third-party vendors, particularly those with access to, or possession of, sensitive information. Vendor contract negotiations require the inclusion of data protection terms and responsibilities regarding information breach notifications and reporting. The program also includes due diligence and risk assessment procedures occurring prior to and during the life of these contractual relationships, to evaluate the vendor’s management of data transmission, storage of information, encryption practices, vulnerability testing and general strength of the vendor’s information security policy and practices.</w:t>
      </w:r>
    </w:p>
    <w:p>
      <w:pPr>
        <w:spacing w:after="0" w:line="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Company’s information security team has a defined escalation path for issues and events as outlined in our Security Incident Response Policy. Our information security, IT infrastructure, IT support, and system analyst teams will take the lead role in evaluating, escalating, investigating and remediating a potential cybersecurity event, including formulating the initial response, and bringing in individuals from other departments as deemed appropriate. Any incident assessed as potentially being or becoming material is further escalated to the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3"/>
          <w:szCs w:val="13"/>
          <w:color w:val="auto"/>
        </w:rPr>
        <w:t>Operating Committee which includes all executive officers, and may be elevated to the Board of Directors if the incident is deemed material or otherwise appropriate. Outside legal counsel and forensic analysts may also be engaged to assist in evaluating and remediating cybersecurity issues and events.</w:t>
      </w:r>
    </w:p>
    <w:p>
      <w:pPr>
        <w:spacing w:after="0" w:line="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spite of the Company’s investments in systems and processes to address cyber risk, we may not be successful in preventing or mitigating a cybersecurity incident that could have a material effect on the Company. For further discussion, see “Item 1A. Risk Factors – Risks Related to Cybersecurity, Data and Fraud.”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maintain our administrative office, which is owned by us, in Asheville, North Carolina. In total, as of December 31, 2023, we have 37 locations in five states, which include: North Carolina (including the Asheville metropolitan area, the "Piedmont" region, Charlotte and Raleigh/Cary), South Carolina (Greenville and Charleston), East Tennessee (including Kingsport/Johnson City, Knoxville and Morristown), Southwest Virginia (including the Roanoke Valley) and Georgia (Greater Atlanta). Of those offices, 8 are leased facilities. We also own an operations center located in Asheville, North Carolina. We lease additional space, which is adjacent to the facility we own in Asheville, for administrative and operations personnel. The lease terms for our branch offices, operations center and other offices are not individually material. Lease expirations range from two to 18 years. In the opinion of management, all properties are adequately covered by insurance, are in a good state of repair and are appropriately designed for their present and future use. See "Note 7 – Premises and Equipment" and "Note 11 – Leases" of the Notes to the Consolidated Financial Statements included in Item 8 of this Form 10-KT for additional information.</w:t>
      </w:r>
    </w:p>
    <w:p>
      <w:pPr>
        <w:spacing w:after="0" w:line="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maintain depositor and borrower customer files on an online basis, utilizing a telecommunications network, portions of which are leased. Management has a disaster recovery plan in place with respect to the data processing system, as well as our operations as a whole.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"Litigation" section of “Note 17 – Commitments and Contingencies” of the Notes to Consolidated Financial Statements included in Item 8 of this Form 10-KT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Company’s common stock is listed on the Nasdaq Global Market under the symbol “HTBI.” As of the close of business on March 8, 2024, there were 17,444,787 shares of common stock outstanding held by 997 holders of record. Certain shares are held in “nominee” or “street” name and accordingly, the number of beneficial owners of such shares is not known or included in the foregoing number.</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began paying its first cash dividends during the second quarter of fiscal year 2019. The timing and amount of cash dividends paid depends on our earnings, capital requirements, financial condition and other relevant factors. We also have the ability to receive dividends or capital distributions from HomeTrust Bank, our wholly owned subsidiary. There are regulatory restrictions on the ability of HomeTrust Bank to pay dividends. See Item 1, “How We Are Regulated,” for more information regarding the restrictions on the Company’s and the Bank’s abilities to pay dividends.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Purchases of Equity Securities by the Issuer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information about repurchases of common stock by the Company during the quarter ended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 of</w:t>
            </w:r>
          </w:p>
        </w:tc>
        <w:tc>
          <w:tcPr>
            <w:tcW w:w="0" w:type="dxa"/>
            <w:vAlign w:val="bottom"/>
          </w:tcPr>
          <w:p>
            <w:pPr>
              <w:spacing w:after="0"/>
              <w:rPr>
                <w:sz w:val="1"/>
                <w:szCs w:val="1"/>
                <w:color w:val="auto"/>
              </w:rPr>
            </w:pPr>
          </w:p>
        </w:tc>
      </w:tr>
      <w:tr>
        <w:trPr>
          <w:trHeight w:val="127"/>
        </w:trPr>
        <w:tc>
          <w:tcPr>
            <w:tcW w:w="35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 of Shares Purchased as Part</w:t>
            </w:r>
          </w:p>
        </w:tc>
        <w:tc>
          <w:tcPr>
            <w:tcW w:w="1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Shares that May</w:t>
            </w:r>
          </w:p>
        </w:tc>
        <w:tc>
          <w:tcPr>
            <w:tcW w:w="0" w:type="dxa"/>
            <w:vAlign w:val="bottom"/>
          </w:tcPr>
          <w:p>
            <w:pPr>
              <w:spacing w:after="0"/>
              <w:rPr>
                <w:sz w:val="1"/>
                <w:szCs w:val="1"/>
                <w:color w:val="auto"/>
              </w:rPr>
            </w:pPr>
          </w:p>
        </w:tc>
      </w:tr>
      <w:tr>
        <w:trPr>
          <w:trHeight w:val="127"/>
        </w:trPr>
        <w:tc>
          <w:tcPr>
            <w:tcW w:w="3560" w:type="dxa"/>
            <w:vAlign w:val="bottom"/>
            <w:vMerge w:val="restart"/>
          </w:tcPr>
          <w:p>
            <w:pPr>
              <w:jc w:val="right"/>
              <w:ind w:right="307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 # of Shares Purchased</w:t>
            </w:r>
          </w:p>
        </w:tc>
        <w:tc>
          <w:tcPr>
            <w:tcW w:w="80" w:type="dxa"/>
            <w:vAlign w:val="bottom"/>
          </w:tcPr>
          <w:p>
            <w:pPr>
              <w:spacing w:after="0"/>
              <w:rPr>
                <w:sz w:val="11"/>
                <w:szCs w:val="11"/>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Average Price Paid per Share</w:t>
            </w:r>
          </w:p>
        </w:tc>
        <w:tc>
          <w:tcPr>
            <w:tcW w:w="2040" w:type="dxa"/>
            <w:vAlign w:val="bottom"/>
            <w:gridSpan w:val="2"/>
            <w:vMerge w:val="continue"/>
          </w:tcPr>
          <w:p>
            <w:pPr>
              <w:spacing w:after="0"/>
              <w:rPr>
                <w:sz w:val="11"/>
                <w:szCs w:val="11"/>
                <w:color w:val="auto"/>
              </w:rPr>
            </w:pPr>
          </w:p>
        </w:tc>
        <w:tc>
          <w:tcPr>
            <w:tcW w:w="19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Yet Be Purchased Under Publicly</w:t>
            </w: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of Publicly Announced Plans</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0" w:type="dxa"/>
            <w:vAlign w:val="bottom"/>
          </w:tcPr>
          <w:p>
            <w:pPr>
              <w:spacing w:after="0"/>
              <w:rPr>
                <w:sz w:val="1"/>
                <w:szCs w:val="1"/>
                <w:color w:val="auto"/>
              </w:rPr>
            </w:pPr>
          </w:p>
        </w:tc>
      </w:tr>
      <w:tr>
        <w:trPr>
          <w:trHeight w:val="161"/>
        </w:trPr>
        <w:tc>
          <w:tcPr>
            <w:tcW w:w="3560" w:type="dxa"/>
            <w:vAlign w:val="bottom"/>
            <w:tcBorders>
              <w:top w:val="single" w:sz="8" w:color="CCEEFF"/>
            </w:tcBorders>
            <w:shd w:val="clear" w:color="auto" w:fill="CCEEFF"/>
          </w:tcPr>
          <w:p>
            <w:pPr>
              <w:ind w:left="80"/>
              <w:spacing w:after="0" w:line="146" w:lineRule="exact"/>
              <w:rPr>
                <w:sz w:val="20"/>
                <w:szCs w:val="20"/>
                <w:color w:val="auto"/>
              </w:rPr>
            </w:pPr>
            <w:r>
              <w:rPr>
                <w:rFonts w:ascii="Times New Roman" w:cs="Times New Roman" w:eastAsia="Times New Roman" w:hAnsi="Times New Roman"/>
                <w:sz w:val="13"/>
                <w:szCs w:val="13"/>
                <w:color w:val="auto"/>
              </w:rPr>
              <w:t>October 1 - October 31, 2023</w:t>
            </w:r>
          </w:p>
        </w:tc>
        <w:tc>
          <w:tcPr>
            <w:tcW w:w="1760" w:type="dxa"/>
            <w:vAlign w:val="bottom"/>
            <w:tcBorders>
              <w:top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ind w:left="1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168"/>
        </w:trPr>
        <w:tc>
          <w:tcPr>
            <w:tcW w:w="3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November 1 - November 30, 2023</w:t>
            </w:r>
          </w:p>
        </w:tc>
        <w:tc>
          <w:tcPr>
            <w:tcW w:w="1840" w:type="dxa"/>
            <w:vAlign w:val="bottom"/>
            <w:gridSpan w:val="2"/>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780" w:type="dxa"/>
            <w:vAlign w:val="bottom"/>
            <w:gridSpan w:val="2"/>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tcPr>
          <w:p>
            <w:pPr>
              <w:ind w:left="178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December 1 - December 31, 2023</w:t>
            </w:r>
          </w:p>
        </w:tc>
        <w:tc>
          <w:tcPr>
            <w:tcW w:w="18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204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158"/>
        </w:trPr>
        <w:tc>
          <w:tcPr>
            <w:tcW w:w="3560" w:type="dxa"/>
            <w:vAlign w:val="bottom"/>
          </w:tcPr>
          <w:p>
            <w:pPr>
              <w:jc w:val="right"/>
              <w:ind w:right="30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6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960" w:type="dxa"/>
            <w:vAlign w:val="bottom"/>
            <w:tcBorders>
              <w:top w:val="single" w:sz="8" w:color="auto"/>
              <w:bottom w:val="single" w:sz="8" w:color="auto"/>
            </w:tcBorders>
          </w:tcPr>
          <w:p>
            <w:pPr>
              <w:ind w:left="1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266,639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On April 2, 2020, the Company's Board of Directors authorized the repurchase of up to 851,004 shares of the Company's common stock, representing 5% of its outstanding shares at the time of the announcement. This repurchase plan was completed on July 26, 2021. On July 28, 2021, 825,941 shares of common stock were authorized for repurchase representing 5% of the Company's outstanding shares at the time of the announcement. This repurchase plan was completed on February 28, 2022. On February 28, 2022, an additional 806,000 shares of common stock were authorized for repurchase representing approximately 5% of the Company's outstanding shares at the time of the announcement. As of December 31, 2023, 539,361 of these shares had been purchased at an average price of $28.93 per share, although no shares were repurchased during the six-month transition period ended December 31, 2023. The shares may be purchased in the open market or in privately negotiated transactions, from time to time depending upon market conditions and other factors.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color w:val="auto"/>
        </w:rPr>
        <w:t>Stockholder Return Performance Graph Presentation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performance graph below compares the Company’s cumulative stockholder return on its common stock since June 30, 2018 to the cumulative total return of the S&amp;P US BMI Bank Index and the Nasdaq Composite for the periods indicated. The information presented below assumes the reinvestment of all dividends and that the value of common stock and each index was $100 on June 30, 2018.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-10160</wp:posOffset>
            </wp:positionV>
            <wp:extent cx="4042410" cy="185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42410"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Six Months Ended December</w:t>
            </w:r>
          </w:p>
        </w:tc>
      </w:tr>
      <w:tr>
        <w:trPr>
          <w:trHeight w:val="159"/>
        </w:trPr>
        <w:tc>
          <w:tcPr>
            <w:tcW w:w="33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7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b w:val="1"/>
                <w:bCs w:val="1"/>
                <w:color w:val="auto"/>
              </w:rPr>
              <w:t>31, 2023</w:t>
            </w:r>
          </w:p>
        </w:tc>
      </w:tr>
      <w:tr>
        <w:trPr>
          <w:trHeight w:val="162"/>
        </w:trPr>
        <w:tc>
          <w:tcPr>
            <w:tcW w:w="330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HomeTrust Bancshares, Inc.</w:t>
            </w: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88.37</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56.72</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101.24</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90.56</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75.67</w:t>
            </w:r>
          </w:p>
        </w:tc>
        <w:tc>
          <w:tcPr>
            <w:tcW w:w="8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95.18</w:t>
            </w: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S&amp;P US BMI Bank Index</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97.17</w:t>
            </w: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74.17</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124.88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100.77</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93.08</w:t>
            </w:r>
          </w:p>
        </w:tc>
        <w:tc>
          <w:tcPr>
            <w:tcW w:w="17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4"/>
              </w:rPr>
              <w:t>111.79</w:t>
            </w: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NASDAQ Composite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107.88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137.61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203.61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155.66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196.35</w:t>
            </w:r>
          </w:p>
        </w:tc>
        <w:tc>
          <w:tcPr>
            <w:tcW w:w="17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4"/>
              </w:rPr>
              <w:t>217.73</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This discussion and analysis reviews our consolidated financial statements and other relevant statistical data and is intended to enhance your understanding of our financial condition and results of operations. The information in this section has been derived from the Consolidated Financial Statements and notes thereto which are included in Item 8 of this Form 10-KT. You should read the information in this section in conjunction with the business and financial information regarding us as provided in this Form 10-KT.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Highlights</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3"/>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00" w:type="dxa"/>
            <w:vAlign w:val="bottom"/>
          </w:tcPr>
          <w:p>
            <w:pPr>
              <w:spacing w:after="0"/>
              <w:rPr>
                <w:sz w:val="16"/>
                <w:szCs w:val="16"/>
                <w:color w:val="auto"/>
              </w:rPr>
            </w:pPr>
          </w:p>
        </w:tc>
        <w:tc>
          <w:tcPr>
            <w:tcW w:w="114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June 30, 2021</w:t>
            </w:r>
          </w:p>
        </w:tc>
      </w:tr>
      <w:tr>
        <w:trPr>
          <w:trHeight w:val="16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Selected financial condition data</w:t>
            </w:r>
          </w:p>
        </w:tc>
        <w:tc>
          <w:tcPr>
            <w:tcW w:w="2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68"/>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4,607,487</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3,524,723</w:t>
            </w:r>
          </w:p>
        </w:tc>
      </w:tr>
      <w:tr>
        <w:trPr>
          <w:trHeight w:val="17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50,990</w:t>
            </w:r>
          </w:p>
        </w:tc>
      </w:tr>
      <w:tr>
        <w:trPr>
          <w:trHeight w:val="168"/>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paper, net</w:t>
            </w:r>
          </w:p>
        </w:tc>
        <w:tc>
          <w:tcPr>
            <w:tcW w:w="24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189,596</w:t>
            </w:r>
          </w:p>
        </w:tc>
      </w:tr>
      <w:tr>
        <w:trPr>
          <w:trHeight w:val="17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40,122</w:t>
            </w:r>
          </w:p>
        </w:tc>
      </w:tr>
      <w:tr>
        <w:trPr>
          <w:trHeight w:val="168"/>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156,459</w:t>
            </w:r>
          </w:p>
        </w:tc>
      </w:tr>
      <w:tr>
        <w:trPr>
          <w:trHeight w:val="17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 of ACL and deferred loan fees and costs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3,611,630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2,697,799</w:t>
            </w:r>
          </w:p>
        </w:tc>
      </w:tr>
      <w:tr>
        <w:trPr>
          <w:trHeight w:val="168"/>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3,601,168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2,955,541</w:t>
            </w:r>
          </w:p>
        </w:tc>
      </w:tr>
      <w:tr>
        <w:trPr>
          <w:trHeight w:val="17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457,263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r>
      <w:tr>
        <w:trPr>
          <w:trHeight w:val="172"/>
        </w:trPr>
        <w:tc>
          <w:tcPr>
            <w:tcW w:w="5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396,519</w:t>
            </w:r>
          </w:p>
        </w:tc>
      </w:tr>
    </w:tbl>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Selected operations data</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124,684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187,126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116,114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118,733</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interest expense</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w:t>
            </w:r>
          </w:p>
        </w:tc>
      </w:tr>
      <w:tr>
        <w:trPr>
          <w:trHeight w:val="158"/>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interest income</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84,083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110,774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103,322</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r>
      <w:tr>
        <w:trPr>
          <w:trHeight w:val="158"/>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interest income after provision (benefit) for credit losses</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78,153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111,366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110,457</w:t>
            </w:r>
          </w:p>
        </w:tc>
      </w:tr>
      <w:tr>
        <w:trPr>
          <w:trHeight w:val="163"/>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9,083</w:t>
            </w: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17,352</w:t>
            </w: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5,601</w:t>
            </w: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debt securities available for sale</w:t>
            </w:r>
          </w:p>
        </w:tc>
        <w:tc>
          <w:tcPr>
            <w:tcW w:w="10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sale of premises and equipment</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r>
      <w:tr>
        <w:trPr>
          <w:trHeight w:val="168"/>
        </w:trPr>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4,732</w:t>
            </w:r>
          </w:p>
        </w:tc>
      </w:tr>
      <w:tr>
        <w:trPr>
          <w:trHeight w:val="163"/>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noninterest income</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39,109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39,821</w:t>
            </w:r>
          </w:p>
        </w:tc>
      </w:tr>
      <w:tr>
        <w:trPr>
          <w:trHeight w:val="158"/>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115,909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105,097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131,182</w:t>
            </w:r>
          </w:p>
        </w:tc>
      </w:tr>
      <w:tr>
        <w:trPr>
          <w:trHeight w:val="163"/>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19,096</w:t>
            </w:r>
          </w:p>
        </w:tc>
      </w:tr>
      <w:tr>
        <w:trPr>
          <w:trHeight w:val="168"/>
        </w:trPr>
        <w:tc>
          <w:tcPr>
            <w:tcW w:w="5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r>
      <w:tr>
        <w:trPr>
          <w:trHeight w:val="18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00"/>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24"/>
                <w:szCs w:val="2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24"/>
                <w:szCs w:val="2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24"/>
                <w:szCs w:val="2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r>
      <w:tr>
        <w:trPr>
          <w:trHeight w:val="17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At or For the Six Months Ended</w:t>
            </w:r>
          </w:p>
        </w:tc>
        <w:tc>
          <w:tcPr>
            <w:tcW w:w="308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3"/>
                <w:szCs w:val="13"/>
                <w:b w:val="1"/>
                <w:bCs w:val="1"/>
                <w:color w:val="auto"/>
              </w:rPr>
              <w:t>At or For the Year Ended June 30,</w:t>
            </w:r>
          </w:p>
        </w:tc>
        <w:tc>
          <w:tcPr>
            <w:tcW w:w="900" w:type="dxa"/>
            <w:vAlign w:val="bottom"/>
            <w:tcBorders>
              <w:bottom w:val="single" w:sz="8" w:color="auto"/>
            </w:tcBorders>
          </w:tcPr>
          <w:p>
            <w:pPr>
              <w:spacing w:after="0"/>
              <w:rPr>
                <w:sz w:val="14"/>
                <w:szCs w:val="14"/>
                <w:color w:val="auto"/>
              </w:rPr>
            </w:pPr>
          </w:p>
        </w:tc>
      </w:tr>
      <w:tr>
        <w:trPr>
          <w:trHeight w:val="159"/>
        </w:trPr>
        <w:tc>
          <w:tcPr>
            <w:tcW w:w="5400" w:type="dxa"/>
            <w:vAlign w:val="bottom"/>
          </w:tcPr>
          <w:p>
            <w:pPr>
              <w:spacing w:after="0"/>
              <w:rPr>
                <w:sz w:val="13"/>
                <w:szCs w:val="13"/>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 ratios</w:t>
            </w: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Return on assets (ratio of net income to average total assets)</w:t>
            </w:r>
            <w:r>
              <w:rPr>
                <w:rFonts w:ascii="Times New Roman" w:cs="Times New Roman" w:eastAsia="Times New Roman" w:hAnsi="Times New Roman"/>
                <w:sz w:val="16"/>
                <w:szCs w:val="16"/>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0.42 %</w:t>
            </w:r>
          </w:p>
        </w:tc>
      </w:tr>
      <w:tr>
        <w:trPr>
          <w:trHeight w:val="170"/>
        </w:trPr>
        <w:tc>
          <w:tcPr>
            <w:tcW w:w="5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Return on equity (ratio of net income to average equity)</w:t>
            </w:r>
            <w:r>
              <w:rPr>
                <w:rFonts w:ascii="Times New Roman" w:cs="Times New Roman" w:eastAsia="Times New Roman" w:hAnsi="Times New Roman"/>
                <w:sz w:val="16"/>
                <w:szCs w:val="16"/>
                <w:color w:val="auto"/>
                <w:vertAlign w:val="superscript"/>
              </w:rPr>
              <w:t>(1)</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11.51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3.88</w:t>
            </w: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Yield on earning assets</w:t>
            </w:r>
            <w:r>
              <w:rPr>
                <w:rFonts w:ascii="Times New Roman" w:cs="Times New Roman" w:eastAsia="Times New Roman" w:hAnsi="Times New Roman"/>
                <w:sz w:val="16"/>
                <w:szCs w:val="16"/>
                <w:color w:val="auto"/>
                <w:vertAlign w:val="superscript"/>
              </w:rPr>
              <w:t>(1)</w:t>
            </w:r>
          </w:p>
        </w:tc>
        <w:tc>
          <w:tcPr>
            <w:tcW w:w="1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3.45</w:t>
            </w:r>
          </w:p>
        </w:tc>
      </w:tr>
      <w:tr>
        <w:trPr>
          <w:trHeight w:val="170"/>
        </w:trPr>
        <w:tc>
          <w:tcPr>
            <w:tcW w:w="5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Rate paid on interest-bearing liabilities</w:t>
            </w:r>
            <w:r>
              <w:rPr>
                <w:rFonts w:ascii="Times New Roman" w:cs="Times New Roman" w:eastAsia="Times New Roman" w:hAnsi="Times New Roman"/>
                <w:sz w:val="16"/>
                <w:szCs w:val="16"/>
                <w:color w:val="auto"/>
                <w:vertAlign w:val="superscript"/>
              </w:rPr>
              <w:t>(1)</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0.57</w:t>
            </w:r>
          </w:p>
        </w:tc>
      </w:tr>
      <w:tr>
        <w:trPr>
          <w:trHeight w:val="170"/>
        </w:trPr>
        <w:tc>
          <w:tcPr>
            <w:tcW w:w="54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interest rate spread</w:t>
            </w:r>
            <w:r>
              <w:rPr>
                <w:rFonts w:ascii="Times New Roman" w:cs="Times New Roman" w:eastAsia="Times New Roman" w:hAnsi="Times New Roman"/>
                <w:sz w:val="16"/>
                <w:szCs w:val="16"/>
                <w:color w:val="auto"/>
                <w:vertAlign w:val="superscript"/>
              </w:rPr>
              <w:t>(1)</w:t>
            </w:r>
          </w:p>
        </w:tc>
        <w:tc>
          <w:tcPr>
            <w:tcW w:w="1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2.88</w:t>
            </w:r>
          </w:p>
        </w:tc>
      </w:tr>
      <w:tr>
        <w:trPr>
          <w:trHeight w:val="170"/>
        </w:trPr>
        <w:tc>
          <w:tcPr>
            <w:tcW w:w="54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Net interest margin</w:t>
            </w:r>
            <w:r>
              <w:rPr>
                <w:rFonts w:ascii="Times New Roman" w:cs="Times New Roman" w:eastAsia="Times New Roman" w:hAnsi="Times New Roman"/>
                <w:sz w:val="16"/>
                <w:szCs w:val="16"/>
                <w:color w:val="auto"/>
                <w:vertAlign w:val="superscript"/>
              </w:rPr>
              <w:t>(1)(2)</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interest-earning assets to average interest-bearing liabilities</w:t>
            </w:r>
          </w:p>
        </w:tc>
        <w:tc>
          <w:tcPr>
            <w:tcW w:w="1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136.76</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141.23</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138.30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128.01</w:t>
            </w:r>
          </w:p>
        </w:tc>
      </w:tr>
      <w:tr>
        <w:trPr>
          <w:trHeight w:val="172"/>
        </w:trPr>
        <w:tc>
          <w:tcPr>
            <w:tcW w:w="5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Noninterest expense to average total assets</w:t>
            </w:r>
            <w:r>
              <w:rPr>
                <w:rFonts w:ascii="Times New Roman" w:cs="Times New Roman" w:eastAsia="Times New Roman" w:hAnsi="Times New Roman"/>
                <w:sz w:val="16"/>
                <w:szCs w:val="16"/>
                <w:color w:val="auto"/>
                <w:vertAlign w:val="superscript"/>
              </w:rPr>
              <w:t>(1)</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3.55</w:t>
            </w:r>
          </w:p>
        </w:tc>
      </w:tr>
      <w:tr>
        <w:trPr>
          <w:trHeight w:val="168"/>
        </w:trPr>
        <w:tc>
          <w:tcPr>
            <w:tcW w:w="5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18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58.78</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61.50</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70.12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91.64</w:t>
            </w:r>
          </w:p>
        </w:tc>
      </w:tr>
      <w:tr>
        <w:trPr>
          <w:trHeight w:val="172"/>
        </w:trPr>
        <w:tc>
          <w:tcPr>
            <w:tcW w:w="5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Efficiency ratio – adjusted</w:t>
            </w:r>
            <w:r>
              <w:rPr>
                <w:rFonts w:ascii="Times New Roman" w:cs="Times New Roman" w:eastAsia="Times New Roman" w:hAnsi="Times New Roman"/>
                <w:sz w:val="16"/>
                <w:szCs w:val="16"/>
                <w:color w:val="auto"/>
                <w:vertAlign w:val="superscript"/>
              </w:rPr>
              <w:t>(3)</w:t>
            </w:r>
          </w:p>
        </w:tc>
        <w:tc>
          <w:tcPr>
            <w:tcW w:w="18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59.81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59.12</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69.19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73.41</w:t>
            </w: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20" w:type="dxa"/>
            <w:vAlign w:val="bottom"/>
          </w:tcPr>
          <w:p>
            <w:pPr>
              <w:spacing w:after="0"/>
              <w:rPr>
                <w:sz w:val="14"/>
                <w:szCs w:val="14"/>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At or For the Six Months Ended</w:t>
            </w: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At or For the Year Ended June 30,</w:t>
            </w:r>
          </w:p>
        </w:tc>
        <w:tc>
          <w:tcPr>
            <w:tcW w:w="900" w:type="dxa"/>
            <w:vAlign w:val="bottom"/>
            <w:tcBorders>
              <w:bottom w:val="single" w:sz="8" w:color="auto"/>
            </w:tcBorders>
          </w:tcPr>
          <w:p>
            <w:pPr>
              <w:spacing w:after="0"/>
              <w:rPr>
                <w:sz w:val="14"/>
                <w:szCs w:val="14"/>
                <w:color w:val="auto"/>
              </w:rPr>
            </w:pPr>
          </w:p>
        </w:tc>
      </w:tr>
      <w:tr>
        <w:trPr>
          <w:trHeight w:val="159"/>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3"/>
                <w:szCs w:val="13"/>
                <w:color w:val="auto"/>
              </w:rPr>
            </w:pPr>
          </w:p>
        </w:tc>
        <w:tc>
          <w:tcPr>
            <w:tcW w:w="98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 ratios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70"/>
        </w:trPr>
        <w:tc>
          <w:tcPr>
            <w:tcW w:w="5420" w:type="dxa"/>
            <w:vAlign w:val="bottom"/>
          </w:tcPr>
          <w:p>
            <w:pPr>
              <w:ind w:left="80"/>
              <w:spacing w:after="0" w:line="170" w:lineRule="exact"/>
              <w:rPr>
                <w:sz w:val="20"/>
                <w:szCs w:val="20"/>
                <w:color w:val="auto"/>
              </w:rPr>
            </w:pPr>
            <w:r>
              <w:rPr>
                <w:rFonts w:ascii="Times New Roman" w:cs="Times New Roman" w:eastAsia="Times New Roman" w:hAnsi="Times New Roman"/>
                <w:sz w:val="13"/>
                <w:szCs w:val="13"/>
                <w:color w:val="auto"/>
              </w:rPr>
              <w:t>Nonperforming assets to total assets</w:t>
            </w:r>
            <w:r>
              <w:rPr>
                <w:rFonts w:ascii="Times New Roman" w:cs="Times New Roman" w:eastAsia="Times New Roman" w:hAnsi="Times New Roman"/>
                <w:sz w:val="16"/>
                <w:szCs w:val="16"/>
                <w:color w:val="auto"/>
                <w:vertAlign w:val="superscript"/>
              </w:rPr>
              <w:t>(4)</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0.36 %</w:t>
            </w:r>
          </w:p>
        </w:tc>
      </w:tr>
      <w:tr>
        <w:trPr>
          <w:trHeight w:val="170"/>
        </w:trPr>
        <w:tc>
          <w:tcPr>
            <w:tcW w:w="5420" w:type="dxa"/>
            <w:vAlign w:val="bottom"/>
            <w:shd w:val="clear" w:color="auto" w:fill="CCEEFF"/>
          </w:tcPr>
          <w:p>
            <w:pPr>
              <w:ind w:left="80"/>
              <w:spacing w:after="0" w:line="170" w:lineRule="exact"/>
              <w:rPr>
                <w:sz w:val="20"/>
                <w:szCs w:val="20"/>
                <w:color w:val="auto"/>
              </w:rPr>
            </w:pPr>
            <w:r>
              <w:rPr>
                <w:rFonts w:ascii="Times New Roman" w:cs="Times New Roman" w:eastAsia="Times New Roman" w:hAnsi="Times New Roman"/>
                <w:sz w:val="13"/>
                <w:szCs w:val="13"/>
                <w:color w:val="auto"/>
              </w:rPr>
              <w:t>Nonperforming loans to total loans</w:t>
            </w:r>
            <w:r>
              <w:rPr>
                <w:rFonts w:ascii="Times New Roman" w:cs="Times New Roman" w:eastAsia="Times New Roman" w:hAnsi="Times New Roman"/>
                <w:sz w:val="16"/>
                <w:szCs w:val="16"/>
                <w:color w:val="auto"/>
                <w:vertAlign w:val="superscript"/>
              </w:rPr>
              <w:t>(4)</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0.46</w:t>
            </w:r>
          </w:p>
        </w:tc>
      </w:tr>
      <w:tr>
        <w:trPr>
          <w:trHeight w:val="168"/>
        </w:trPr>
        <w:tc>
          <w:tcPr>
            <w:tcW w:w="5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classified assets to total assets</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0.61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0.64</w:t>
            </w:r>
          </w:p>
        </w:tc>
      </w:tr>
      <w:tr>
        <w:trPr>
          <w:trHeight w:val="172"/>
        </w:trPr>
        <w:tc>
          <w:tcPr>
            <w:tcW w:w="54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Allowance for credit losses to nonperforming loans</w:t>
            </w:r>
            <w:r>
              <w:rPr>
                <w:rFonts w:ascii="Times New Roman" w:cs="Times New Roman" w:eastAsia="Times New Roman" w:hAnsi="Times New Roman"/>
                <w:sz w:val="16"/>
                <w:szCs w:val="16"/>
                <w:color w:val="auto"/>
                <w:vertAlign w:val="superscript"/>
              </w:rPr>
              <w:t>(4)</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251.60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567.56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566.83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281.38</w:t>
            </w:r>
          </w:p>
        </w:tc>
      </w:tr>
      <w:tr>
        <w:trPr>
          <w:trHeight w:val="168"/>
        </w:trPr>
        <w:tc>
          <w:tcPr>
            <w:tcW w:w="5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Allowance for credit losses to total loans</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1.30</w:t>
            </w:r>
          </w:p>
        </w:tc>
      </w:tr>
      <w:tr>
        <w:trPr>
          <w:trHeight w:val="172"/>
        </w:trPr>
        <w:tc>
          <w:tcPr>
            <w:tcW w:w="542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Net charge-offs to average loans</w:t>
            </w:r>
            <w:r>
              <w:rPr>
                <w:rFonts w:ascii="Times New Roman" w:cs="Times New Roman" w:eastAsia="Times New Roman" w:hAnsi="Times New Roman"/>
                <w:sz w:val="16"/>
                <w:szCs w:val="16"/>
                <w:color w:val="auto"/>
                <w:vertAlign w:val="superscript"/>
              </w:rPr>
              <w:t>(1)</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0.01</w:t>
            </w: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Capital ratios</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Equity to total assets at end of period</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10.96 %</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11.25 %</w:t>
            </w:r>
          </w:p>
        </w:tc>
      </w:tr>
      <w:tr>
        <w:trPr>
          <w:trHeight w:val="170"/>
        </w:trPr>
        <w:tc>
          <w:tcPr>
            <w:tcW w:w="5420" w:type="dxa"/>
            <w:vAlign w:val="bottom"/>
          </w:tcPr>
          <w:p>
            <w:pPr>
              <w:ind w:left="80"/>
              <w:spacing w:after="0" w:line="170" w:lineRule="exact"/>
              <w:rPr>
                <w:sz w:val="20"/>
                <w:szCs w:val="20"/>
                <w:color w:val="auto"/>
              </w:rPr>
            </w:pPr>
            <w:r>
              <w:rPr>
                <w:rFonts w:ascii="Times New Roman" w:cs="Times New Roman" w:eastAsia="Times New Roman" w:hAnsi="Times New Roman"/>
                <w:sz w:val="13"/>
                <w:szCs w:val="13"/>
                <w:color w:val="auto"/>
              </w:rPr>
              <w:t>Tangible equity to total tangible assets</w:t>
            </w:r>
            <w:r>
              <w:rPr>
                <w:rFonts w:ascii="Times New Roman" w:cs="Times New Roman" w:eastAsia="Times New Roman" w:hAnsi="Times New Roman"/>
                <w:sz w:val="16"/>
                <w:szCs w:val="16"/>
                <w:color w:val="auto"/>
                <w:vertAlign w:val="superscript"/>
              </w:rPr>
              <w:t>(3)</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10.59</w:t>
            </w:r>
          </w:p>
        </w:tc>
      </w:tr>
      <w:tr>
        <w:trPr>
          <w:trHeight w:val="170"/>
        </w:trPr>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Average equity to average assets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11.20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10.91</w:t>
            </w:r>
          </w:p>
        </w:tc>
      </w:tr>
      <w:tr>
        <w:trPr>
          <w:trHeight w:val="168"/>
        </w:trPr>
        <w:tc>
          <w:tcPr>
            <w:tcW w:w="5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Dividend payout ratio</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15.30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32.01</w:t>
            </w:r>
          </w:p>
        </w:tc>
      </w:tr>
      <w:tr>
        <w:trPr>
          <w:trHeight w:val="172"/>
        </w:trPr>
        <w:tc>
          <w:tcPr>
            <w:tcW w:w="5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Dividends declared per common share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0.31</w:t>
            </w:r>
          </w:p>
        </w:tc>
      </w:tr>
    </w:tbl>
    <w:p>
      <w:pPr>
        <w:spacing w:after="0" w:line="61"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Ratio is annualized for the six months ended December 31, 2023.</w:t>
      </w:r>
    </w:p>
    <w:p>
      <w:pPr>
        <w:spacing w:after="0" w:line="11" w:lineRule="exact"/>
        <w:rPr>
          <w:rFonts w:ascii="Times New Roman" w:cs="Times New Roman" w:eastAsia="Times New Roman" w:hAnsi="Times New Roman"/>
          <w:sz w:val="10"/>
          <w:szCs w:val="10"/>
          <w:color w:val="auto"/>
        </w:rPr>
      </w:pPr>
    </w:p>
    <w:p>
      <w:pPr>
        <w:ind w:left="260" w:hanging="255"/>
        <w:spacing w:after="0"/>
        <w:tabs>
          <w:tab w:leader="none" w:pos="2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interest income divided by average interest-earning assets.</w:t>
      </w:r>
    </w:p>
    <w:p>
      <w:pPr>
        <w:spacing w:after="0" w:line="1" w:lineRule="exact"/>
        <w:rPr>
          <w:rFonts w:ascii="Times New Roman" w:cs="Times New Roman" w:eastAsia="Times New Roman" w:hAnsi="Times New Roman"/>
          <w:sz w:val="10"/>
          <w:szCs w:val="10"/>
          <w:color w:val="auto"/>
        </w:rPr>
      </w:pPr>
    </w:p>
    <w:p>
      <w:pPr>
        <w:ind w:left="260" w:hanging="255"/>
        <w:spacing w:after="0"/>
        <w:tabs>
          <w:tab w:leader="none" w:pos="2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"GAAP Reconciliation of Non-GAAP Financial Measures" section below for additional details.</w:t>
      </w:r>
    </w:p>
    <w:p>
      <w:pPr>
        <w:spacing w:after="0" w:line="3" w:lineRule="exact"/>
        <w:rPr>
          <w:rFonts w:ascii="Times New Roman" w:cs="Times New Roman" w:eastAsia="Times New Roman" w:hAnsi="Times New Roman"/>
          <w:sz w:val="10"/>
          <w:szCs w:val="10"/>
          <w:color w:val="auto"/>
        </w:rPr>
      </w:pPr>
    </w:p>
    <w:p>
      <w:pPr>
        <w:ind w:left="260" w:hanging="255"/>
        <w:spacing w:after="0"/>
        <w:tabs>
          <w:tab w:leader="none" w:pos="26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Nonperforming assets and loans include nonaccruing loans and OREO. There were no accruing loans more than 90 days past due at the dates indicated. At December 31, 2023, $2.4 million, or 12.3%, of nonperforming loans were current on their loan payments.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color w:val="auto"/>
        </w:rPr>
        <w:t>GAAP Reconciliation of Non-GAAP Financial Measures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believe the non-GAAP financial measures included above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 financial measures.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our efficiency ratio:</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Six Months Ended December</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Year Ended June 30,</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31, 2023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0" w:type="dxa"/>
            <w:vAlign w:val="bottom"/>
          </w:tcPr>
          <w:p>
            <w:pPr>
              <w:spacing w:after="0"/>
              <w:rPr>
                <w:sz w:val="1"/>
                <w:szCs w:val="1"/>
                <w:color w:val="auto"/>
              </w:rPr>
            </w:pPr>
          </w:p>
        </w:tc>
      </w:tr>
      <w:tr>
        <w:trPr>
          <w:trHeight w:val="162"/>
        </w:trPr>
        <w:tc>
          <w:tcPr>
            <w:tcW w:w="5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Noninterest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131,182</w:t>
            </w: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branch closure and restructuring expenses</w:t>
            </w:r>
          </w:p>
        </w:tc>
        <w:tc>
          <w:tcPr>
            <w:tcW w:w="80" w:type="dxa"/>
            <w:vAlign w:val="bottom"/>
          </w:tcPr>
          <w:p>
            <w:pPr>
              <w:spacing w:after="0"/>
              <w:rPr>
                <w:sz w:val="14"/>
                <w:szCs w:val="14"/>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officer transition agreement expense</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merger-related expenses</w:t>
            </w:r>
          </w:p>
        </w:tc>
        <w:tc>
          <w:tcPr>
            <w:tcW w:w="80" w:type="dxa"/>
            <w:vAlign w:val="bottom"/>
          </w:tcPr>
          <w:p>
            <w:pPr>
              <w:spacing w:after="0"/>
              <w:rPr>
                <w:sz w:val="14"/>
                <w:szCs w:val="14"/>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prepayment penalties on borrowings</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0" w:type="dxa"/>
            <w:vAlign w:val="bottom"/>
          </w:tcPr>
          <w:p>
            <w:pPr>
              <w:spacing w:after="0"/>
              <w:rPr>
                <w:sz w:val="1"/>
                <w:szCs w:val="1"/>
                <w:color w:val="auto"/>
              </w:rPr>
            </w:pPr>
          </w:p>
        </w:tc>
      </w:tr>
      <w:tr>
        <w:trPr>
          <w:trHeight w:val="158"/>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Noninterest expense – adjusted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110,444</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103,302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106,979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157,415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103,322</w:t>
            </w: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 tax equivalent adjustment</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Plus: noninterest income</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39,821</w:t>
            </w:r>
          </w:p>
        </w:tc>
        <w:tc>
          <w:tcPr>
            <w:tcW w:w="0" w:type="dxa"/>
            <w:vAlign w:val="bottom"/>
          </w:tcPr>
          <w:p>
            <w:pPr>
              <w:spacing w:after="0"/>
              <w:rPr>
                <w:sz w:val="1"/>
                <w:szCs w:val="1"/>
                <w:color w:val="auto"/>
              </w:rPr>
            </w:pP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BOLI death benefit proceeds in excess of cash surrender value</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gain on sale of available for sale and equity securities</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gain (loss) on sale of premises and equipment</w:t>
            </w: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interest income plus noninterest income – adjusted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99,216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186,810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149,306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Efficiency ratio</w:t>
            </w:r>
          </w:p>
        </w:tc>
        <w:tc>
          <w:tcPr>
            <w:tcW w:w="80" w:type="dxa"/>
            <w:vAlign w:val="bottom"/>
          </w:tcPr>
          <w:p>
            <w:pPr>
              <w:spacing w:after="0"/>
              <w:rPr>
                <w:sz w:val="19"/>
                <w:szCs w:val="19"/>
                <w:color w:val="auto"/>
              </w:rPr>
            </w:pPr>
          </w:p>
        </w:tc>
        <w:tc>
          <w:tcPr>
            <w:tcW w:w="16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58.78 %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61.50 %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70.12 %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91.64 %</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Efficiency ratio – adjusted</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center"/>
              <w:ind w:left="816"/>
              <w:spacing w:after="0"/>
              <w:rPr>
                <w:sz w:val="20"/>
                <w:szCs w:val="20"/>
                <w:color w:val="auto"/>
              </w:rPr>
            </w:pPr>
            <w:r>
              <w:rPr>
                <w:rFonts w:ascii="Times New Roman" w:cs="Times New Roman" w:eastAsia="Times New Roman" w:hAnsi="Times New Roman"/>
                <w:sz w:val="13"/>
                <w:szCs w:val="13"/>
                <w:color w:val="auto"/>
              </w:rPr>
              <w:t>59.81 %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59.12 %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69.19 %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73.41 %</w:t>
            </w:r>
          </w:p>
        </w:tc>
        <w:tc>
          <w:tcPr>
            <w:tcW w:w="0" w:type="dxa"/>
            <w:vAlign w:val="bottom"/>
          </w:tcPr>
          <w:p>
            <w:pPr>
              <w:spacing w:after="0"/>
              <w:rPr>
                <w:sz w:val="1"/>
                <w:szCs w:val="1"/>
                <w:color w:val="auto"/>
              </w:rPr>
            </w:pPr>
          </w:p>
        </w:tc>
      </w:tr>
      <w:tr>
        <w:trPr>
          <w:trHeight w:val="250"/>
        </w:trPr>
        <w:tc>
          <w:tcPr>
            <w:tcW w:w="71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book value and tangible book value per share:</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80" w:type="dxa"/>
            <w:vAlign w:val="bottom"/>
          </w:tcPr>
          <w:p>
            <w:pPr>
              <w:spacing w:after="0"/>
              <w:rPr>
                <w:sz w:val="16"/>
                <w:szCs w:val="16"/>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1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00" w:type="dxa"/>
            <w:vAlign w:val="bottom"/>
          </w:tcPr>
          <w:p>
            <w:pPr>
              <w:spacing w:after="0"/>
              <w:rPr>
                <w:sz w:val="16"/>
                <w:szCs w:val="16"/>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0" w:type="dxa"/>
            <w:vAlign w:val="bottom"/>
          </w:tcPr>
          <w:p>
            <w:pPr>
              <w:spacing w:after="0"/>
              <w:rPr>
                <w:sz w:val="1"/>
                <w:szCs w:val="1"/>
                <w:color w:val="auto"/>
              </w:rPr>
            </w:pPr>
          </w:p>
        </w:tc>
      </w:tr>
      <w:tr>
        <w:trPr>
          <w:trHeight w:val="163"/>
        </w:trPr>
        <w:tc>
          <w:tcPr>
            <w:tcW w:w="52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Total stockholders' equity</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0" w:type="dxa"/>
            <w:vAlign w:val="bottom"/>
          </w:tcPr>
          <w:p>
            <w:pPr>
              <w:spacing w:after="0"/>
              <w:rPr>
                <w:sz w:val="1"/>
                <w:szCs w:val="1"/>
                <w:color w:val="auto"/>
              </w:rPr>
            </w:pPr>
          </w:p>
        </w:tc>
      </w:tr>
      <w:tr>
        <w:trPr>
          <w:trHeight w:val="16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41,086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42,410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25,902</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Tangible book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458,807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428,776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363,135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370,617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Common shares outstanding</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2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17,387,069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17,366,673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15,591,466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16,636,483</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Book value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23.83</w:t>
            </w:r>
          </w:p>
        </w:tc>
        <w:tc>
          <w:tcPr>
            <w:tcW w:w="0" w:type="dxa"/>
            <w:vAlign w:val="bottom"/>
          </w:tcPr>
          <w:p>
            <w:pPr>
              <w:spacing w:after="0"/>
              <w:rPr>
                <w:sz w:val="1"/>
                <w:szCs w:val="1"/>
                <w:color w:val="auto"/>
              </w:rPr>
            </w:pPr>
          </w:p>
        </w:tc>
      </w:tr>
      <w:tr>
        <w:trPr>
          <w:trHeight w:val="165"/>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Tangible book value per share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0" w:type="dxa"/>
            <w:vAlign w:val="bottom"/>
          </w:tcPr>
          <w:p>
            <w:pPr>
              <w:spacing w:after="0"/>
              <w:rPr>
                <w:sz w:val="1"/>
                <w:szCs w:val="1"/>
                <w:color w:val="auto"/>
              </w:rPr>
            </w:pPr>
          </w:p>
        </w:tc>
      </w:tr>
      <w:tr>
        <w:trPr>
          <w:trHeight w:val="255"/>
        </w:trPr>
        <w:tc>
          <w:tcPr>
            <w:tcW w:w="5260" w:type="dxa"/>
            <w:vAlign w:val="bottom"/>
          </w:tcPr>
          <w:p>
            <w:pPr>
              <w:spacing w:after="0"/>
              <w:rPr>
                <w:sz w:val="20"/>
                <w:szCs w:val="20"/>
                <w:color w:val="auto"/>
              </w:rPr>
            </w:pPr>
            <w:r>
              <w:rPr>
                <w:rFonts w:ascii="Times New Roman" w:cs="Times New Roman" w:eastAsia="Times New Roman" w:hAnsi="Times New Roman"/>
                <w:sz w:val="13"/>
                <w:szCs w:val="13"/>
                <w:color w:val="auto"/>
              </w:rPr>
              <w:t>Set forth below is a reconciliation to US GAAP of tangible equity to tangible assets:</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8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10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00" w:type="dxa"/>
            <w:vAlign w:val="bottom"/>
          </w:tcPr>
          <w:p>
            <w:pPr>
              <w:spacing w:after="0"/>
              <w:rPr>
                <w:sz w:val="15"/>
                <w:szCs w:val="15"/>
                <w:color w:val="auto"/>
              </w:rPr>
            </w:pPr>
          </w:p>
        </w:tc>
        <w:tc>
          <w:tcPr>
            <w:tcW w:w="11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June 30, 2021</w:t>
            </w:r>
          </w:p>
        </w:tc>
        <w:tc>
          <w:tcPr>
            <w:tcW w:w="0" w:type="dxa"/>
            <w:vAlign w:val="bottom"/>
          </w:tcPr>
          <w:p>
            <w:pPr>
              <w:spacing w:after="0"/>
              <w:rPr>
                <w:sz w:val="1"/>
                <w:szCs w:val="1"/>
                <w:color w:val="auto"/>
              </w:rPr>
            </w:pPr>
          </w:p>
        </w:tc>
      </w:tr>
      <w:tr>
        <w:trPr>
          <w:trHeight w:val="163"/>
        </w:trPr>
        <w:tc>
          <w:tcPr>
            <w:tcW w:w="526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Tangible equity</w:t>
            </w:r>
            <w:r>
              <w:rPr>
                <w:rFonts w:ascii="Times New Roman" w:cs="Times New Roman" w:eastAsia="Times New Roman" w:hAnsi="Times New Roman"/>
                <w:sz w:val="16"/>
                <w:szCs w:val="16"/>
                <w:color w:val="auto"/>
                <w:vertAlign w:val="superscript"/>
              </w:rPr>
              <w:t>(1)</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458,807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428,776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363,135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370,617</w:t>
            </w:r>
          </w:p>
        </w:tc>
        <w:tc>
          <w:tcPr>
            <w:tcW w:w="0" w:type="dxa"/>
            <w:vAlign w:val="bottom"/>
          </w:tcPr>
          <w:p>
            <w:pPr>
              <w:spacing w:after="0"/>
              <w:rPr>
                <w:sz w:val="1"/>
                <w:szCs w:val="1"/>
                <w:color w:val="auto"/>
              </w:rPr>
            </w:pPr>
          </w:p>
        </w:tc>
      </w:tr>
      <w:tr>
        <w:trPr>
          <w:trHeight w:val="158"/>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4,607,487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3,524,723</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goodwill, core deposit intangibles, net of taxes</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42,410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25,902</w:t>
            </w:r>
          </w:p>
        </w:tc>
        <w:tc>
          <w:tcPr>
            <w:tcW w:w="0" w:type="dxa"/>
            <w:vAlign w:val="bottom"/>
          </w:tcPr>
          <w:p>
            <w:pPr>
              <w:spacing w:after="0"/>
              <w:rPr>
                <w:sz w:val="1"/>
                <w:szCs w:val="1"/>
                <w:color w:val="auto"/>
              </w:rPr>
            </w:pPr>
          </w:p>
        </w:tc>
      </w:tr>
      <w:tr>
        <w:trPr>
          <w:trHeight w:val="158"/>
        </w:trPr>
        <w:tc>
          <w:tcPr>
            <w:tcW w:w="5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tangible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4,631,547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4,565,077</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3,523,494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3,498,821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5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Tangible equity to tangible assets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rPr>
              <w:t>9.91 %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9.39 %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10.31 %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0"/>
          <w:szCs w:val="10"/>
          <w:color w:val="auto"/>
        </w:rPr>
        <w:t>(1)</w:t>
      </w:r>
      <w:r>
        <w:rPr>
          <w:sz w:val="20"/>
          <w:szCs w:val="20"/>
          <w:color w:val="auto"/>
        </w:rPr>
        <w:tab/>
      </w:r>
      <w:r>
        <w:rPr>
          <w:rFonts w:ascii="Times New Roman" w:cs="Times New Roman" w:eastAsia="Times New Roman" w:hAnsi="Times New Roman"/>
          <w:sz w:val="9"/>
          <w:szCs w:val="9"/>
          <w:color w:val="auto"/>
        </w:rPr>
        <w:t>Tangible equity (or tangible book value) is equal to total stockholders' equity less goodwill and core deposit intangibles, net of related deferred tax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following discussion and analysis presents the more significant factors that affected our financial condition as of December 31, 2023 and June 30, 2023 and results of operations for the six-month transition period ended December 31, 2023 and each of the years in the three-year period ended June 30, 2023. Refer to "Item 7. Management’s Discussion and Analysis of Financial Condition and Results of Operations" included in our Annual Report on Form 10-K filed with the SEC on September 11, 2023 (the “2023 Form 10-K”) for a discussion and analysis of the more significant factors that affected periods prior to the six-month transition period ended December 31, 2023.</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sale of loans held for sale, BOLI income and operating lease income.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 offset to net interest income is the provision for credit losses to establish the ACL at a level that provides for ECLs inherent in our loan portfolio, off balance sheet commitments and available for sale debt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1 – Summary of Significant Accounting Policies” of the Notes to the Consolidated Financial Statements included in Item 8 of this Form 10-KT for further discussion.</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noninterest expenses consist primarily of salaries and employee benefits, occupancy expenses, marketing and computer services and FDIC deposit insurance premiums. Salaries and benefits consist primarily of the salaries and wages paid to our employees, payroll taxes,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27" w:name="page28"/>
    <w:bookmarkEnd w:id="27"/>
    <w:p>
      <w:pPr>
        <w:jc w:val="both"/>
        <w:spacing w:after="0" w:line="264" w:lineRule="auto"/>
        <w:rPr>
          <w:sz w:val="20"/>
          <w:szCs w:val="20"/>
          <w:color w:val="auto"/>
        </w:rPr>
      </w:pPr>
      <w:r>
        <w:rPr>
          <w:rFonts w:ascii="Times New Roman" w:cs="Times New Roman" w:eastAsia="Times New Roman" w:hAnsi="Times New Roman"/>
          <w:sz w:val="13"/>
          <w:szCs w:val="13"/>
          <w:color w:val="auto"/>
        </w:rPr>
        <w:t>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 our critical accounting policies:</w:t>
      </w:r>
    </w:p>
    <w:p>
      <w:pPr>
        <w:spacing w:after="0" w:line="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Allowance for Credit Losses, or ACL, on Loans. </w:t>
      </w:r>
      <w:r>
        <w:rPr>
          <w:rFonts w:ascii="Times New Roman" w:cs="Times New Roman" w:eastAsia="Times New Roman" w:hAnsi="Times New Roman"/>
          <w:sz w:val="13"/>
          <w:szCs w:val="13"/>
          <w:color w:val="auto"/>
        </w:rPr>
        <w:t>The ACL on loans held for investment reflects our estimate of credit losses that will result from the inability of our borrowers to make required loan payments. We charge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The estimate of our ACL on loans held for investment involves a high degree of judgment including consideration of the effects of past events, current conditions and reasonable and supportable forecasts on the collectability of the loan portfolio.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pacing w:after="0" w:line="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 xml:space="preserve">Business Combinations, Core Deposit Intangible and Acquired Loans. </w:t>
      </w:r>
      <w:r>
        <w:rPr>
          <w:rFonts w:ascii="Times New Roman" w:cs="Times New Roman" w:eastAsia="Times New Roman" w:hAnsi="Times New Roman"/>
          <w:sz w:val="13"/>
          <w:szCs w:val="13"/>
          <w:color w:val="auto"/>
        </w:rPr>
        <w:t>ASC 805 requires that we use the acquisition method of accounting for all business combinations. The acquisition method of accounting requires us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as the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primary identifiable intangible asset we typically record in connection with a whole bank or branch acquisition is the value of the core deposit intangible which represents the estimated value of the long-term deposit relationships acquired in the transaction. Determining the amount of identifiable intangible assets and their average lives involves multiple assumptions and estimates and is typically determined by performing a DCF analysis, which involves a combination of any or all of the following assumptions: customer attrition/runoff, alternative funding costs, deposit servicing costs and discount rates. The core deposit intangibles are amortized using an accelerated method over the estimated useful lives of the related deposits, typically between five and 10 years. We review identifiable intangible assets for impairment whenever events or changes in circumstances indicate that the carrying value may not be recoverable.</w:t>
      </w:r>
    </w:p>
    <w:p>
      <w:pPr>
        <w:spacing w:after="0" w:line="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fair value for acquired loans at the time of acquisition is based on a variety of factors including discounted expected cash flows, adjusted for estimated prepayments and credit losses. In accordance with ASC 326, the fair value adjustment is recorded as premium or discount to the unpaid principal balance of each acquired loan. Loans that have been identified as having experienced a more-than-insignificant deterioration in credit quality since origination are PCD loans. An ACL on PCD loans is established at the time of acquisition as part of the purchase accounting adjustments, while the remaining net premium or discount is accreted or amortized into interest income over the remaining life of the loan using the level yield method. The net premium or discount on non-PCD loans, that includes credit quality and interest rate considerations, is accreted or amortized into interest income over the remaining life of the loan using the level yield method. The Company then records the necessary ACL on the non-PCD loans through provision for credit losses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a discussion of recent accounting pronouncements, see “Note 1 – Summary of Significant Accounting Policies" of the Notes to the Consolidated Financial Statements in Item 8 of this report on Form 10-KT for further discussion.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Results of Operations for the Six Months Ended December 31, 2023 and December 31, 2022</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Income. </w:t>
      </w:r>
      <w:r>
        <w:rPr>
          <w:rFonts w:ascii="Times New Roman" w:cs="Times New Roman" w:eastAsia="Times New Roman" w:hAnsi="Times New Roman"/>
          <w:sz w:val="13"/>
          <w:szCs w:val="13"/>
          <w:color w:val="auto"/>
        </w:rPr>
        <w:t>Net income totaled $28.3 million, or $1.67 per diluted share, for the six months ended December 31, 2023 compared to $22.9 million, or $1.50 per diluted share, for the six months ended December 31, 2022,</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 increase of $5.4 million, or 23.8%. The results for the six months ended December 31, 2023 compared to the same period last year were positively impacted by a $12.0 million, or 16.7%, increase in net interest income, partially offset by a $3.5 million, or 11.8%, increase in salaries and employee benefits expense and a $1.7 million increase in core deposit intangible amortization as a result of the Company's February 12, 2023 merger with Quantum as is further described in "Note 3 – Merger with Quantum" of the Notes to the Consolidated Financial Statements in Item 8 of this report on Form 10-KT. Details of the changes in the various components of net income are further discussed below.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8" w:name="page29"/>
    <w:bookmarkEnd w:id="28"/>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Net Interest Income. </w:t>
      </w:r>
      <w:r>
        <w:rPr>
          <w:rFonts w:ascii="Times New Roman" w:cs="Times New Roman" w:eastAsia="Times New Roman" w:hAnsi="Times New Roman"/>
          <w:sz w:val="13"/>
          <w:szCs w:val="13"/>
          <w:color w:val="auto"/>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center"/>
              <w:ind w:right="23"/>
              <w:spacing w:after="0" w:line="102"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center"/>
              <w:ind w:right="143"/>
              <w:spacing w:after="0" w:line="10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8"/>
                <w:szCs w:val="8"/>
                <w:color w:val="auto"/>
              </w:rPr>
            </w:pPr>
          </w:p>
        </w:tc>
        <w:tc>
          <w:tcPr>
            <w:tcW w:w="1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200" w:type="dxa"/>
            <w:vAlign w:val="bottom"/>
          </w:tcPr>
          <w:p>
            <w:pPr>
              <w:spacing w:after="0"/>
              <w:rPr>
                <w:sz w:val="8"/>
                <w:szCs w:val="8"/>
                <w:color w:val="auto"/>
              </w:rPr>
            </w:pPr>
          </w:p>
        </w:tc>
        <w:tc>
          <w:tcPr>
            <w:tcW w:w="900" w:type="dxa"/>
            <w:vAlign w:val="bottom"/>
          </w:tcPr>
          <w:p>
            <w:pPr>
              <w:jc w:val="center"/>
              <w:ind w:right="3"/>
              <w:spacing w:after="0" w:line="102"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jc w:val="center"/>
              <w:ind w:right="183"/>
              <w:spacing w:after="0" w:line="10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8"/>
                <w:szCs w:val="8"/>
                <w:color w:val="auto"/>
              </w:rPr>
            </w:pPr>
          </w:p>
        </w:tc>
        <w:tc>
          <w:tcPr>
            <w:tcW w:w="122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Yield/</w:t>
            </w:r>
          </w:p>
        </w:tc>
        <w:tc>
          <w:tcPr>
            <w:tcW w:w="0" w:type="dxa"/>
            <w:vAlign w:val="bottom"/>
          </w:tcPr>
          <w:p>
            <w:pPr>
              <w:spacing w:after="0"/>
              <w:rPr>
                <w:sz w:val="1"/>
                <w:szCs w:val="1"/>
                <w:color w:val="auto"/>
              </w:rPr>
            </w:pPr>
          </w:p>
        </w:tc>
      </w:tr>
      <w:tr>
        <w:trPr>
          <w:trHeight w:val="117"/>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Pr>
          <w:p>
            <w:pPr>
              <w:spacing w:after="0"/>
              <w:rPr>
                <w:sz w:val="10"/>
                <w:szCs w:val="10"/>
                <w:color w:val="auto"/>
              </w:rPr>
            </w:pPr>
          </w:p>
        </w:tc>
        <w:tc>
          <w:tcPr>
            <w:tcW w:w="92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43"/>
              <w:spacing w:after="0" w:line="117" w:lineRule="exact"/>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Balance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63"/>
              <w:spacing w:after="0" w:line="117" w:lineRule="exact"/>
              <w:rPr>
                <w:sz w:val="20"/>
                <w:szCs w:val="20"/>
                <w:color w:val="auto"/>
              </w:rPr>
            </w:pPr>
            <w:r>
              <w:rPr>
                <w:rFonts w:ascii="Times New Roman" w:cs="Times New Roman" w:eastAsia="Times New Roman" w:hAnsi="Times New Roman"/>
                <w:sz w:val="11"/>
                <w:szCs w:val="11"/>
                <w:b w:val="1"/>
                <w:bCs w:val="1"/>
                <w:color w:val="auto"/>
              </w:rPr>
              <w:t>Earned/</w:t>
            </w: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Paid</w:t>
            </w:r>
          </w:p>
        </w:tc>
        <w:tc>
          <w:tcPr>
            <w:tcW w:w="100" w:type="dxa"/>
            <w:vAlign w:val="bottom"/>
          </w:tcPr>
          <w:p>
            <w:pPr>
              <w:spacing w:after="0"/>
              <w:rPr>
                <w:sz w:val="13"/>
                <w:szCs w:val="13"/>
                <w:color w:val="auto"/>
              </w:rPr>
            </w:pP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200" w:type="dxa"/>
            <w:vAlign w:val="bottom"/>
          </w:tcPr>
          <w:p>
            <w:pPr>
              <w:spacing w:after="0"/>
              <w:rPr>
                <w:sz w:val="13"/>
                <w:szCs w:val="13"/>
                <w:color w:val="auto"/>
              </w:rPr>
            </w:pPr>
          </w:p>
        </w:tc>
        <w:tc>
          <w:tcPr>
            <w:tcW w:w="90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Paid</w:t>
            </w:r>
          </w:p>
        </w:tc>
        <w:tc>
          <w:tcPr>
            <w:tcW w:w="80" w:type="dxa"/>
            <w:vAlign w:val="bottom"/>
          </w:tcPr>
          <w:p>
            <w:pPr>
              <w:spacing w:after="0"/>
              <w:rPr>
                <w:sz w:val="13"/>
                <w:szCs w:val="13"/>
                <w:color w:val="auto"/>
              </w:rPr>
            </w:pPr>
          </w:p>
        </w:tc>
        <w:tc>
          <w:tcPr>
            <w:tcW w:w="122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44"/>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Interest-earning assets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Loans receivable</w:t>
            </w:r>
            <w:r>
              <w:rPr>
                <w:rFonts w:ascii="Times New Roman" w:cs="Times New Roman" w:eastAsia="Times New Roman" w:hAnsi="Times New Roman"/>
                <w:sz w:val="14"/>
                <w:szCs w:val="14"/>
                <w:color w:val="auto"/>
                <w:vertAlign w:val="superscript"/>
              </w:rPr>
              <w:t>(1)</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3,870,776</w:t>
            </w:r>
          </w:p>
        </w:tc>
        <w:tc>
          <w:tcPr>
            <w:tcW w:w="42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118,565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2,939,677</w:t>
            </w:r>
          </w:p>
        </w:tc>
        <w:tc>
          <w:tcPr>
            <w:tcW w:w="440" w:type="dxa"/>
            <w:vAlign w:val="bottom"/>
            <w:gridSpan w:val="3"/>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72,240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4.87 %</w:t>
            </w:r>
          </w:p>
        </w:tc>
        <w:tc>
          <w:tcPr>
            <w:tcW w:w="0" w:type="dxa"/>
            <w:vAlign w:val="bottom"/>
          </w:tcPr>
          <w:p>
            <w:pPr>
              <w:spacing w:after="0"/>
              <w:rPr>
                <w:sz w:val="1"/>
                <w:szCs w:val="1"/>
                <w:color w:val="auto"/>
              </w:rPr>
            </w:pPr>
          </w:p>
        </w:tc>
      </w:tr>
      <w:tr>
        <w:trPr>
          <w:trHeight w:val="153"/>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paper</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124,351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1,300</w:t>
            </w:r>
          </w:p>
        </w:tc>
        <w:tc>
          <w:tcPr>
            <w:tcW w:w="13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Debt securities available for sale</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2,516</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151,417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1,829</w:t>
            </w:r>
          </w:p>
        </w:tc>
        <w:tc>
          <w:tcPr>
            <w:tcW w:w="1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59"/>
        </w:trPr>
        <w:tc>
          <w:tcPr>
            <w:tcW w:w="3700" w:type="dxa"/>
            <w:vAlign w:val="bottom"/>
          </w:tcPr>
          <w:p>
            <w:pPr>
              <w:ind w:left="80"/>
              <w:spacing w:after="0" w:line="159" w:lineRule="exact"/>
              <w:rPr>
                <w:sz w:val="20"/>
                <w:szCs w:val="20"/>
                <w:color w:val="auto"/>
              </w:rPr>
            </w:pPr>
            <w:r>
              <w:rPr>
                <w:rFonts w:ascii="Times New Roman" w:cs="Times New Roman" w:eastAsia="Times New Roman" w:hAnsi="Times New Roman"/>
                <w:sz w:val="11"/>
                <w:szCs w:val="11"/>
                <w:color w:val="auto"/>
              </w:rPr>
              <w:t>Other interest-earning assets</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3,603</w:t>
            </w: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5.30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100,125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1,960</w:t>
            </w:r>
          </w:p>
        </w:tc>
        <w:tc>
          <w:tcPr>
            <w:tcW w:w="13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3.88</w:t>
            </w:r>
          </w:p>
        </w:tc>
        <w:tc>
          <w:tcPr>
            <w:tcW w:w="0" w:type="dxa"/>
            <w:vAlign w:val="bottom"/>
          </w:tcPr>
          <w:p>
            <w:pPr>
              <w:spacing w:after="0"/>
              <w:rPr>
                <w:sz w:val="1"/>
                <w:szCs w:val="1"/>
                <w:color w:val="auto"/>
              </w:rPr>
            </w:pPr>
          </w:p>
        </w:tc>
      </w:tr>
      <w:tr>
        <w:trPr>
          <w:trHeight w:val="150"/>
        </w:trPr>
        <w:tc>
          <w:tcPr>
            <w:tcW w:w="3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4,147,563</w:t>
            </w: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124,684</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5.96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3,315,570</w:t>
            </w: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77,329</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4.63</w:t>
            </w:r>
          </w:p>
        </w:tc>
        <w:tc>
          <w:tcPr>
            <w:tcW w:w="0" w:type="dxa"/>
            <w:vAlign w:val="bottom"/>
          </w:tcPr>
          <w:p>
            <w:pPr>
              <w:spacing w:after="0"/>
              <w:rPr>
                <w:sz w:val="1"/>
                <w:szCs w:val="1"/>
                <w:color w:val="auto"/>
              </w:rPr>
            </w:pPr>
          </w:p>
        </w:tc>
      </w:tr>
      <w:tr>
        <w:trPr>
          <w:trHeight w:val="13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273,989</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239,636</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4,421,552</w:t>
            </w: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3,555,206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Interest-bearing checking accounts</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596,330</w:t>
            </w:r>
          </w:p>
        </w:tc>
        <w:tc>
          <w:tcPr>
            <w:tcW w:w="42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0.77 %</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640,851</w:t>
            </w:r>
          </w:p>
        </w:tc>
        <w:tc>
          <w:tcPr>
            <w:tcW w:w="44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0.26 %</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Money market accounts</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1,236,771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16,657</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961,045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2,456</w:t>
            </w:r>
          </w:p>
        </w:tc>
        <w:tc>
          <w:tcPr>
            <w:tcW w:w="1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0.51</w:t>
            </w:r>
          </w:p>
        </w:tc>
        <w:tc>
          <w:tcPr>
            <w:tcW w:w="0" w:type="dxa"/>
            <w:vAlign w:val="bottom"/>
          </w:tcPr>
          <w:p>
            <w:pPr>
              <w:spacing w:after="0"/>
              <w:rPr>
                <w:sz w:val="1"/>
                <w:szCs w:val="1"/>
                <w:color w:val="auto"/>
              </w:rPr>
            </w:pPr>
          </w:p>
        </w:tc>
      </w:tr>
      <w:tr>
        <w:trPr>
          <w:trHeight w:val="153"/>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Savings accounts</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237,509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w:t>
            </w:r>
          </w:p>
        </w:tc>
        <w:tc>
          <w:tcPr>
            <w:tcW w:w="13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0.07</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Certificate accounts</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804,183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15,644</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460,803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1,615</w:t>
            </w:r>
          </w:p>
        </w:tc>
        <w:tc>
          <w:tcPr>
            <w:tcW w:w="1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0.70</w:t>
            </w:r>
          </w:p>
        </w:tc>
        <w:tc>
          <w:tcPr>
            <w:tcW w:w="0" w:type="dxa"/>
            <w:vAlign w:val="bottom"/>
          </w:tcPr>
          <w:p>
            <w:pPr>
              <w:spacing w:after="0"/>
              <w:rPr>
                <w:sz w:val="1"/>
                <w:szCs w:val="1"/>
                <w:color w:val="auto"/>
              </w:rPr>
            </w:pPr>
          </w:p>
        </w:tc>
      </w:tr>
      <w:tr>
        <w:trPr>
          <w:trHeight w:val="144"/>
        </w:trPr>
        <w:tc>
          <w:tcPr>
            <w:tcW w:w="37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2,840,289</w:t>
            </w: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34,718</w:t>
            </w:r>
          </w:p>
        </w:tc>
        <w:tc>
          <w:tcPr>
            <w:tcW w:w="100" w:type="dxa"/>
            <w:vAlign w:val="bottom"/>
          </w:tcPr>
          <w:p>
            <w:pPr>
              <w:spacing w:after="0"/>
              <w:rPr>
                <w:sz w:val="12"/>
                <w:szCs w:val="12"/>
                <w:color w:val="auto"/>
              </w:rPr>
            </w:pPr>
          </w:p>
        </w:tc>
        <w:tc>
          <w:tcPr>
            <w:tcW w:w="1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2,300,208</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4,998</w:t>
            </w:r>
          </w:p>
        </w:tc>
        <w:tc>
          <w:tcPr>
            <w:tcW w:w="80" w:type="dxa"/>
            <w:vAlign w:val="bottom"/>
          </w:tcPr>
          <w:p>
            <w:pPr>
              <w:spacing w:after="0"/>
              <w:rPr>
                <w:sz w:val="12"/>
                <w:szCs w:val="12"/>
                <w:color w:val="auto"/>
              </w:rPr>
            </w:pPr>
          </w:p>
        </w:tc>
        <w:tc>
          <w:tcPr>
            <w:tcW w:w="1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0.43</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Junior subordinated debt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9,992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9.43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Borrowings</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182,388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5,408</w:t>
            </w: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1"/>
                <w:szCs w:val="11"/>
                <w:color w:val="auto"/>
              </w:rPr>
              <w:t>5.88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130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3.83</w:t>
            </w:r>
          </w:p>
        </w:tc>
        <w:tc>
          <w:tcPr>
            <w:tcW w:w="0" w:type="dxa"/>
            <w:vAlign w:val="bottom"/>
          </w:tcPr>
          <w:p>
            <w:pPr>
              <w:spacing w:after="0"/>
              <w:rPr>
                <w:sz w:val="1"/>
                <w:szCs w:val="1"/>
                <w:color w:val="auto"/>
              </w:rPr>
            </w:pPr>
          </w:p>
        </w:tc>
      </w:tr>
      <w:tr>
        <w:trPr>
          <w:trHeight w:val="156"/>
        </w:trPr>
        <w:tc>
          <w:tcPr>
            <w:tcW w:w="3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3,032,669</w:t>
            </w: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40,601</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2,314,003</w:t>
            </w: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5,264</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0.45</w:t>
            </w:r>
          </w:p>
        </w:tc>
        <w:tc>
          <w:tcPr>
            <w:tcW w:w="0" w:type="dxa"/>
            <w:vAlign w:val="bottom"/>
          </w:tcPr>
          <w:p>
            <w:pPr>
              <w:spacing w:after="0"/>
              <w:rPr>
                <w:sz w:val="1"/>
                <w:szCs w:val="1"/>
                <w:color w:val="auto"/>
              </w:rPr>
            </w:pPr>
          </w:p>
        </w:tc>
      </w:tr>
      <w:tr>
        <w:trPr>
          <w:trHeight w:val="13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Noninterest-bearing deposits</w:t>
            </w: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849,418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793,349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51,835</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46,501</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3,933,922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3,153,853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487,630</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401,353</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4,421,552</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3,555,206</w:t>
            </w: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 assets</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1,114,894</w:t>
            </w:r>
          </w:p>
        </w:tc>
        <w:tc>
          <w:tcPr>
            <w:tcW w:w="1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1,001,567</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1"/>
                <w:szCs w:val="11"/>
                <w:color w:val="auto"/>
              </w:rPr>
              <w:t>Average interest-earning assets to average interest-bearing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136.76</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86"/>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143.28</w:t>
            </w:r>
          </w:p>
        </w:tc>
        <w:tc>
          <w:tcPr>
            <w:tcW w:w="1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Non-tax-equivalent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interest income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84,083</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72,065</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0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rPr>
              <w:t>Interest rate spread</w:t>
            </w: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3.30 %</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4.18 %</w:t>
            </w:r>
          </w:p>
        </w:tc>
        <w:tc>
          <w:tcPr>
            <w:tcW w:w="0" w:type="dxa"/>
            <w:vAlign w:val="bottom"/>
          </w:tcPr>
          <w:p>
            <w:pPr>
              <w:spacing w:after="0"/>
              <w:rPr>
                <w:sz w:val="1"/>
                <w:szCs w:val="1"/>
                <w:color w:val="auto"/>
              </w:rPr>
            </w:pPr>
          </w:p>
        </w:tc>
      </w:tr>
      <w:tr>
        <w:trPr>
          <w:trHeight w:val="159"/>
        </w:trPr>
        <w:tc>
          <w:tcPr>
            <w:tcW w:w="3700" w:type="dxa"/>
            <w:vAlign w:val="bottom"/>
          </w:tcPr>
          <w:p>
            <w:pPr>
              <w:ind w:left="80"/>
              <w:spacing w:after="0" w:line="159" w:lineRule="exact"/>
              <w:rPr>
                <w:sz w:val="20"/>
                <w:szCs w:val="20"/>
                <w:color w:val="auto"/>
              </w:rPr>
            </w:pPr>
            <w:r>
              <w:rPr>
                <w:rFonts w:ascii="Times New Roman" w:cs="Times New Roman" w:eastAsia="Times New Roman" w:hAnsi="Times New Roman"/>
                <w:sz w:val="11"/>
                <w:szCs w:val="11"/>
                <w:color w:val="auto"/>
              </w:rPr>
              <w:t>Net interest margin</w:t>
            </w:r>
            <w:r>
              <w:rPr>
                <w:rFonts w:ascii="Times New Roman" w:cs="Times New Roman" w:eastAsia="Times New Roman" w:hAnsi="Times New Roman"/>
                <w:sz w:val="14"/>
                <w:szCs w:val="14"/>
                <w:color w:val="auto"/>
                <w:vertAlign w:val="superscript"/>
              </w:rPr>
              <w:t>(3)</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4.02 %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4.31 %</w:t>
            </w:r>
          </w:p>
        </w:tc>
        <w:tc>
          <w:tcPr>
            <w:tcW w:w="0" w:type="dxa"/>
            <w:vAlign w:val="bottom"/>
          </w:tcPr>
          <w:p>
            <w:pPr>
              <w:spacing w:after="0"/>
              <w:rPr>
                <w:sz w:val="1"/>
                <w:szCs w:val="1"/>
                <w:color w:val="auto"/>
              </w:rPr>
            </w:pPr>
          </w:p>
        </w:tc>
      </w:tr>
      <w:tr>
        <w:trPr>
          <w:trHeight w:val="159"/>
        </w:trPr>
        <w:tc>
          <w:tcPr>
            <w:tcW w:w="37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Tax-equivalent</w:t>
            </w:r>
            <w:r>
              <w:rPr>
                <w:rFonts w:ascii="Times New Roman" w:cs="Times New Roman" w:eastAsia="Times New Roman" w:hAnsi="Times New Roman"/>
                <w:sz w:val="14"/>
                <w:szCs w:val="14"/>
                <w:color w:val="auto"/>
                <w:vertAlign w:val="superscript"/>
              </w:rPr>
              <w:t>(4)</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interest income</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84,739</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72,639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00" w:type="dxa"/>
            <w:vAlign w:val="bottom"/>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rPr>
              <w:t>Interest rate spread</w:t>
            </w: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2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3.33 %</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4.21 %</w:t>
            </w:r>
          </w:p>
        </w:tc>
        <w:tc>
          <w:tcPr>
            <w:tcW w:w="0" w:type="dxa"/>
            <w:vAlign w:val="bottom"/>
          </w:tcPr>
          <w:p>
            <w:pPr>
              <w:spacing w:after="0"/>
              <w:rPr>
                <w:sz w:val="1"/>
                <w:szCs w:val="1"/>
                <w:color w:val="auto"/>
              </w:rPr>
            </w:pPr>
          </w:p>
        </w:tc>
      </w:tr>
      <w:tr>
        <w:trPr>
          <w:trHeight w:val="194"/>
        </w:trPr>
        <w:tc>
          <w:tcPr>
            <w:tcW w:w="3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interest margin</w:t>
            </w:r>
            <w:r>
              <w:rPr>
                <w:rFonts w:ascii="Times New Roman" w:cs="Times New Roman" w:eastAsia="Times New Roman" w:hAnsi="Times New Roman"/>
                <w:sz w:val="14"/>
                <w:szCs w:val="14"/>
                <w:color w:val="auto"/>
                <w:vertAlign w:val="superscript"/>
              </w:rPr>
              <w:t>(3)</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4.05 %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4.35 %</w:t>
            </w: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20" w:hanging="215"/>
        <w:spacing w:after="0"/>
        <w:tabs>
          <w:tab w:leader="none" w:pos="22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Average loans receivable balances include loans held for sale and nonaccruing loans.</w:t>
      </w:r>
    </w:p>
    <w:p>
      <w:pPr>
        <w:spacing w:after="0" w:line="13"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Average other interest-earning assets consist of FRB stock, FHLB stock, SBIC investments and deposits in other banks.</w:t>
      </w:r>
    </w:p>
    <w:p>
      <w:pPr>
        <w:spacing w:after="0" w:line="10"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interest income divided by average interest-earning assets.</w:t>
      </w:r>
    </w:p>
    <w:p>
      <w:pPr>
        <w:spacing w:after="0" w:line="1"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Tax-equivalent results include adjustments to interest income of $656 and $574 for the six months ended December 31, 2023 and 2022, respectively, calculated based on a combined federal and state tax rate of 24% for both years.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Total interest and dividend income for the six months ended December 31, 2023 increased $47.4 million, or 61.2%, compared to the six months ended December 31, 2022, which was driven by a $46.3 million, or 64.1%, increase in interest income on loans, a $1.6 million, or 83.8%, increase in interest income on other interest-earning assets, and a $687,000, or 37.6%, increase in interest income on debt securities available for sale, partially offset by a $1.3 million decrease in commercial paper as none was held during the current period. Accretion income on acquired loans, included in loan interest income, increased $410,000 to $783,000 for the six months ended December 31, 2023 compared to $373,000 recognized during the same period in the period year.</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Total interest expense for the six months ended December 31, 2023 increased $35.3 million, or 671.3%, compared to the six months ended December 31, 2022. The increase was the result of both increases in the average cost of funds across funding sources and an increase in average deposits and borrowings outstanding.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29" w:name="page30"/>
    <w:bookmarkEnd w:id="29"/>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Layout w:type="fixed"/>
        <w:tblInd w:w="0" w:type="dxa"/>
        <w:tblCellMar>
          <w:top w:w="0" w:type="dxa"/>
          <w:left w:w="0" w:type="dxa"/>
          <w:bottom w:w="0" w:type="dxa"/>
          <w:right w:w="0" w:type="dxa"/>
        </w:tblCellMar>
      </w:tblPr>
      <w:tr>
        <w:trPr>
          <w:trHeight w:val="149"/>
        </w:trPr>
        <w:tc>
          <w:tcPr>
            <w:tcW w:w="6780" w:type="dxa"/>
            <w:vAlign w:val="bottom"/>
          </w:tcPr>
          <w:p>
            <w:pPr>
              <w:spacing w:after="0"/>
              <w:rPr>
                <w:sz w:val="12"/>
                <w:szCs w:val="12"/>
                <w:color w:val="auto"/>
              </w:rPr>
            </w:pPr>
          </w:p>
        </w:tc>
        <w:tc>
          <w:tcPr>
            <w:tcW w:w="2560" w:type="dxa"/>
            <w:vAlign w:val="bottom"/>
            <w:gridSpan w:val="4"/>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Increase / (Decrease) Due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17"/>
        </w:trPr>
        <w:tc>
          <w:tcPr>
            <w:tcW w:w="6780" w:type="dxa"/>
            <w:vAlign w:val="bottom"/>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177"/>
              <w:spacing w:after="0" w:line="107" w:lineRule="exact"/>
              <w:rPr>
                <w:sz w:val="20"/>
                <w:szCs w:val="20"/>
                <w:color w:val="auto"/>
              </w:rPr>
            </w:pPr>
            <w:r>
              <w:rPr>
                <w:rFonts w:ascii="Times New Roman" w:cs="Times New Roman" w:eastAsia="Times New Roman" w:hAnsi="Times New Roman"/>
                <w:sz w:val="12"/>
                <w:szCs w:val="12"/>
                <w:b w:val="1"/>
                <w:bCs w:val="1"/>
                <w:color w:val="auto"/>
              </w:rPr>
              <w:t>Increase/</w:t>
            </w:r>
          </w:p>
        </w:tc>
        <w:tc>
          <w:tcPr>
            <w:tcW w:w="0" w:type="dxa"/>
            <w:vAlign w:val="bottom"/>
          </w:tcPr>
          <w:p>
            <w:pPr>
              <w:spacing w:after="0"/>
              <w:rPr>
                <w:sz w:val="1"/>
                <w:szCs w:val="1"/>
                <w:color w:val="auto"/>
              </w:rPr>
            </w:pPr>
          </w:p>
        </w:tc>
      </w:tr>
      <w:tr>
        <w:trPr>
          <w:trHeight w:val="15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Rate</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0" w:type="dxa"/>
            <w:vAlign w:val="bottom"/>
          </w:tcPr>
          <w:p>
            <w:pPr>
              <w:spacing w:after="0"/>
              <w:rPr>
                <w:sz w:val="1"/>
                <w:szCs w:val="1"/>
                <w:color w:val="auto"/>
              </w:rPr>
            </w:pPr>
          </w:p>
        </w:tc>
      </w:tr>
      <w:tr>
        <w:trPr>
          <w:trHeight w:val="15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receivable</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22,881</w:t>
            </w:r>
          </w:p>
        </w:tc>
        <w:tc>
          <w:tcPr>
            <w:tcW w:w="80" w:type="dxa"/>
            <w:vAlign w:val="bottom"/>
          </w:tcPr>
          <w:p>
            <w:pPr>
              <w:spacing w:after="0"/>
              <w:rPr>
                <w:sz w:val="14"/>
                <w:szCs w:val="14"/>
                <w:color w:val="auto"/>
              </w:rPr>
            </w:pP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23,444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46,325</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0" w:type="dxa"/>
            <w:vAlign w:val="bottom"/>
          </w:tcPr>
          <w:p>
            <w:pPr>
              <w:spacing w:after="0"/>
              <w:rPr>
                <w:sz w:val="1"/>
                <w:szCs w:val="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interest-earning assets</w:t>
            </w:r>
          </w:p>
        </w:tc>
        <w:tc>
          <w:tcPr>
            <w:tcW w:w="10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0" w:type="dxa"/>
            <w:vAlign w:val="bottom"/>
          </w:tcPr>
          <w:p>
            <w:pPr>
              <w:spacing w:after="0"/>
              <w:rPr>
                <w:sz w:val="1"/>
                <w:szCs w:val="1"/>
                <w:color w:val="auto"/>
              </w:rPr>
            </w:pPr>
          </w:p>
        </w:tc>
      </w:tr>
      <w:tr>
        <w:trPr>
          <w:trHeight w:val="158"/>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interest-earning assets</w:t>
            </w: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22,146</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25,209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47,355</w:t>
            </w:r>
          </w:p>
        </w:tc>
        <w:tc>
          <w:tcPr>
            <w:tcW w:w="0" w:type="dxa"/>
            <w:vAlign w:val="bottom"/>
          </w:tcPr>
          <w:p>
            <w:pPr>
              <w:spacing w:after="0"/>
              <w:rPr>
                <w:sz w:val="1"/>
                <w:szCs w:val="1"/>
                <w:color w:val="auto"/>
              </w:rPr>
            </w:pPr>
          </w:p>
        </w:tc>
      </w:tr>
      <w:tr>
        <w:trPr>
          <w:trHeight w:val="15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10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Interest-bearing checking accounts</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14,201</w:t>
            </w:r>
          </w:p>
        </w:tc>
        <w:tc>
          <w:tcPr>
            <w:tcW w:w="0" w:type="dxa"/>
            <w:vAlign w:val="bottom"/>
          </w:tcPr>
          <w:p>
            <w:pPr>
              <w:spacing w:after="0"/>
              <w:rPr>
                <w:sz w:val="1"/>
                <w:szCs w:val="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 accounts</w:t>
            </w:r>
          </w:p>
        </w:tc>
        <w:tc>
          <w:tcPr>
            <w:tcW w:w="10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14,029</w:t>
            </w:r>
          </w:p>
        </w:tc>
        <w:tc>
          <w:tcPr>
            <w:tcW w:w="0" w:type="dxa"/>
            <w:vAlign w:val="bottom"/>
          </w:tcPr>
          <w:p>
            <w:pPr>
              <w:spacing w:after="0"/>
              <w:rPr>
                <w:sz w:val="1"/>
                <w:szCs w:val="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10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10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3,251</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5,142</w:t>
            </w:r>
          </w:p>
        </w:tc>
        <w:tc>
          <w:tcPr>
            <w:tcW w:w="0" w:type="dxa"/>
            <w:vAlign w:val="bottom"/>
          </w:tcPr>
          <w:p>
            <w:pPr>
              <w:spacing w:after="0"/>
              <w:rPr>
                <w:sz w:val="1"/>
                <w:szCs w:val="1"/>
                <w:color w:val="auto"/>
              </w:rPr>
            </w:pPr>
          </w:p>
        </w:tc>
      </w:tr>
      <w:tr>
        <w:trPr>
          <w:trHeight w:val="158"/>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5,563</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29,774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35,337</w:t>
            </w:r>
          </w:p>
        </w:tc>
        <w:tc>
          <w:tcPr>
            <w:tcW w:w="0" w:type="dxa"/>
            <w:vAlign w:val="bottom"/>
          </w:tcPr>
          <w:p>
            <w:pPr>
              <w:spacing w:after="0"/>
              <w:rPr>
                <w:sz w:val="1"/>
                <w:szCs w:val="1"/>
                <w:color w:val="auto"/>
              </w:rPr>
            </w:pPr>
          </w:p>
        </w:tc>
      </w:tr>
      <w:tr>
        <w:trPr>
          <w:trHeight w:val="18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in net interest income</w:t>
            </w:r>
          </w:p>
        </w:tc>
        <w:tc>
          <w:tcPr>
            <w:tcW w:w="10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Provision for Credit Losses. </w:t>
      </w:r>
      <w:r>
        <w:rPr>
          <w:rFonts w:ascii="Times New Roman" w:cs="Times New Roman" w:eastAsia="Times New Roman" w:hAnsi="Times New Roman"/>
          <w:sz w:val="13"/>
          <w:szCs w:val="13"/>
          <w:color w:val="auto"/>
        </w:rPr>
        <w:t>The provision for credit losses is the amount of expense that, based on our judgment, is required to maintain the ACL at an appropriate level under the CECL model. The determination of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ACL is complex and involves a high degree of judgment and subjectivity. Refer to "Note 1 – Summary of Significant Accounting Policies” of the Notes to the Consolidated Financial Statements included in Item 8 of this Form 10-KT for detailed discussion regarding ACL methodologies for available for sale debt securities, loans held for investment and unfunded commitments. The following table presents a breakdown of the components of the provision for credit losses: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4860" w:type="dxa"/>
            <w:vAlign w:val="bottom"/>
            <w:tcBorders>
              <w:top w:val="single" w:sz="8" w:color="CCEEFF"/>
            </w:tcBorders>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Loans</w:t>
            </w:r>
          </w:p>
        </w:tc>
        <w:tc>
          <w:tcPr>
            <w:tcW w:w="116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Off-balance-sheet credit exposure</w:t>
            </w:r>
          </w:p>
        </w:tc>
        <w:tc>
          <w:tcPr>
            <w:tcW w:w="1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4"/>
                <w:szCs w:val="14"/>
                <w:color w:val="auto"/>
              </w:rPr>
            </w:pPr>
          </w:p>
        </w:tc>
        <w:tc>
          <w:tcPr>
            <w:tcW w:w="1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(371)</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w:t>
            </w:r>
          </w:p>
        </w:tc>
        <w:tc>
          <w:tcPr>
            <w:tcW w:w="1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r>
      <w:tr>
        <w:trPr>
          <w:trHeight w:val="158"/>
        </w:trPr>
        <w:tc>
          <w:tcPr>
            <w:tcW w:w="48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b w:val="1"/>
                <w:bCs w:val="1"/>
                <w:color w:val="auto"/>
              </w:rPr>
              <w:t>Total provision for credit losses</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six months ended December 31, 2023, the "loans" portion of the provision for credit losses was the result of the following, offset by net charge-offs of $5.5 million during the period:</w:t>
      </w:r>
    </w:p>
    <w:p>
      <w:pPr>
        <w:spacing w:after="0" w:line="31" w:lineRule="exact"/>
        <w:rPr>
          <w:sz w:val="20"/>
          <w:szCs w:val="20"/>
          <w:color w:val="auto"/>
        </w:rPr>
      </w:pPr>
    </w:p>
    <w:p>
      <w:pPr>
        <w:ind w:left="260" w:hanging="191"/>
        <w:spacing w:after="0"/>
        <w:tabs>
          <w:tab w:leader="none" w:pos="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$0.8 million benefit driven by changes in the loan mix.</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million provision due to changes in the projected economic forecast, specifically the national unemployment rate, and changes in qualitative adjustments.</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 million increase in specific reserves on individually evaluated credits.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six months ended December 31, 2022, the "loans" portion of the provision for credit losses was the result of the following, offset by net charge-offs of $1.9 million during the period:</w:t>
      </w:r>
    </w:p>
    <w:p>
      <w:pPr>
        <w:spacing w:after="0" w:line="41" w:lineRule="exact"/>
        <w:rPr>
          <w:sz w:val="20"/>
          <w:szCs w:val="20"/>
          <w:color w:val="auto"/>
        </w:rPr>
      </w:pPr>
    </w:p>
    <w:p>
      <w:pPr>
        <w:ind w:left="260" w:hanging="191"/>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$1.3 million provision specific to fintech portfolios which have a riskier credit profile than loans originated in-house. The elevated credit risk is offset by the higher yields earned on the portfolios.</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$2.9 million provision driven by loan growth and changes in the loan mix.</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 million provision due to changes in the projected economic forecast, specifically the national unemployment rate, and changes in qualitative adjustments.</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 million reduction of specific reserves on individually evaluated credits, which was tied to two relationships which were fully charged-off during the period.</w:t>
      </w:r>
    </w:p>
    <w:p>
      <w:pPr>
        <w:spacing w:after="0" w:line="5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For the six months ended December 31, 2023 and December 31, 2022, the amounts recorded for off-balance-sheet credit exposure were the result of changes in the balance of loan commitments, loan mix and the projected economic forecast as outlined above.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See further discussion in the “Comparison of Financial Condition at December 31, 2023 and June 30, 2023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Allowance for Credit Losses on Loans” section below.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0" w:name="page31"/>
    <w:bookmarkEnd w:id="30"/>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Income. </w:t>
      </w:r>
      <w:r>
        <w:rPr>
          <w:rFonts w:ascii="Times New Roman" w:cs="Times New Roman" w:eastAsia="Times New Roman" w:hAnsi="Times New Roman"/>
          <w:sz w:val="13"/>
          <w:szCs w:val="13"/>
          <w:color w:val="auto"/>
        </w:rPr>
        <w:t>Noninterest income for the six months ended December 31, 2023 increased $1.0 million, or 6.5%, when compared to the same period last year. Changes in the components of noninterest income are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discussed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1"/>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1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80" w:type="dxa"/>
            <w:vAlign w:val="bottom"/>
          </w:tcPr>
          <w:p>
            <w:pPr>
              <w:spacing w:after="0"/>
              <w:rPr>
                <w:sz w:val="14"/>
                <w:szCs w:val="14"/>
                <w:color w:val="auto"/>
              </w:rPr>
            </w:pP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4"/>
                <w:szCs w:val="14"/>
                <w:color w:val="auto"/>
              </w:rPr>
            </w:pPr>
          </w:p>
        </w:tc>
        <w:tc>
          <w:tcPr>
            <w:tcW w:w="1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282</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sale of premises and equipment</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4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r>
      <w:tr>
        <w:trPr>
          <w:trHeight w:val="18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16,875</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60" w:hanging="191"/>
        <w:spacing w:after="0"/>
        <w:tabs>
          <w:tab w:leader="none" w:pos="260" w:val="left"/>
        </w:tabs>
        <w:numPr>
          <w:ilvl w:val="0"/>
          <w:numId w:val="1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Loan income and fees: </w:t>
      </w:r>
      <w:r>
        <w:rPr>
          <w:rFonts w:ascii="Times New Roman" w:cs="Times New Roman" w:eastAsia="Times New Roman" w:hAnsi="Times New Roman"/>
          <w:sz w:val="13"/>
          <w:szCs w:val="13"/>
          <w:color w:val="auto"/>
        </w:rPr>
        <w:t>The decrease was driven by lower prepayment penalties, partially offset by an increase in other servicing fees during the period.</w:t>
      </w:r>
    </w:p>
    <w:p>
      <w:pPr>
        <w:spacing w:after="0" w:line="30" w:lineRule="exact"/>
        <w:rPr>
          <w:rFonts w:ascii="Times New Roman" w:cs="Times New Roman" w:eastAsia="Times New Roman" w:hAnsi="Times New Roman"/>
          <w:sz w:val="13"/>
          <w:szCs w:val="13"/>
          <w:i w:val="1"/>
          <w:iCs w:val="1"/>
          <w:color w:val="auto"/>
        </w:rPr>
      </w:pPr>
    </w:p>
    <w:p>
      <w:pPr>
        <w:jc w:val="both"/>
        <w:ind w:left="260" w:hanging="191"/>
        <w:spacing w:after="0" w:line="253" w:lineRule="auto"/>
        <w:tabs>
          <w:tab w:leader="none" w:pos="251" w:val="left"/>
        </w:tabs>
        <w:numPr>
          <w:ilvl w:val="0"/>
          <w:numId w:val="1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Gain on sale of loans held for sale: </w:t>
      </w:r>
      <w:r>
        <w:rPr>
          <w:rFonts w:ascii="Times New Roman" w:cs="Times New Roman" w:eastAsia="Times New Roman" w:hAnsi="Times New Roman"/>
          <w:sz w:val="13"/>
          <w:szCs w:val="13"/>
          <w:color w:val="auto"/>
        </w:rPr>
        <w:t>The decrease was primarily driven by a decrease in the premium received on SBA loans sold during the current period. During the six months ended December 31, 2023, there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were $68.7 million of HELOCs sold with gains of $519,000 compared to $64.2 million sold with gains of $542,000 in the same period in the prior year. There were $40.9 million of residential mortgages originated for sale sold with gains of $668,000 compared to $28.2 million sold with gains of $676,000 in the prior year. There were $18.0 million of sales of the guaranteed portion of SBA commercial loans with gains of $1.1 million in the current period compared to $20.3 million sold with gains of $1.5 million during the same period in the prior year.</w:t>
      </w:r>
    </w:p>
    <w:p>
      <w:pPr>
        <w:spacing w:after="0" w:line="6" w:lineRule="exact"/>
        <w:rPr>
          <w:rFonts w:ascii="Times New Roman" w:cs="Times New Roman" w:eastAsia="Times New Roman" w:hAnsi="Times New Roman"/>
          <w:sz w:val="13"/>
          <w:szCs w:val="13"/>
          <w:b w:val="1"/>
          <w:bCs w:val="1"/>
          <w:i w:val="1"/>
          <w:iCs w:val="1"/>
          <w:color w:val="auto"/>
        </w:rPr>
      </w:pPr>
    </w:p>
    <w:p>
      <w:pPr>
        <w:ind w:left="260" w:hanging="191"/>
        <w:spacing w:after="0"/>
        <w:tabs>
          <w:tab w:leader="none" w:pos="260" w:val="left"/>
        </w:tabs>
        <w:numPr>
          <w:ilvl w:val="0"/>
          <w:numId w:val="1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BOLI income: </w:t>
      </w:r>
      <w:r>
        <w:rPr>
          <w:rFonts w:ascii="Times New Roman" w:cs="Times New Roman" w:eastAsia="Times New Roman" w:hAnsi="Times New Roman"/>
          <w:sz w:val="13"/>
          <w:szCs w:val="13"/>
          <w:color w:val="auto"/>
        </w:rPr>
        <w:t>The increase was primarily the result of a $2.7 million tax-free gain on death benefit proceeds in excess of the cash surrender value of the policies. No such gains were recognized in the prior year.</w:t>
      </w:r>
    </w:p>
    <w:p>
      <w:pPr>
        <w:spacing w:after="0" w:line="30" w:lineRule="exact"/>
        <w:rPr>
          <w:rFonts w:ascii="Times New Roman" w:cs="Times New Roman" w:eastAsia="Times New Roman" w:hAnsi="Times New Roman"/>
          <w:sz w:val="13"/>
          <w:szCs w:val="13"/>
          <w:i w:val="1"/>
          <w:iCs w:val="1"/>
          <w:color w:val="auto"/>
        </w:rPr>
      </w:pPr>
    </w:p>
    <w:p>
      <w:pPr>
        <w:ind w:left="260" w:hanging="191"/>
        <w:spacing w:after="0" w:line="272" w:lineRule="auto"/>
        <w:tabs>
          <w:tab w:leader="none" w:pos="251" w:val="left"/>
        </w:tabs>
        <w:numPr>
          <w:ilvl w:val="0"/>
          <w:numId w:val="1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Operating lease income: </w:t>
      </w:r>
      <w:r>
        <w:rPr>
          <w:rFonts w:ascii="Times New Roman" w:cs="Times New Roman" w:eastAsia="Times New Roman" w:hAnsi="Times New Roman"/>
          <w:sz w:val="13"/>
          <w:szCs w:val="13"/>
          <w:color w:val="auto"/>
        </w:rPr>
        <w:t>The increase in operating lease income was the result of higher contractual earnings due to an increase in the average balance of assets being leased during the six months ended December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31, 2023 when compared to the prior period.</w:t>
      </w:r>
    </w:p>
    <w:p>
      <w:pPr>
        <w:jc w:val="both"/>
        <w:ind w:left="260" w:hanging="191"/>
        <w:spacing w:after="0" w:line="261" w:lineRule="auto"/>
        <w:tabs>
          <w:tab w:leader="none" w:pos="251" w:val="left"/>
        </w:tabs>
        <w:numPr>
          <w:ilvl w:val="0"/>
          <w:numId w:val="1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i w:val="1"/>
          <w:iCs w:val="1"/>
          <w:color w:val="auto"/>
        </w:rPr>
        <w:t xml:space="preserve">Gain (loss) on sale of premises and equipment: </w:t>
      </w:r>
      <w:r>
        <w:rPr>
          <w:rFonts w:ascii="Times New Roman" w:cs="Times New Roman" w:eastAsia="Times New Roman" w:hAnsi="Times New Roman"/>
          <w:sz w:val="13"/>
          <w:szCs w:val="13"/>
          <w:color w:val="auto"/>
        </w:rPr>
        <w:t>During the six months ended December 31, 2023, the Company recognized $625,000 of expense to impair the remaining right of use asset associated with a previously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closed branch, partially offset by a $380,000 gain on the sale of a parcel of land. During the six months ended December 31, 2022, two properties were sold for a combined gain of $1.6 million, partially offset by $420,000 of expense to partially impair the right of use asset associated with a previously closed branch.</w:t>
      </w:r>
    </w:p>
    <w:p>
      <w:pPr>
        <w:ind w:left="260" w:hanging="191"/>
        <w:spacing w:after="0" w:line="267" w:lineRule="auto"/>
        <w:tabs>
          <w:tab w:leader="none" w:pos="251" w:val="left"/>
        </w:tabs>
        <w:numPr>
          <w:ilvl w:val="0"/>
          <w:numId w:val="18"/>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The decrease was the result of a $721,000 gain recognized in the prior period on the sale of closely held equity securities which the Company obtained through a prior bank acquisition. No such sales occurred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the current year. Partially offsetting the prior period gain, investment services income increased $162,000 during the current prior period.</w:t>
      </w:r>
    </w:p>
    <w:p>
      <w:pPr>
        <w:spacing w:after="0" w:line="2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Noninterest Expense. </w:t>
      </w:r>
      <w:r>
        <w:rPr>
          <w:rFonts w:ascii="Times New Roman" w:cs="Times New Roman" w:eastAsia="Times New Roman" w:hAnsi="Times New Roman"/>
          <w:sz w:val="13"/>
          <w:szCs w:val="13"/>
          <w:color w:val="auto"/>
        </w:rPr>
        <w:t>Noninterest expense for the six months ended December 31, 2023 increased $7.2 million, or 13.8%, when compared to the same period last year. Changes in the components of noninterest expense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are discussed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48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114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32,770</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Occupancy expense, net</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Computer services</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1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1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2,765</w:t>
            </w:r>
          </w:p>
        </w:tc>
      </w:tr>
      <w:tr>
        <w:trPr>
          <w:trHeight w:val="168"/>
        </w:trPr>
        <w:tc>
          <w:tcPr>
            <w:tcW w:w="4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Merger-related expense</w:t>
            </w:r>
          </w:p>
        </w:tc>
        <w:tc>
          <w:tcPr>
            <w:tcW w:w="1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tcPr>
          <w:p>
            <w:pPr>
              <w:spacing w:after="0"/>
              <w:rPr>
                <w:sz w:val="14"/>
                <w:szCs w:val="14"/>
                <w:color w:val="auto"/>
              </w:rPr>
            </w:pPr>
          </w:p>
        </w:tc>
        <w:tc>
          <w:tcPr>
            <w:tcW w:w="1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(100)</w:t>
            </w:r>
          </w:p>
        </w:tc>
      </w:tr>
      <w:tr>
        <w:trPr>
          <w:trHeight w:val="170"/>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r>
      <w:tr>
        <w:trPr>
          <w:trHeight w:val="163"/>
        </w:trPr>
        <w:tc>
          <w:tcPr>
            <w:tcW w:w="48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52,165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7,180</w:t>
            </w:r>
          </w:p>
        </w:tc>
        <w:tc>
          <w:tcPr>
            <w:tcW w:w="10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20"/>
        </w:trPr>
        <w:tc>
          <w:tcPr>
            <w:tcW w:w="4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60" w:hanging="191"/>
        <w:spacing w:after="0"/>
        <w:tabs>
          <w:tab w:leader="none" w:pos="260" w:val="left"/>
        </w:tabs>
        <w:numPr>
          <w:ilvl w:val="0"/>
          <w:numId w:val="19"/>
        </w:numPr>
        <w:rPr>
          <w:rFonts w:ascii="Arial" w:cs="Arial" w:eastAsia="Arial" w:hAnsi="Arial"/>
          <w:sz w:val="13"/>
          <w:szCs w:val="13"/>
          <w:b w:val="1"/>
          <w:bCs w:val="1"/>
          <w:i w:val="1"/>
          <w:iCs w:val="1"/>
          <w:color w:val="auto"/>
        </w:rPr>
      </w:pPr>
      <w:r>
        <w:rPr>
          <w:rFonts w:ascii="Times New Roman" w:cs="Times New Roman" w:eastAsia="Times New Roman" w:hAnsi="Times New Roman"/>
          <w:sz w:val="13"/>
          <w:szCs w:val="13"/>
          <w:i w:val="1"/>
          <w:iCs w:val="1"/>
          <w:color w:val="auto"/>
        </w:rPr>
        <w:t xml:space="preserve">Salaries and employee benefits: </w:t>
      </w:r>
      <w:r>
        <w:rPr>
          <w:rFonts w:ascii="Times New Roman" w:cs="Times New Roman" w:eastAsia="Times New Roman" w:hAnsi="Times New Roman"/>
          <w:sz w:val="13"/>
          <w:szCs w:val="13"/>
          <w:color w:val="auto"/>
        </w:rPr>
        <w:t>The year-over-year increase in expense can be tied primarily to the Quantum merger.</w:t>
      </w:r>
    </w:p>
    <w:p>
      <w:pPr>
        <w:spacing w:after="0" w:line="30" w:lineRule="exact"/>
        <w:rPr>
          <w:rFonts w:ascii="Arial" w:cs="Arial" w:eastAsia="Arial" w:hAnsi="Arial"/>
          <w:sz w:val="13"/>
          <w:szCs w:val="13"/>
          <w:b w:val="1"/>
          <w:bCs w:val="1"/>
          <w:i w:val="1"/>
          <w:iCs w:val="1"/>
          <w:color w:val="auto"/>
        </w:rPr>
      </w:pPr>
    </w:p>
    <w:p>
      <w:pPr>
        <w:ind w:left="260" w:hanging="191"/>
        <w:spacing w:after="0" w:line="263" w:lineRule="auto"/>
        <w:tabs>
          <w:tab w:leader="none" w:pos="251" w:val="left"/>
        </w:tabs>
        <w:numPr>
          <w:ilvl w:val="0"/>
          <w:numId w:val="19"/>
        </w:numPr>
        <w:rPr>
          <w:rFonts w:ascii="Arial" w:cs="Arial" w:eastAsia="Arial" w:hAnsi="Arial"/>
          <w:sz w:val="13"/>
          <w:szCs w:val="13"/>
          <w:b w:val="1"/>
          <w:bCs w:val="1"/>
          <w:i w:val="1"/>
          <w:iCs w:val="1"/>
          <w:color w:val="auto"/>
        </w:rPr>
      </w:pPr>
      <w:r>
        <w:rPr>
          <w:rFonts w:ascii="Times New Roman" w:cs="Times New Roman" w:eastAsia="Times New Roman" w:hAnsi="Times New Roman"/>
          <w:sz w:val="13"/>
          <w:szCs w:val="13"/>
          <w:i w:val="1"/>
          <w:iCs w:val="1"/>
          <w:color w:val="auto"/>
        </w:rPr>
        <w:t xml:space="preserve">Computer services: </w:t>
      </w:r>
      <w:r>
        <w:rPr>
          <w:rFonts w:ascii="Times New Roman" w:cs="Times New Roman" w:eastAsia="Times New Roman" w:hAnsi="Times New Roman"/>
          <w:sz w:val="13"/>
          <w:szCs w:val="13"/>
          <w:color w:val="auto"/>
        </w:rPr>
        <w:t>The increase in expense between periods was primarily due to a $377,000 increase in processing charges, partially related to operations acquired as a result of the Quantum merger, and further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investments in technology.</w:t>
      </w:r>
    </w:p>
    <w:p>
      <w:pPr>
        <w:ind w:left="260" w:hanging="191"/>
        <w:spacing w:after="0" w:line="272" w:lineRule="auto"/>
        <w:tabs>
          <w:tab w:leader="none" w:pos="251" w:val="left"/>
        </w:tabs>
        <w:numPr>
          <w:ilvl w:val="0"/>
          <w:numId w:val="19"/>
        </w:numPr>
        <w:rPr>
          <w:rFonts w:ascii="Arial" w:cs="Arial" w:eastAsia="Arial" w:hAnsi="Arial"/>
          <w:sz w:val="13"/>
          <w:szCs w:val="13"/>
          <w:b w:val="1"/>
          <w:bCs w:val="1"/>
          <w:i w:val="1"/>
          <w:iCs w:val="1"/>
          <w:color w:val="auto"/>
        </w:rPr>
      </w:pPr>
      <w:r>
        <w:rPr>
          <w:rFonts w:ascii="Times New Roman" w:cs="Times New Roman" w:eastAsia="Times New Roman" w:hAnsi="Times New Roman"/>
          <w:sz w:val="13"/>
          <w:szCs w:val="13"/>
          <w:i w:val="1"/>
          <w:iCs w:val="1"/>
          <w:color w:val="auto"/>
        </w:rPr>
        <w:t xml:space="preserve">Deposit insurance premium: </w:t>
      </w:r>
      <w:r>
        <w:rPr>
          <w:rFonts w:ascii="Times New Roman" w:cs="Times New Roman" w:eastAsia="Times New Roman" w:hAnsi="Times New Roman"/>
          <w:sz w:val="13"/>
          <w:szCs w:val="13"/>
          <w:color w:val="auto"/>
        </w:rPr>
        <w:t>The increase in expense was due to increases in the assessment rate the Company is charged for deposit insurance as well as growth in the assessment base, mainly due to deposits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assumed through the Quantum merger.</w:t>
      </w:r>
    </w:p>
    <w:p>
      <w:pPr>
        <w:ind w:left="260" w:hanging="191"/>
        <w:spacing w:after="0" w:line="263" w:lineRule="auto"/>
        <w:tabs>
          <w:tab w:leader="none" w:pos="251" w:val="left"/>
        </w:tabs>
        <w:numPr>
          <w:ilvl w:val="0"/>
          <w:numId w:val="19"/>
        </w:numPr>
        <w:rPr>
          <w:rFonts w:ascii="Arial" w:cs="Arial" w:eastAsia="Arial" w:hAnsi="Arial"/>
          <w:sz w:val="13"/>
          <w:szCs w:val="13"/>
          <w:b w:val="1"/>
          <w:bCs w:val="1"/>
          <w:i w:val="1"/>
          <w:iCs w:val="1"/>
          <w:color w:val="auto"/>
        </w:rPr>
      </w:pPr>
      <w:r>
        <w:rPr>
          <w:rFonts w:ascii="Times New Roman" w:cs="Times New Roman" w:eastAsia="Times New Roman" w:hAnsi="Times New Roman"/>
          <w:sz w:val="13"/>
          <w:szCs w:val="13"/>
          <w:i w:val="1"/>
          <w:iCs w:val="1"/>
          <w:color w:val="auto"/>
        </w:rPr>
        <w:t xml:space="preserve">Core deposit intangible amortization: </w:t>
      </w:r>
      <w:r>
        <w:rPr>
          <w:rFonts w:ascii="Times New Roman" w:cs="Times New Roman" w:eastAsia="Times New Roman" w:hAnsi="Times New Roman"/>
          <w:sz w:val="13"/>
          <w:szCs w:val="13"/>
          <w:color w:val="auto"/>
        </w:rPr>
        <w:t>The increase in amortization expense was a result of a $12.2 million core deposit intangible associated with the Quantum merger, which is being amortized on an accelerated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basis over ten years.</w:t>
      </w:r>
    </w:p>
    <w:p>
      <w:pPr>
        <w:ind w:left="260" w:hanging="191"/>
        <w:spacing w:after="0" w:line="272" w:lineRule="auto"/>
        <w:tabs>
          <w:tab w:leader="none" w:pos="251" w:val="left"/>
        </w:tabs>
        <w:numPr>
          <w:ilvl w:val="0"/>
          <w:numId w:val="19"/>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Merger-related expense: </w:t>
      </w:r>
      <w:r>
        <w:rPr>
          <w:rFonts w:ascii="Times New Roman" w:cs="Times New Roman" w:eastAsia="Times New Roman" w:hAnsi="Times New Roman"/>
          <w:sz w:val="13"/>
          <w:szCs w:val="13"/>
          <w:color w:val="auto"/>
        </w:rPr>
        <w:t>The prior year period included costs incurred related to due diligence and legal work performed which was associated with the Quantum merger. No such expense was incurred in the current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period.</w:t>
      </w:r>
    </w:p>
    <w:p>
      <w:pPr>
        <w:ind w:left="260" w:hanging="191"/>
        <w:spacing w:after="0" w:line="266" w:lineRule="auto"/>
        <w:tabs>
          <w:tab w:leader="none" w:pos="251" w:val="left"/>
        </w:tabs>
        <w:numPr>
          <w:ilvl w:val="0"/>
          <w:numId w:val="19"/>
        </w:numPr>
        <w:rPr>
          <w:rFonts w:ascii="Arial" w:cs="Arial" w:eastAsia="Arial" w:hAnsi="Arial"/>
          <w:sz w:val="13"/>
          <w:szCs w:val="13"/>
          <w:b w:val="1"/>
          <w:bCs w:val="1"/>
          <w:i w:val="1"/>
          <w:iCs w:val="1"/>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The increase period-over-period was primarily the result of $533,000 of additional depreciation expense on equipment subject to operating leases and a $183,000 increase in fraud losses, in addition to small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increases across several other expense categories.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Income Taxes. </w:t>
      </w:r>
      <w:r>
        <w:rPr>
          <w:rFonts w:ascii="Times New Roman" w:cs="Times New Roman" w:eastAsia="Times New Roman" w:hAnsi="Times New Roman"/>
          <w:sz w:val="13"/>
          <w:szCs w:val="13"/>
          <w:color w:val="auto"/>
        </w:rPr>
        <w:t>The amount of income tax expense is influenced by the amount of pre-tax income, tax-exempt income, changes in the statutory rate and the effect of changes in valuation allowances maintained against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deferred tax benefits. The effective tax rates for the six months ended December 31, 2023 and 2022 were 20.7% and 22.6%, respectively. The decline in the effective tax rate during the current period was primarily driven by the tax-free gain on BOLI death benefit proceeds. For more information on income taxes and deferred taxes, see "Note 12 – Income Taxes" of the Notes to the Consolidated Financial Statements included in Item 8 of this Form 10-KT.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Financial Condition at December 31, 2023 and June 30,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Assets. </w:t>
      </w:r>
      <w:r>
        <w:rPr>
          <w:rFonts w:ascii="Times New Roman" w:cs="Times New Roman" w:eastAsia="Times New Roman" w:hAnsi="Times New Roman"/>
          <w:sz w:val="13"/>
          <w:szCs w:val="13"/>
          <w:color w:val="auto"/>
        </w:rPr>
        <w:t>Total assets were $4.7 billion and $4.6 billion at December 31, 2023 and June 30, 2023, respectively, an increase of $65.1 million, or 1.4%, period-over-period, the components of which are discussed below.</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Debt Securities Available for Sale. </w:t>
      </w:r>
      <w:r>
        <w:rPr>
          <w:rFonts w:ascii="Times New Roman" w:cs="Times New Roman" w:eastAsia="Times New Roman" w:hAnsi="Times New Roman"/>
          <w:sz w:val="13"/>
          <w:szCs w:val="13"/>
          <w:color w:val="auto"/>
        </w:rPr>
        <w:t>Debt securities available for sale decreased $25.0 million, or 16.4%, to $127.0 million at December 31, 2023. Outside of changes in value, the changes between periods were the result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$45.9 million in proceeds from the maturity, call and paydown of securities offset by $17.0 million in purchases. The following table illustrates the changes in the fair value of the portfolio.</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104,499</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107,414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100" w:type="dxa"/>
            <w:vAlign w:val="bottom"/>
          </w:tcPr>
          <w:p>
            <w:pPr>
              <w:spacing w:after="0"/>
              <w:rPr>
                <w:sz w:val="14"/>
                <w:szCs w:val="14"/>
                <w:color w:val="auto"/>
              </w:rPr>
            </w:pPr>
          </w:p>
        </w:tc>
        <w:tc>
          <w:tcPr>
            <w:tcW w:w="14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(7,368)</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(28)</w:t>
            </w:r>
          </w:p>
        </w:tc>
      </w:tr>
      <w:tr>
        <w:trPr>
          <w:trHeight w:val="188"/>
        </w:trPr>
        <w:tc>
          <w:tcPr>
            <w:tcW w:w="48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151,926</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(24,976)</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composition and contractual maturities of our debt securities portfolio as of December 31, 2023 is indicated in the following table. Maturities are based on the final contractual payment dates, and do not reflect the impact of prepayments or early redemptions that may occur. Weighted average yields were calculated using amortized cost on a fully-taxable equivalent basis. The Company did not hold any tax-exempt debt securities as of December 31, 2023.</w:t>
      </w:r>
    </w:p>
    <w:tbl>
      <w:tblPr>
        <w:tblLayout w:type="fixed"/>
        <w:tblInd w:w="0" w:type="dxa"/>
        <w:tblCellMar>
          <w:top w:w="0" w:type="dxa"/>
          <w:left w:w="0" w:type="dxa"/>
          <w:bottom w:w="0" w:type="dxa"/>
          <w:right w:w="0" w:type="dxa"/>
        </w:tblCellMar>
      </w:tblPr>
      <w:tr>
        <w:trPr>
          <w:trHeight w:val="132"/>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1 year or less</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8"/>
              </w:rPr>
              <w:t>Over 1 year to 5</w:t>
            </w:r>
          </w:p>
        </w:tc>
        <w:tc>
          <w:tcPr>
            <w:tcW w:w="100" w:type="dxa"/>
            <w:vAlign w:val="bottom"/>
          </w:tcPr>
          <w:p>
            <w:pPr>
              <w:spacing w:after="0"/>
              <w:rPr>
                <w:sz w:val="11"/>
                <w:szCs w:val="11"/>
                <w:color w:val="auto"/>
              </w:rPr>
            </w:pPr>
          </w:p>
        </w:tc>
        <w:tc>
          <w:tcPr>
            <w:tcW w:w="112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6"/>
              </w:rPr>
              <w:t>Over 5 to 10 years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Over 10 years</w:t>
            </w:r>
          </w:p>
        </w:tc>
        <w:tc>
          <w:tcPr>
            <w:tcW w:w="260" w:type="dxa"/>
            <w:vAlign w:val="bottom"/>
          </w:tcPr>
          <w:p>
            <w:pPr>
              <w:spacing w:after="0"/>
              <w:rPr>
                <w:sz w:val="11"/>
                <w:szCs w:val="11"/>
                <w:color w:val="auto"/>
              </w:rPr>
            </w:pPr>
          </w:p>
        </w:tc>
        <w:tc>
          <w:tcPr>
            <w:tcW w:w="96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years</w:t>
            </w: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MBS, residential</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Book value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44,965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32,245</w:t>
            </w: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27,788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105,477</w:t>
            </w: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Fair value</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44,555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31,315</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28,152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104,499</w:t>
            </w: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 average yield</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4.46 %</w:t>
            </w: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bonds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Book value</w:t>
            </w:r>
          </w:p>
        </w:tc>
        <w:tc>
          <w:tcPr>
            <w:tcW w:w="1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3,487</w:t>
            </w: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Fair value</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3,409</w:t>
            </w: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 average yield</w:t>
            </w:r>
          </w:p>
        </w:tc>
        <w:tc>
          <w:tcPr>
            <w:tcW w:w="180" w:type="dxa"/>
            <w:vAlign w:val="bottom"/>
          </w:tcPr>
          <w:p>
            <w:pPr>
              <w:spacing w:after="0"/>
              <w:rPr>
                <w:sz w:val="14"/>
                <w:szCs w:val="14"/>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 bonds</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Book value</w:t>
            </w:r>
          </w:p>
        </w:tc>
        <w:tc>
          <w:tcPr>
            <w:tcW w:w="18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5,000</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w w:val="98"/>
              </w:rPr>
              <w:t>31315</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72"/>
        </w:trPr>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Fair value</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4,194</w:t>
            </w: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19,042</w:t>
            </w:r>
          </w:p>
        </w:tc>
        <w:tc>
          <w:tcPr>
            <w:tcW w:w="0" w:type="dxa"/>
            <w:vAlign w:val="bottom"/>
          </w:tcPr>
          <w:p>
            <w:pPr>
              <w:spacing w:after="0"/>
              <w:rPr>
                <w:sz w:val="1"/>
                <w:szCs w:val="1"/>
                <w:color w:val="auto"/>
              </w:rPr>
            </w:pPr>
          </w:p>
        </w:tc>
      </w:tr>
      <w:tr>
        <w:trPr>
          <w:trHeight w:val="168"/>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 average yield</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3.38 %</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1.22 %</w:t>
            </w:r>
          </w:p>
        </w:tc>
        <w:tc>
          <w:tcPr>
            <w:tcW w:w="0" w:type="dxa"/>
            <w:vAlign w:val="bottom"/>
          </w:tcPr>
          <w:p>
            <w:pPr>
              <w:spacing w:after="0"/>
              <w:rPr>
                <w:sz w:val="1"/>
                <w:szCs w:val="1"/>
                <w:color w:val="auto"/>
              </w:rPr>
            </w:pPr>
          </w:p>
        </w:tc>
      </w:tr>
      <w:tr>
        <w:trPr>
          <w:trHeight w:val="152"/>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Book value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15,479</w:t>
            </w:r>
          </w:p>
        </w:tc>
        <w:tc>
          <w:tcPr>
            <w:tcW w:w="10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48,452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37,245</w:t>
            </w: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27,788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128,964</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Fair value</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15,325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47,964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35,509</w:t>
            </w:r>
          </w:p>
        </w:tc>
        <w:tc>
          <w:tcPr>
            <w:tcW w:w="3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28,152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126,950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56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Weighted average yield</w:t>
            </w: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0.63 %</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4.36 %</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4.09 %</w:t>
            </w: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4.86 %</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3.94 %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2" w:name="page33"/>
    <w:bookmarkEnd w:id="32"/>
    <w:p>
      <w:pPr>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 xml:space="preserve">Total Loans, Net of Deferred Loan Fees and Costs. </w:t>
      </w:r>
      <w:r>
        <w:rPr>
          <w:rFonts w:ascii="Times New Roman" w:cs="Times New Roman" w:eastAsia="Times New Roman" w:hAnsi="Times New Roman"/>
          <w:sz w:val="13"/>
          <w:szCs w:val="13"/>
          <w:color w:val="auto"/>
        </w:rPr>
        <w:t>Loans held for investment totaled $3.6 billion at December 31, 2023 compared to $3.7 billion at June 30, 2023, a decrease of $18,801 or 0.5%. The following table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illustrates the changes within the portfolio.</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of Total at December</w:t>
            </w:r>
          </w:p>
        </w:tc>
        <w:tc>
          <w:tcPr>
            <w:tcW w:w="142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 of Total at June 30,</w:t>
            </w:r>
          </w:p>
        </w:tc>
      </w:tr>
      <w:tr>
        <w:trPr>
          <w:trHeight w:val="159"/>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0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Pr>
          <w:p>
            <w:pPr>
              <w:spacing w:after="0"/>
              <w:rPr>
                <w:sz w:val="13"/>
                <w:szCs w:val="13"/>
                <w:color w:val="auto"/>
              </w:rPr>
            </w:pPr>
          </w:p>
        </w:tc>
        <w:tc>
          <w:tcPr>
            <w:tcW w:w="6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4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Pr>
          <w:p>
            <w:pPr>
              <w:spacing w:after="0"/>
              <w:rPr>
                <w:sz w:val="13"/>
                <w:szCs w:val="13"/>
                <w:color w:val="auto"/>
              </w:rPr>
            </w:pPr>
          </w:p>
        </w:tc>
        <w:tc>
          <w:tcPr>
            <w:tcW w:w="14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6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356,674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72"/>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901,685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1,806,131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1,869,907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(63,776)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245,428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3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142,212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849,851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187,193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r>
      <w:tr>
        <w:trPr>
          <w:trHeight w:val="158"/>
        </w:trPr>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866,929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62"/>
        </w:trPr>
        <w:tc>
          <w:tcPr>
            <w:tcW w:w="35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Loans, net of deferred loan fees and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3,658,823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(18,801)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principal categories of our loan portfolio are discussed below.</w:t>
      </w:r>
    </w:p>
    <w:p>
      <w:pPr>
        <w:spacing w:after="0" w:line="29" w:lineRule="exact"/>
        <w:rPr>
          <w:sz w:val="20"/>
          <w:szCs w:val="20"/>
          <w:color w:val="auto"/>
        </w:rPr>
      </w:pPr>
    </w:p>
    <w:p>
      <w:pPr>
        <w:jc w:val="both"/>
        <w:ind w:left="140"/>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Commercial Real Estate – Construction and Land Development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residential construction and development loans for the construction of single-family residences, condominiums, townhouses and residential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developments. Our commercial construction development loans are for the development of business properties, including multifamily, retail, office/warehouse and office buildings. Our land, lots and development loans are predominately for the purchase or refinance of unimproved land held for future residential development, improved residential lots held for speculative investment purposes and for the future construction of one-to-four family (speculative and pre-sold) or commercial real estate.</w:t>
      </w:r>
    </w:p>
    <w:p>
      <w:pPr>
        <w:spacing w:after="0" w:line="40" w:lineRule="exact"/>
        <w:rPr>
          <w:sz w:val="20"/>
          <w:szCs w:val="20"/>
          <w:color w:val="auto"/>
        </w:rPr>
      </w:pPr>
    </w:p>
    <w:p>
      <w:pPr>
        <w:jc w:val="both"/>
        <w:ind w:left="140"/>
        <w:spacing w:after="0" w:line="264" w:lineRule="auto"/>
        <w:rPr>
          <w:sz w:val="20"/>
          <w:szCs w:val="20"/>
          <w:color w:val="auto"/>
        </w:rPr>
      </w:pPr>
      <w:r>
        <w:rPr>
          <w:rFonts w:ascii="Times New Roman" w:cs="Times New Roman" w:eastAsia="Times New Roman" w:hAnsi="Times New Roman"/>
          <w:sz w:val="13"/>
          <w:szCs w:val="13"/>
          <w:color w:val="auto"/>
        </w:rPr>
        <w:t>Our expansion into larger metro markets combined with experienced commercial real estate relationship managers, credit officers and a construction risk management group to better manage construction risk, has resulted in the purposeful growth of this portfolio. Unfunded commitments at December 31, 2023 totaled $56.6 million compared to $59.8 million at June 30, 2023.</w:t>
      </w:r>
    </w:p>
    <w:p>
      <w:pPr>
        <w:spacing w:after="0" w:line="32" w:lineRule="exact"/>
        <w:rPr>
          <w:sz w:val="20"/>
          <w:szCs w:val="20"/>
          <w:color w:val="auto"/>
        </w:rPr>
      </w:pPr>
    </w:p>
    <w:p>
      <w:pPr>
        <w:jc w:val="both"/>
        <w:ind w:left="140"/>
        <w:spacing w:after="0" w:line="275" w:lineRule="auto"/>
        <w:rPr>
          <w:sz w:val="20"/>
          <w:szCs w:val="20"/>
          <w:color w:val="auto"/>
        </w:rPr>
      </w:pPr>
      <w:r>
        <w:rPr>
          <w:rFonts w:ascii="Times New Roman" w:cs="Times New Roman" w:eastAsia="Times New Roman" w:hAnsi="Times New Roman"/>
          <w:sz w:val="12"/>
          <w:szCs w:val="12"/>
          <w:color w:val="auto"/>
        </w:rPr>
        <w:t>Land acquisition and development loans are included in the construction and land development loan portfolio and include completed residential lots where the borrower was not the developer, commercial improved and raw land for future development and residential development loans. Residential development loans are made to developers for the purpose of acquiring raw land for the subsequent development and sale of residential lots. Such loans typically finance land purchase and infrastructure development of properties (i.e., roads, utilities, etc.) into residential lots for sale. The end buyer for the majority of these lots are local, regional and national builders for the ultimate construction of residential units. The primary source of repayment is the sale of the lots or improved parcels of land, while personal guarantees may serve as secondary sources. These loans are generally secured by property in our primary market areas. In addition, these loans are secured by a first lien on the property, are generally limited to 65% of the lower of the acquisition price or the appraised value of the unimproved land and 75% of the improved land. Residential acquisition and development loans are generally paid out within three years unless there are multiple phases to the development.</w:t>
      </w:r>
    </w:p>
    <w:p>
      <w:pPr>
        <w:spacing w:after="0" w:line="27" w:lineRule="exact"/>
        <w:rPr>
          <w:sz w:val="20"/>
          <w:szCs w:val="20"/>
          <w:color w:val="auto"/>
        </w:rPr>
      </w:pPr>
    </w:p>
    <w:p>
      <w:pPr>
        <w:jc w:val="both"/>
        <w:ind w:left="140"/>
        <w:spacing w:after="0" w:line="252" w:lineRule="auto"/>
        <w:rPr>
          <w:sz w:val="20"/>
          <w:szCs w:val="20"/>
          <w:color w:val="auto"/>
        </w:rPr>
      </w:pPr>
      <w:r>
        <w:rPr>
          <w:rFonts w:ascii="Times New Roman" w:cs="Times New Roman" w:eastAsia="Times New Roman" w:hAnsi="Times New Roman"/>
          <w:sz w:val="13"/>
          <w:szCs w:val="13"/>
          <w:color w:val="auto"/>
        </w:rPr>
        <w:t>The Bank provides funding to a number of builders for the construction of both speculative and pre-sold 1-4 family homes. Speculative construction loans are made to home builders and are termed “speculative” because the home builder does not have, at the time of loan origination, a signed contract with a home buyer who has a commitment for permanent financing with either us or another lender for the finished home. Loans to finance the construction of speculative single-family homes are generally offered to experienced builders with a proven track record of performance. These loans require interest-only payments during the construction phase. Unfunded commitments were $53.4 million at December 31, 2023 and $68.1 million at June 30, 2023.</w:t>
      </w:r>
    </w:p>
    <w:p>
      <w:pPr>
        <w:spacing w:after="0" w:line="39" w:lineRule="exact"/>
        <w:rPr>
          <w:sz w:val="20"/>
          <w:szCs w:val="20"/>
          <w:color w:val="auto"/>
        </w:rPr>
      </w:pPr>
    </w:p>
    <w:p>
      <w:pPr>
        <w:jc w:val="both"/>
        <w:ind w:left="140"/>
        <w:spacing w:after="0" w:line="275" w:lineRule="auto"/>
        <w:rPr>
          <w:sz w:val="20"/>
          <w:szCs w:val="20"/>
          <w:color w:val="auto"/>
        </w:rPr>
      </w:pPr>
      <w:r>
        <w:rPr>
          <w:rFonts w:ascii="Times New Roman" w:cs="Times New Roman" w:eastAsia="Times New Roman" w:hAnsi="Times New Roman"/>
          <w:sz w:val="12"/>
          <w:szCs w:val="12"/>
          <w:color w:val="auto"/>
        </w:rPr>
        <w:t xml:space="preserve">Both adjustable and fixed rates are offered on commercial construction loans. Adjustable interest rate loans typically include a floor and ceiling interest rate and are indexed to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prime rate, plus or minus an interest rate margin. The initial construction period for owner occupied loans is generally limited to 12 to 24 months from the date of origination versus a construction and stabilization period for non-owner occupied loans of 24 to 36 months, both with amortization terms up to 25 years. Construction-to-permanent loans generally include a balloon maturity of five years or less; however, balloon maturities of greater than five years are allowed on a limited basis depending on factors such as property type, amortization term, lease terms, pricing or the availability of credit enhancements. Construction loan proceeds are disbursed based on the percent completion of budget as documented by periodic third-party inspections. The maximum loan-to-value limit applicable to these loans is generally 80% of the appraised post-construction value.</w:t>
      </w:r>
    </w:p>
    <w:p>
      <w:pPr>
        <w:spacing w:after="0" w:line="26" w:lineRule="exact"/>
        <w:rPr>
          <w:sz w:val="20"/>
          <w:szCs w:val="20"/>
          <w:color w:val="auto"/>
        </w:rPr>
      </w:pPr>
    </w:p>
    <w:p>
      <w:pPr>
        <w:jc w:val="both"/>
        <w:ind w:left="140"/>
        <w:spacing w:after="0" w:line="267" w:lineRule="auto"/>
        <w:rPr>
          <w:sz w:val="20"/>
          <w:szCs w:val="20"/>
          <w:color w:val="auto"/>
        </w:rPr>
      </w:pPr>
      <w:r>
        <w:rPr>
          <w:rFonts w:ascii="Times New Roman" w:cs="Times New Roman" w:eastAsia="Times New Roman" w:hAnsi="Times New Roman"/>
          <w:sz w:val="13"/>
          <w:szCs w:val="13"/>
          <w:i w:val="1"/>
          <w:iCs w:val="1"/>
          <w:u w:val="single" w:color="auto"/>
          <w:color w:val="auto"/>
        </w:rPr>
        <w:t>Commercial Real Estate Lending, including Multifamily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commercial real estate loans, including loans secured by office buildings, retail/wholesale facilities, hotels, industrial facilities, medical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professional buildings, churches and multifamily residential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color w:val="auto"/>
        </w:rPr>
        <w:t>properties located primarily in our market areas. The average outstanding loan size was $837,000 as of December 31, 2023.</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We offer both fixed- and adjustable-rate commercial real estate loans. Our commercial real estate mortgage loans generally include a balloon maturity of five years or less. Amortization terms are generally limited to 20 years. Adjustable rate-based loans typically include a floor and ceiling interest rate and are indexed to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or the one-month term SOFR, plus or minus an interest rate margin and rates generally adjust daily. The maximum loan-to-value ratio for commercial real estate loans is generally up to 80% on purchases and refinances.</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Commercial – Commercial and Industrial Loans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typically offer commercial and industrial loans to businesses located in our primary market areas. These loans are primarily originated as conventional loans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business borrowers, which include lines of credit, term loans and letters of credit. These loans are typically secured by collateral and are used for general business purposes, including working capital financing, equipment financing, capital investment and general investments. Loan terms typically vary from one to five years. The interest rates on such loans are either fixed rate or adjustable rate indexed to </w:t>
      </w:r>
      <w:r>
        <w:rPr>
          <w:rFonts w:ascii="Times New Roman" w:cs="Times New Roman" w:eastAsia="Times New Roman" w:hAnsi="Times New Roman"/>
          <w:sz w:val="13"/>
          <w:szCs w:val="13"/>
          <w:i w:val="1"/>
          <w:iCs w:val="1"/>
          <w:color w:val="auto"/>
        </w:rPr>
        <w:t>The Wall Street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Journal </w:t>
      </w:r>
      <w:r>
        <w:rPr>
          <w:rFonts w:ascii="Times New Roman" w:cs="Times New Roman" w:eastAsia="Times New Roman" w:hAnsi="Times New Roman"/>
          <w:sz w:val="13"/>
          <w:szCs w:val="13"/>
          <w:color w:val="auto"/>
        </w:rPr>
        <w:t>prime rate plus a margin.</w:t>
      </w:r>
    </w:p>
    <w:p>
      <w:pPr>
        <w:spacing w:after="0" w:line="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 xml:space="preserve">We originate commercial business loans made under the SBA 7(a) and USDA B&amp;I programs to small businesses located throughout the country. Loans made by the Bank under the SBA 7(a) and USDA B&amp;I programs generally are made to small businesses to provide working capital needs, to refinance existing debt or to provide funding for the purchase of businesses, real estate, machinery and equipment. These loans generally are secured by a combination of assets that may include receivables, inventory, furniture, fixtures, equipment, business real property, commercial real estate and sometimes additional collateral such as an assignment of life insurance and a lien on personal real estate owned by the guarantor(s). Typical maturities for this type of loan vary up to 25 years and can be 30 years in some circumstances. Under the SBA 7(a) and USDA B&amp;I loan program the loans carry a government guaranty up to 90% of the loan in some cases. SBA 7(a) and USDA B&amp;I loans will normally be adjustable rate loans based upon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prime lending rate. Under the loan programs, we will typically sell in the secondary market the guaranteed portion of these loans to generate noninterest income and retain the related unguaranteed portion of these loans.</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March 2022, the Company began purchasing commercial small business loans originated by a fintech partner, although in 2023 we elected to cease further purchases. At December 31, 2023, the outstanding balance of these loans totaled $19.6 million, or 0.5% of our loan portfolio. The credit risk characteristics of these loans are different from the remainder of the portfolio as they were not originated by the Company and the collateral may be located outside the Company's market area. The Company will continue to monitor the performance of these loans and adjust the ACL as necessary.</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Commercial – Equipment Finance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equipment finance line of business offers companies that are purchasing equipment for their business various products to help manage tax and accounting issues, while offering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flexible and customizable repayment terms. These products are primarily made up of commercial finance agreements and commercial loans for transportation, construction, healthcare and manufacturing equipment. The loans have terms ranging from 24 to 96 months, with an average of five years, and are secured by the financed equipment. Typical transaction sizes range from $10,000 to $4.0 million, with an average outstanding loan size of $141,000.</w:t>
      </w:r>
    </w:p>
    <w:p>
      <w:pPr>
        <w:spacing w:after="0" w:line="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i w:val="1"/>
          <w:iCs w:val="1"/>
          <w:u w:val="single" w:color="auto"/>
          <w:color w:val="auto"/>
        </w:rPr>
        <w:t>Commercial – Municipal Leases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offer ground and equipment lease financing to fire departments located primarily throughout North Carolina, South Carolina and, to a lesser extent, Virginia. Municipal leases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secured primarily by a ground lease in our name with a sublease to the borrower for a fire station or an equipment lease for fire trucks and firefighting equipment. We originate and underwrite all leases prior to funding. These leases are at a fixed rate of interest and may have a term to maturity of up to 20 years. At December 31, 2023, $95.1 million, or 63.3%, of our municipal leases were secured by fire trucks, $46.6 million, or 31.0%, were secured by fire stations, with the remaining $8.6 million, or 5.7%, secured by miscellaneous firefighting equipment and land. At December 31, 2023, the average outstanding municipal lease size was $427,000.</w:t>
      </w:r>
    </w:p>
    <w:p>
      <w:pPr>
        <w:spacing w:after="0" w:line="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Residential Real Estate – Construction and Land Development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construction-to-permanent loans to homeowners building a residence. In addition, we originate land/lot loans predominately for the purchase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or refinance of an improved lot for the construction of a residence to be occupied by the borrower. All of our construction and land/lot loans were made on properties located within our market area. Unfunded loan commitments totaled $60.4 million and $93.0 million at December 31, 2023 and June 30, 2023, respectively.</w:t>
      </w:r>
    </w:p>
    <w:p>
      <w:pPr>
        <w:spacing w:after="0" w:line="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Construction-to-permanent loans are made for the construction of a one-to-four family property which is intended to be occupied by the borrower as either a primary or secondary residence. Construction-to-permanent loans are originated to the homeowner rather than the homebuilder and are structured to be converted to a first lien fixed- or adjustable-rate permanent loan at the completion of the construction phase. During the construction phase, which typically lasts six to 12 months, we make periodic inspections of the construction site and loan proceeds are disbursed directly to the contractors or borrowers as construction progresses. Typically, disbursements are made in monthly draws during the construction period. Loan proceeds are disbursed based on a percentage of completion. Construction-to-permanent loans require payment of interest only during the construction phase. Construction loans may be originated up to 90% of the cost or of the appraised value upon completion, whichever is less; however, we generally do not originate conforming construction loans which exceed an 80% loan-to-value without securing adequate private mortgage insurance.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Included in our construction and land/lot loan portfolio are land/lot loans, which are typically loans secured by developed lots in residential subdivisions located in our market areas. We originate these loans to individuals intending to construct their primary or secondary residence on the lot within one year of the origination date. This portfolio may also include loans for the purchase or refinance of unimproved land that is generally less than or equal to five acres and for which the purpose is to commence the improvement of the land and construction of an owner occupied primary or secondary residence within one year of the origination date.</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Land/lot loans are typically originated in an amount up to 70% of the lower of the purchase price or appraisal, are secured by a first lien on the property, for up to a 20-year term, require payments of interest only and are structured with an adjustable rate of interest on terms similar to our one-to-four family residential mortgage loans.</w:t>
      </w:r>
    </w:p>
    <w:p>
      <w:pPr>
        <w:spacing w:after="0" w:line="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3"/>
          <w:szCs w:val="13"/>
          <w:i w:val="1"/>
          <w:iCs w:val="1"/>
          <w:u w:val="single" w:color="auto"/>
          <w:color w:val="auto"/>
        </w:rPr>
        <w:t>Residential Real Estate – One-to-Four Family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 originate loans secured by first mortgages on one-to-four family residences typically for the purchase or refinance of owner occupied primary or secondary residences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located primarily in our market areas. We originate both fixed-rate loans and adjustable-rate loans. We generally originate fixed rate mortgage loans with terms greater than 10 years for sale to</w:t>
      </w:r>
    </w:p>
    <w:p>
      <w:pPr>
        <w:spacing w:after="0" w:line="3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440" w:top="861" w:right="319" w:bottom="1440" w:gutter="0" w:footer="0" w:header="0"/>
        </w:sectPr>
      </w:pPr>
    </w:p>
    <w:bookmarkStart w:id="34" w:name="page35"/>
    <w:bookmarkEnd w:id="34"/>
    <w:p>
      <w:pPr>
        <w:ind w:left="140" w:right="60"/>
        <w:spacing w:after="0" w:line="259" w:lineRule="auto"/>
        <w:rPr>
          <w:sz w:val="20"/>
          <w:szCs w:val="20"/>
          <w:color w:val="auto"/>
        </w:rPr>
      </w:pPr>
      <w:r>
        <w:rPr>
          <w:rFonts w:ascii="Times New Roman" w:cs="Times New Roman" w:eastAsia="Times New Roman" w:hAnsi="Times New Roman"/>
          <w:sz w:val="13"/>
          <w:szCs w:val="13"/>
          <w:color w:val="auto"/>
        </w:rPr>
        <w:t>various secondary market investors, currently on a servicing retained basis. We also originate adjustable-rate mortgage, or ARM, loans which have interest rates that adjust to the average 30-day yield on the SOFR plus a margin. Most of our ARM loans are hybrid loans, which after an initial fixed rate period of one, five, seven or 10 years will convert to an annual adjustable interest rate for the remaining term of the loan. Our ARM loans have terms up to 30 years.</w:t>
      </w:r>
    </w:p>
    <w:p>
      <w:pPr>
        <w:spacing w:after="0" w:line="34" w:lineRule="exact"/>
        <w:rPr>
          <w:sz w:val="20"/>
          <w:szCs w:val="20"/>
          <w:color w:val="auto"/>
        </w:rPr>
      </w:pPr>
    </w:p>
    <w:p>
      <w:pPr>
        <w:jc w:val="both"/>
        <w:ind w:left="140"/>
        <w:spacing w:after="0" w:line="253" w:lineRule="auto"/>
        <w:rPr>
          <w:sz w:val="20"/>
          <w:szCs w:val="20"/>
          <w:color w:val="auto"/>
        </w:rPr>
      </w:pPr>
      <w:r>
        <w:rPr>
          <w:rFonts w:ascii="Times New Roman" w:cs="Times New Roman" w:eastAsia="Times New Roman" w:hAnsi="Times New Roman"/>
          <w:sz w:val="13"/>
          <w:szCs w:val="13"/>
          <w:i w:val="1"/>
          <w:iCs w:val="1"/>
          <w:u w:val="single" w:color="auto"/>
          <w:color w:val="auto"/>
        </w:rPr>
        <w:t>Residential Real Estate – Home Equity Lines of Credit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HELOCs consist primarily of adjustable-rate lines of credit. The lines of credit may be originated in amounts, together with the amount of the existing first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mortgage, typically up to 85% of the value of the property securing the loan (less any prior mortgage loans) with an adjustable-rate of interest based on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plus a margin. HELOCs generally have up to a 10-year draw period and amounts may be reborrowed after payment at any time during the draw period. Once the draw period has lapsed, the payment is amortized over a 15-year period based on the loan balance at that time. At December 31, 2023, unfunded commitments on these lines of credit, including loans held for sale, totaled $478.0 million.</w:t>
      </w:r>
    </w:p>
    <w:p>
      <w:pPr>
        <w:spacing w:after="0" w:line="27" w:lineRule="exact"/>
        <w:rPr>
          <w:sz w:val="20"/>
          <w:szCs w:val="20"/>
          <w:color w:val="auto"/>
        </w:rPr>
      </w:pPr>
    </w:p>
    <w:p>
      <w:pPr>
        <w:jc w:val="both"/>
        <w:ind w:left="140"/>
        <w:spacing w:after="0" w:line="259" w:lineRule="auto"/>
        <w:rPr>
          <w:sz w:val="20"/>
          <w:szCs w:val="20"/>
          <w:color w:val="auto"/>
        </w:rPr>
      </w:pPr>
      <w:r>
        <w:rPr>
          <w:rFonts w:ascii="Times New Roman" w:cs="Times New Roman" w:eastAsia="Times New Roman" w:hAnsi="Times New Roman"/>
          <w:sz w:val="13"/>
          <w:szCs w:val="13"/>
          <w:i w:val="1"/>
          <w:iCs w:val="1"/>
          <w:u w:val="single" w:color="auto"/>
          <w:color w:val="auto"/>
        </w:rPr>
        <w:t>Consumer Lending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consumer loans consist of loans secured by deposit accounts or personal property such as automobiles, boats and motorcycles, as well as unsecured consumer debt. This portfolio includes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indirect auto finance installment contracts sourced through our relationships with automobile dealerships, both manufacturer franchised dealerships and independent dealerships, who utilize our origination platform to provide automotive financing through installment contracts on new and used vehicles. At December 31, 2023, the outstanding balance of indirect auto finance loans was $107.1 million, although, as stated earlier in this document, we recently made the decision to cease indirect auto originations, which will take effect by the end of the quarter ended March 31, 2024.</w:t>
      </w:r>
    </w:p>
    <w:p>
      <w:pPr>
        <w:spacing w:after="0" w:line="2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The following table details the contractual maturity ranges of our loan portfolio without factoring in scheduled payments or potential prepayments. Loan balances do not include undisbursed loan proceeds, unearned discounts, unearned income or the ACL. In addition, we have disclosed those loans with predetermined (fixed) and floating interest rates at December 31, 2023.</w:t>
      </w:r>
    </w:p>
    <w:tbl>
      <w:tblPr>
        <w:tblLayout w:type="fixed"/>
        <w:tblInd w:w="0" w:type="dxa"/>
        <w:tblCellMar>
          <w:top w:w="0" w:type="dxa"/>
          <w:left w:w="0" w:type="dxa"/>
          <w:bottom w:w="0" w:type="dxa"/>
          <w:right w:w="0" w:type="dxa"/>
        </w:tblCellMar>
      </w:tblPr>
      <w:tr>
        <w:trPr>
          <w:trHeight w:val="131"/>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1 Year or Less</w:t>
            </w:r>
          </w:p>
        </w:tc>
        <w:tc>
          <w:tcPr>
            <w:tcW w:w="126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After 1 but Within 5</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3"/>
                <w:szCs w:val="13"/>
                <w:b w:val="1"/>
                <w:bCs w:val="1"/>
                <w:color w:val="auto"/>
                <w:w w:val="96"/>
              </w:rPr>
              <w:t>After 5 but Within</w:t>
            </w:r>
          </w:p>
        </w:tc>
        <w:tc>
          <w:tcPr>
            <w:tcW w:w="14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Over 15 Years</w:t>
            </w:r>
          </w:p>
        </w:tc>
        <w:tc>
          <w:tcPr>
            <w:tcW w:w="260" w:type="dxa"/>
            <w:vAlign w:val="bottom"/>
          </w:tcPr>
          <w:p>
            <w:pPr>
              <w:spacing w:after="0"/>
              <w:rPr>
                <w:sz w:val="11"/>
                <w:szCs w:val="11"/>
                <w:color w:val="auto"/>
              </w:rPr>
            </w:pPr>
          </w:p>
        </w:tc>
        <w:tc>
          <w:tcPr>
            <w:tcW w:w="9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1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15 Years</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139,423</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144,636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528,343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41,467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34,000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0" w:type="dxa"/>
            <w:vAlign w:val="bottom"/>
          </w:tcPr>
          <w:p>
            <w:pPr>
              <w:spacing w:after="0"/>
              <w:rPr>
                <w:sz w:val="1"/>
                <w:szCs w:val="1"/>
                <w:color w:val="auto"/>
              </w:rPr>
            </w:pPr>
          </w:p>
        </w:tc>
      </w:tr>
      <w:tr>
        <w:trPr>
          <w:trHeight w:val="158"/>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1,017,184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425,834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1,806,131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29,836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86,232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512,962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239,755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369,713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171,610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c>
          <w:tcPr>
            <w:tcW w:w="0" w:type="dxa"/>
            <w:vAlign w:val="bottom"/>
          </w:tcPr>
          <w:p>
            <w:pPr>
              <w:spacing w:after="0"/>
              <w:rPr>
                <w:sz w:val="1"/>
                <w:szCs w:val="1"/>
                <w:color w:val="auto"/>
              </w:rPr>
            </w:pPr>
          </w:p>
        </w:tc>
      </w:tr>
      <w:tr>
        <w:trPr>
          <w:trHeight w:val="158"/>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635,356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866,929</w:t>
            </w: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0" w:type="dxa"/>
            <w:vAlign w:val="bottom"/>
          </w:tcPr>
          <w:p>
            <w:pPr>
              <w:spacing w:after="0"/>
              <w:rPr>
                <w:sz w:val="1"/>
                <w:szCs w:val="1"/>
                <w:color w:val="auto"/>
              </w:rPr>
            </w:pPr>
          </w:p>
        </w:tc>
      </w:tr>
      <w:tr>
        <w:trPr>
          <w:trHeight w:val="162"/>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Loans, net of deferred loan fees and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372,421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1,717,444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793,027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757,130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91,823</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721,853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4,473</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891,720</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83,448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914,411</w:t>
            </w: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483,921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744,909</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108,211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106,970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340,311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30,212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526,618</w:t>
            </w:r>
          </w:p>
        </w:tc>
        <w:tc>
          <w:tcPr>
            <w:tcW w:w="0" w:type="dxa"/>
            <w:vAlign w:val="bottom"/>
          </w:tcPr>
          <w:p>
            <w:pPr>
              <w:spacing w:after="0"/>
              <w:rPr>
                <w:sz w:val="1"/>
                <w:szCs w:val="1"/>
                <w:color w:val="auto"/>
              </w:rPr>
            </w:pP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Fixed rate loans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112,937</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Adjustable rate loans</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0" w:type="dxa"/>
            <w:vAlign w:val="bottom"/>
          </w:tcPr>
          <w:p>
            <w:pPr>
              <w:spacing w:after="0"/>
              <w:rPr>
                <w:sz w:val="1"/>
                <w:szCs w:val="1"/>
                <w:color w:val="auto"/>
              </w:rPr>
            </w:pPr>
          </w:p>
        </w:tc>
      </w:tr>
      <w:tr>
        <w:trPr>
          <w:trHeight w:val="188"/>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fixed rate loans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1,374,401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2,089,877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0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Total adjustable rate loans</w:t>
            </w: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232,069</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343,043</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423,202</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551,831</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1,550,145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Nonperforming Assets. </w:t>
      </w:r>
      <w:r>
        <w:rPr>
          <w:rFonts w:ascii="Times New Roman" w:cs="Times New Roman" w:eastAsia="Times New Roman" w:hAnsi="Times New Roman"/>
          <w:sz w:val="13"/>
          <w:szCs w:val="13"/>
          <w:color w:val="auto"/>
        </w:rPr>
        <w:t>Nonperforming assets include nonaccrual loans and OREO. Loans are placed on nonaccrual status when the collection of principal and/or interest becomes doubtful or other factors involving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loan warrant placing the loan on nonaccrual status. Total nonperforming assets were $19.3 million, or 0.41% of total assets, at December 31, 2023, compared to $8.3 milion, or 0.18% of total assets, at June 30, 2023. The following table sets forth the composition of our nonperforming assets among our different asset categories.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15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Nonaccruing loans</w:t>
            </w: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8"/>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4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912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517</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Multifamily</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624</w:t>
            </w:r>
          </w:p>
        </w:tc>
        <w:tc>
          <w:tcPr>
            <w:tcW w:w="0" w:type="dxa"/>
            <w:vAlign w:val="bottom"/>
          </w:tcPr>
          <w:p>
            <w:pPr>
              <w:spacing w:after="0"/>
              <w:rPr>
                <w:sz w:val="1"/>
                <w:szCs w:val="1"/>
                <w:color w:val="auto"/>
              </w:rPr>
            </w:pPr>
          </w:p>
        </w:tc>
      </w:tr>
      <w:tr>
        <w:trPr>
          <w:trHeight w:val="169"/>
        </w:trPr>
        <w:tc>
          <w:tcPr>
            <w:tcW w:w="76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1,222</w:t>
            </w:r>
          </w:p>
        </w:tc>
        <w:tc>
          <w:tcPr>
            <w:tcW w:w="0" w:type="dxa"/>
            <w:vAlign w:val="bottom"/>
          </w:tcPr>
          <w:p>
            <w:pPr>
              <w:spacing w:after="0"/>
              <w:rPr>
                <w:sz w:val="1"/>
                <w:szCs w:val="1"/>
                <w:color w:val="auto"/>
              </w:rPr>
            </w:pPr>
          </w:p>
        </w:tc>
      </w:tr>
      <w:tr>
        <w:trPr>
          <w:trHeight w:val="168"/>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 finance</w:t>
            </w:r>
          </w:p>
        </w:tc>
        <w:tc>
          <w:tcPr>
            <w:tcW w:w="24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6,463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2,862</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Municipal leases</w:t>
            </w:r>
          </w:p>
        </w:tc>
        <w:tc>
          <w:tcPr>
            <w:tcW w:w="2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58"/>
        </w:trPr>
        <w:tc>
          <w:tcPr>
            <w:tcW w:w="7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commercial loans</w:t>
            </w: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9,237</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4,190</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4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132</w:t>
            </w:r>
          </w:p>
        </w:tc>
        <w:tc>
          <w:tcPr>
            <w:tcW w:w="0" w:type="dxa"/>
            <w:vAlign w:val="bottom"/>
          </w:tcPr>
          <w:p>
            <w:pPr>
              <w:spacing w:after="0"/>
              <w:rPr>
                <w:sz w:val="1"/>
                <w:szCs w:val="1"/>
                <w:color w:val="auto"/>
              </w:rPr>
            </w:pPr>
          </w:p>
        </w:tc>
      </w:tr>
      <w:tr>
        <w:trPr>
          <w:trHeight w:val="17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One-to-four family</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1,935</w:t>
            </w:r>
          </w:p>
        </w:tc>
        <w:tc>
          <w:tcPr>
            <w:tcW w:w="0" w:type="dxa"/>
            <w:vAlign w:val="bottom"/>
          </w:tcPr>
          <w:p>
            <w:pPr>
              <w:spacing w:after="0"/>
              <w:rPr>
                <w:sz w:val="1"/>
                <w:szCs w:val="1"/>
                <w:color w:val="auto"/>
              </w:rPr>
            </w:pPr>
          </w:p>
        </w:tc>
      </w:tr>
      <w:tr>
        <w:trPr>
          <w:trHeight w:val="168"/>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HELOCs</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2,173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957</w:t>
            </w:r>
          </w:p>
        </w:tc>
        <w:tc>
          <w:tcPr>
            <w:tcW w:w="0" w:type="dxa"/>
            <w:vAlign w:val="bottom"/>
          </w:tcPr>
          <w:p>
            <w:pPr>
              <w:spacing w:after="0"/>
              <w:rPr>
                <w:sz w:val="1"/>
                <w:szCs w:val="1"/>
                <w:color w:val="auto"/>
              </w:rPr>
            </w:pPr>
          </w:p>
        </w:tc>
      </w:tr>
      <w:tr>
        <w:trPr>
          <w:trHeight w:val="163"/>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3,024</w:t>
            </w:r>
          </w:p>
        </w:tc>
        <w:tc>
          <w:tcPr>
            <w:tcW w:w="0" w:type="dxa"/>
            <w:vAlign w:val="bottom"/>
          </w:tcPr>
          <w:p>
            <w:pPr>
              <w:spacing w:after="0"/>
              <w:rPr>
                <w:sz w:val="1"/>
                <w:szCs w:val="1"/>
                <w:color w:val="auto"/>
              </w:rPr>
            </w:pPr>
          </w:p>
        </w:tc>
      </w:tr>
      <w:tr>
        <w:trPr>
          <w:trHeight w:val="169"/>
        </w:trPr>
        <w:tc>
          <w:tcPr>
            <w:tcW w:w="7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nonaccruing loans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8,315</w:t>
            </w:r>
          </w:p>
        </w:tc>
        <w:tc>
          <w:tcPr>
            <w:tcW w:w="0" w:type="dxa"/>
            <w:vAlign w:val="bottom"/>
          </w:tcPr>
          <w:p>
            <w:pPr>
              <w:spacing w:after="0"/>
              <w:rPr>
                <w:sz w:val="1"/>
                <w:szCs w:val="1"/>
                <w:color w:val="auto"/>
              </w:rPr>
            </w:pPr>
          </w:p>
        </w:tc>
      </w:tr>
      <w:tr>
        <w:trPr>
          <w:trHeight w:val="169"/>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foreclosed assets</w:t>
            </w:r>
          </w:p>
        </w:tc>
        <w:tc>
          <w:tcPr>
            <w:tcW w:w="24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7"/>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nonperforming assets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19,333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8,315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nonperforming assets as a percentage of total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0.41 %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0.18 %</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This increase was primarily driven by increases of $4.0 million in non-owner occupied commercial real estate, $3.6 million in equipment finance, and $1.2 million in home equity loans. One non-owner occupied commercial real estate hotel loan represented $3.1 million of this change, while the increase in equipment finance loans was due to pressure in the over-the-road trucking sector. Within "Item 1A. Risk Factors", specifically the "Our equipment finance and auto finance lending increases our exposure to lending risks" section, we provided further context behind our exposure to the over-the-road trucking sector. Since December 31, 2023, management has elected to cease further originations within this sector and has devoted additional attention towards resolving loans within the existing portfolio.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ratio of nonperforming loans to total loans was 0.53% at December 31, 2023 and 0.23% at June 30, 2023.</w:t>
      </w:r>
    </w:p>
    <w:p>
      <w:pPr>
        <w:spacing w:after="0" w:line="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Allowance for Credit Losses on Loans</w:t>
      </w:r>
      <w:r>
        <w:rPr>
          <w:rFonts w:ascii="Times New Roman" w:cs="Times New Roman" w:eastAsia="Times New Roman" w:hAnsi="Times New Roman"/>
          <w:sz w:val="13"/>
          <w:szCs w:val="13"/>
          <w:color w:val="auto"/>
        </w:rPr>
        <w:t>. The ACL on loans held for investment is a valuation account that reflects our estimation of the credit losses that will result from the inability of our borrowers to make required loan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payments. The ACL is maintained through provisions for credit losses that are charged to earnings in the period they are established. We charge losses on loans against the ACL when we believe the collection of loan principal is unlikely. Recoveries on loans previously charged off are added back to the ACL. See "Note 1 – Summary of Significant Accounting Policies" of the Notes to the Consolidated Financial Statements included in Item 8 of this Form 10-KT for discussion of our ACL methodology on loans.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color w:val="auto"/>
        </w:rPr>
        <w:t>The following table summarizes the distribution of the ACL by loan category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Allocated</w:t>
            </w:r>
          </w:p>
        </w:tc>
        <w:tc>
          <w:tcPr>
            <w:tcW w:w="11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 of Loan</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ACL to Loans</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Allocated</w:t>
            </w:r>
          </w:p>
        </w:tc>
        <w:tc>
          <w:tcPr>
            <w:tcW w:w="12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 of Loan</w:t>
            </w:r>
          </w:p>
        </w:tc>
        <w:tc>
          <w:tcPr>
            <w:tcW w:w="11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ACL to Loans</w:t>
            </w:r>
          </w:p>
        </w:tc>
        <w:tc>
          <w:tcPr>
            <w:tcW w:w="0" w:type="dxa"/>
            <w:vAlign w:val="bottom"/>
          </w:tcPr>
          <w:p>
            <w:pPr>
              <w:spacing w:after="0"/>
              <w:rPr>
                <w:sz w:val="1"/>
                <w:szCs w:val="1"/>
                <w:color w:val="auto"/>
              </w:rPr>
            </w:pPr>
          </w:p>
        </w:tc>
      </w:tr>
      <w:tr>
        <w:trPr>
          <w:trHeight w:val="102"/>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6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Portfolio</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3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80" w:type="dxa"/>
            <w:vAlign w:val="bottom"/>
          </w:tcPr>
          <w:p>
            <w:pPr>
              <w:spacing w:after="0"/>
              <w:rPr>
                <w:sz w:val="14"/>
                <w:szCs w:val="1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w w:val="97"/>
              </w:rPr>
              <w:t>0.13 %</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5,866</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97"/>
              </w:rPr>
              <w:t>0.16 %</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5,647</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4,837</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68"/>
        </w:trPr>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9,187</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9,230</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8"/>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20,323</w:t>
            </w:r>
          </w:p>
        </w:tc>
        <w:tc>
          <w:tcPr>
            <w:tcW w:w="10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0.56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8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3"/>
                <w:szCs w:val="13"/>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0.57</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4,738</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0.13</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0.28</w:t>
            </w:r>
          </w:p>
        </w:tc>
        <w:tc>
          <w:tcPr>
            <w:tcW w:w="0" w:type="dxa"/>
            <w:vAlign w:val="bottom"/>
          </w:tcPr>
          <w:p>
            <w:pPr>
              <w:spacing w:after="0"/>
              <w:rPr>
                <w:sz w:val="1"/>
                <w:szCs w:val="1"/>
                <w:color w:val="auto"/>
              </w:rPr>
            </w:pPr>
          </w:p>
        </w:tc>
      </w:tr>
      <w:tr>
        <w:trPr>
          <w:trHeight w:val="168"/>
        </w:trPr>
        <w:tc>
          <w:tcPr>
            <w:tcW w:w="4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63"/>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loans</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17,026</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0.42</w:t>
            </w:r>
          </w:p>
        </w:tc>
        <w:tc>
          <w:tcPr>
            <w:tcW w:w="0" w:type="dxa"/>
            <w:vAlign w:val="bottom"/>
          </w:tcPr>
          <w:p>
            <w:pPr>
              <w:spacing w:after="0"/>
              <w:rPr>
                <w:sz w:val="1"/>
                <w:szCs w:val="1"/>
                <w:color w:val="auto"/>
              </w:rPr>
            </w:pPr>
          </w:p>
        </w:tc>
      </w:tr>
      <w:tr>
        <w:trPr>
          <w:trHeight w:val="169"/>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68"/>
        </w:trPr>
        <w:tc>
          <w:tcPr>
            <w:tcW w:w="43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w:t>
            </w:r>
          </w:p>
        </w:tc>
        <w:tc>
          <w:tcPr>
            <w:tcW w:w="10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5,612</w:t>
            </w:r>
          </w:p>
        </w:tc>
        <w:tc>
          <w:tcPr>
            <w:tcW w:w="8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8"/>
        </w:trPr>
        <w:tc>
          <w:tcPr>
            <w:tcW w:w="4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10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3"/>
                <w:szCs w:val="13"/>
                <w:color w:val="auto"/>
              </w:rPr>
            </w:pPr>
          </w:p>
        </w:tc>
        <w:tc>
          <w:tcPr>
            <w:tcW w:w="11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Pr>
          <w:p>
            <w:pPr>
              <w:spacing w:after="0"/>
              <w:rPr>
                <w:sz w:val="13"/>
                <w:szCs w:val="13"/>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62"/>
        </w:trPr>
        <w:tc>
          <w:tcPr>
            <w:tcW w:w="43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w w:val="97"/>
              </w:rPr>
              <w:t>1.34 %</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w w:val="97"/>
              </w:rPr>
              <w:t>1.29 %</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At or For the Six Months Ended</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At or For the Year Ended June 30,</w:t>
            </w:r>
          </w:p>
        </w:tc>
        <w:tc>
          <w:tcPr>
            <w:tcW w:w="204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r>
      <w:tr>
        <w:trPr>
          <w:trHeight w:val="169"/>
        </w:trPr>
        <w:tc>
          <w:tcPr>
            <w:tcW w:w="5020" w:type="dxa"/>
            <w:vAlign w:val="bottom"/>
          </w:tcPr>
          <w:p>
            <w:pPr>
              <w:spacing w:after="0"/>
              <w:rPr>
                <w:sz w:val="14"/>
                <w:szCs w:val="14"/>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020" w:type="dxa"/>
            <w:vAlign w:val="bottom"/>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0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 quality ratios</w:t>
            </w:r>
          </w:p>
        </w:tc>
        <w:tc>
          <w:tcPr>
            <w:tcW w:w="2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spacing w:after="0"/>
              <w:rPr>
                <w:sz w:val="14"/>
                <w:szCs w:val="14"/>
                <w:color w:val="auto"/>
              </w:rPr>
            </w:pPr>
          </w:p>
        </w:tc>
      </w:tr>
      <w:tr>
        <w:trPr>
          <w:trHeight w:val="170"/>
        </w:trPr>
        <w:tc>
          <w:tcPr>
            <w:tcW w:w="50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Nonaccruing loans to total loans</w:t>
            </w:r>
            <w:r>
              <w:rPr>
                <w:rFonts w:ascii="Times New Roman" w:cs="Times New Roman" w:eastAsia="Times New Roman" w:hAnsi="Times New Roman"/>
                <w:sz w:val="16"/>
                <w:szCs w:val="16"/>
                <w:color w:val="auto"/>
                <w:vertAlign w:val="superscript"/>
              </w:rPr>
              <w:t>(1)</w:t>
            </w: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0.53 %</w:t>
            </w:r>
          </w:p>
        </w:tc>
        <w:tc>
          <w:tcPr>
            <w:tcW w:w="10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0.23 %</w:t>
            </w:r>
          </w:p>
        </w:tc>
        <w:tc>
          <w:tcPr>
            <w:tcW w:w="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0.21 %</w:t>
            </w:r>
          </w:p>
        </w:tc>
      </w:tr>
      <w:tr>
        <w:trPr>
          <w:trHeight w:val="170"/>
        </w:trPr>
        <w:tc>
          <w:tcPr>
            <w:tcW w:w="50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ACL to nonaccruing loans</w:t>
            </w:r>
            <w:r>
              <w:rPr>
                <w:rFonts w:ascii="Times New Roman" w:cs="Times New Roman" w:eastAsia="Times New Roman" w:hAnsi="Times New Roman"/>
                <w:sz w:val="16"/>
                <w:szCs w:val="16"/>
                <w:color w:val="auto"/>
                <w:vertAlign w:val="superscript"/>
              </w:rPr>
              <w:t>(1)</w:t>
            </w:r>
          </w:p>
        </w:tc>
        <w:tc>
          <w:tcPr>
            <w:tcW w:w="2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251.60</w:t>
            </w:r>
          </w:p>
        </w:tc>
        <w:tc>
          <w:tcPr>
            <w:tcW w:w="100" w:type="dxa"/>
            <w:vAlign w:val="bottom"/>
            <w:shd w:val="clear" w:color="auto" w:fill="CCEEFF"/>
          </w:tcPr>
          <w:p>
            <w:pPr>
              <w:spacing w:after="0"/>
              <w:rPr>
                <w:sz w:val="14"/>
                <w:szCs w:val="14"/>
                <w:color w:val="auto"/>
              </w:rPr>
            </w:pPr>
          </w:p>
        </w:tc>
        <w:tc>
          <w:tcPr>
            <w:tcW w:w="2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567.56</w:t>
            </w:r>
          </w:p>
        </w:tc>
        <w:tc>
          <w:tcPr>
            <w:tcW w:w="8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629.40</w:t>
            </w: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charge-offs (recoveries) to average loans</w:t>
            </w:r>
          </w:p>
        </w:tc>
        <w:tc>
          <w:tcPr>
            <w:tcW w:w="2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0.28</w:t>
            </w:r>
          </w:p>
        </w:tc>
        <w:tc>
          <w:tcPr>
            <w:tcW w:w="100" w:type="dxa"/>
            <w:vAlign w:val="bottom"/>
          </w:tcPr>
          <w:p>
            <w:pPr>
              <w:spacing w:after="0"/>
              <w:rPr>
                <w:sz w:val="14"/>
                <w:szCs w:val="14"/>
                <w:color w:val="auto"/>
              </w:rPr>
            </w:pPr>
          </w:p>
        </w:tc>
        <w:tc>
          <w:tcPr>
            <w:tcW w:w="2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4"/>
                <w:szCs w:val="14"/>
                <w:color w:val="auto"/>
              </w:rPr>
            </w:pPr>
          </w:p>
        </w:tc>
        <w:tc>
          <w:tcPr>
            <w:tcW w:w="2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0.13</w:t>
            </w:r>
          </w:p>
        </w:tc>
      </w:tr>
    </w:tbl>
    <w:p>
      <w:pPr>
        <w:spacing w:after="0" w:line="86" w:lineRule="exact"/>
        <w:rPr>
          <w:sz w:val="20"/>
          <w:szCs w:val="20"/>
          <w:color w:val="auto"/>
        </w:rPr>
      </w:pPr>
    </w:p>
    <w:p>
      <w:pPr>
        <w:ind w:left="260" w:hanging="255"/>
        <w:spacing w:after="0" w:line="293" w:lineRule="auto"/>
        <w:tabs>
          <w:tab w:leader="none" w:pos="200" w:val="left"/>
        </w:tabs>
        <w:numPr>
          <w:ilvl w:val="0"/>
          <w:numId w:val="20"/>
        </w:numPr>
        <w:rPr>
          <w:rFonts w:ascii="Times New Roman" w:cs="Times New Roman" w:eastAsia="Times New Roman" w:hAnsi="Times New Roman"/>
          <w:sz w:val="8"/>
          <w:szCs w:val="8"/>
          <w:color w:val="auto"/>
        </w:rPr>
      </w:pPr>
      <w:r>
        <w:rPr>
          <w:rFonts w:ascii="Times New Roman" w:cs="Times New Roman" w:eastAsia="Times New Roman" w:hAnsi="Times New Roman"/>
          <w:sz w:val="10"/>
          <w:szCs w:val="10"/>
          <w:color w:val="auto"/>
        </w:rPr>
        <w:t>At December 31, 2023, $2.4 million, or 12.3%, of nonaccruing loans were current on their loan payments. At June 30, 2023, $3.3 million, or 40.0%, of nonaccruing loans were current on their loan payments. At December 31, 2022, $3.2 million, or 52.0%, of nonaccruing loans were current on their loan payments.</w:t>
      </w:r>
    </w:p>
    <w:p>
      <w:pPr>
        <w:spacing w:after="0" w:line="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ACL on loans increased $1.4 million, or 3.1%, between December 31, 2023 and June 30, 2023. See further discussion of the drivers of the change in the "Comparison of Results of Operations for the Six Months Ended December 31, 2023 and December 31, 2022 – Provision (Benefit) for Credit Losses" section above.</w:t>
      </w:r>
    </w:p>
    <w:p>
      <w:pPr>
        <w:spacing w:after="0" w:line="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Our individually evaluated loans are comprised of loans meeting certain thresholds including those on nonaccrual status. Individually evaluated loans may be evaluated for reserve purposes using either the cash flow or the collateral valuation method. As of December 31, 2023, there were $8.8 million of loans individually evaluated compared to $6.8 million at June 30,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net charge-offs (recoveries) to average loans outstanding by loan category as of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7"/>
          </w:tcPr>
          <w:p>
            <w:pPr>
              <w:ind w:left="920"/>
              <w:spacing w:after="0"/>
              <w:rPr>
                <w:sz w:val="20"/>
                <w:szCs w:val="20"/>
                <w:color w:val="auto"/>
              </w:rPr>
            </w:pPr>
            <w:r>
              <w:rPr>
                <w:rFonts w:ascii="Times New Roman" w:cs="Times New Roman" w:eastAsia="Times New Roman" w:hAnsi="Times New Roman"/>
                <w:sz w:val="13"/>
                <w:szCs w:val="13"/>
                <w:b w:val="1"/>
                <w:bCs w:val="1"/>
                <w:color w:val="auto"/>
              </w:rPr>
              <w:t>Six Months Ended December 31, 2023</w:t>
            </w:r>
          </w:p>
        </w:tc>
        <w:tc>
          <w:tcPr>
            <w:tcW w:w="120" w:type="dxa"/>
            <w:vAlign w:val="bottom"/>
          </w:tcPr>
          <w:p>
            <w:pPr>
              <w:spacing w:after="0"/>
              <w:rPr>
                <w:sz w:val="14"/>
                <w:szCs w:val="14"/>
                <w:color w:val="auto"/>
              </w:rPr>
            </w:pPr>
          </w:p>
        </w:tc>
        <w:tc>
          <w:tcPr>
            <w:tcW w:w="4000" w:type="dxa"/>
            <w:vAlign w:val="bottom"/>
            <w:gridSpan w:val="6"/>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rPr>
              <w:t>Six Months Ended December 31, 2022</w:t>
            </w:r>
          </w:p>
        </w:tc>
        <w:tc>
          <w:tcPr>
            <w:tcW w:w="0" w:type="dxa"/>
            <w:vAlign w:val="bottom"/>
          </w:tcPr>
          <w:p>
            <w:pPr>
              <w:spacing w:after="0"/>
              <w:rPr>
                <w:sz w:val="1"/>
                <w:szCs w:val="1"/>
                <w:color w:val="auto"/>
              </w:rPr>
            </w:pPr>
          </w:p>
        </w:tc>
      </w:tr>
      <w:tr>
        <w:trPr>
          <w:trHeight w:val="120"/>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Net Charge-Offs</w:t>
            </w: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8"/>
              </w:rPr>
              <w:t>Average Loans</w:t>
            </w:r>
          </w:p>
        </w:tc>
        <w:tc>
          <w:tcPr>
            <w:tcW w:w="1480" w:type="dxa"/>
            <w:vAlign w:val="bottom"/>
            <w:tcBorders>
              <w:top w:val="single" w:sz="8" w:color="auto"/>
            </w:tcBorders>
          </w:tcPr>
          <w:p>
            <w:pPr>
              <w:ind w:left="300"/>
              <w:spacing w:after="0" w:line="120" w:lineRule="exact"/>
              <w:rPr>
                <w:sz w:val="20"/>
                <w:szCs w:val="20"/>
                <w:color w:val="auto"/>
              </w:rPr>
            </w:pPr>
            <w:r>
              <w:rPr>
                <w:rFonts w:ascii="Times New Roman" w:cs="Times New Roman" w:eastAsia="Times New Roman" w:hAnsi="Times New Roman"/>
                <w:sz w:val="13"/>
                <w:szCs w:val="13"/>
                <w:b w:val="1"/>
                <w:bCs w:val="1"/>
                <w:color w:val="auto"/>
              </w:rPr>
              <w:t>Net Charge-Off</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Net Charge-Offs</w:t>
            </w: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5"/>
              </w:rPr>
              <w:t>Average Loans</w:t>
            </w:r>
          </w:p>
        </w:tc>
        <w:tc>
          <w:tcPr>
            <w:tcW w:w="148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Net Charge-Off</w:t>
            </w:r>
          </w:p>
        </w:tc>
        <w:tc>
          <w:tcPr>
            <w:tcW w:w="0" w:type="dxa"/>
            <w:vAlign w:val="bottom"/>
          </w:tcPr>
          <w:p>
            <w:pPr>
              <w:spacing w:after="0"/>
              <w:rPr>
                <w:sz w:val="1"/>
                <w:szCs w:val="1"/>
                <w:color w:val="auto"/>
              </w:rPr>
            </w:pPr>
          </w:p>
        </w:tc>
      </w:tr>
      <w:tr>
        <w:trPr>
          <w:trHeight w:val="169"/>
        </w:trPr>
        <w:tc>
          <w:tcPr>
            <w:tcW w:w="2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(Recovery) Ratio</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(Recoveries)</w:t>
            </w: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(Recovery) Ratio</w:t>
            </w: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real estate loans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1,949,204</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0.03 %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1,427,358</w:t>
            </w: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w w:val="95"/>
              </w:rPr>
              <w:t>— %</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Commercial loans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903,711</w:t>
            </w:r>
          </w:p>
        </w:tc>
        <w:tc>
          <w:tcPr>
            <w:tcW w:w="80" w:type="dxa"/>
            <w:vAlign w:val="bottom"/>
          </w:tcPr>
          <w:p>
            <w:pPr>
              <w:spacing w:after="0"/>
              <w:rPr>
                <w:sz w:val="14"/>
                <w:szCs w:val="14"/>
                <w:color w:val="auto"/>
              </w:rPr>
            </w:pPr>
          </w:p>
        </w:tc>
        <w:tc>
          <w:tcPr>
            <w:tcW w:w="148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757,654</w:t>
            </w:r>
          </w:p>
        </w:tc>
        <w:tc>
          <w:tcPr>
            <w:tcW w:w="80" w:type="dxa"/>
            <w:vAlign w:val="bottom"/>
          </w:tcPr>
          <w:p>
            <w:pPr>
              <w:spacing w:after="0"/>
              <w:rPr>
                <w:sz w:val="14"/>
                <w:szCs w:val="14"/>
                <w:color w:val="auto"/>
              </w:rPr>
            </w:pPr>
          </w:p>
        </w:tc>
        <w:tc>
          <w:tcPr>
            <w:tcW w:w="148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real estate loans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898,209</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655,294</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6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Consumer loans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119,652</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rPr>
              <w:t>0.72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99,371</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88"/>
        </w:trPr>
        <w:tc>
          <w:tcPr>
            <w:tcW w:w="2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3,870,776</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0.28 %</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2,939,677</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w w:val="97"/>
              </w:rPr>
              <w:t>0.13 %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BOLI. </w:t>
      </w:r>
      <w:r>
        <w:rPr>
          <w:rFonts w:ascii="Times New Roman" w:cs="Times New Roman" w:eastAsia="Times New Roman" w:hAnsi="Times New Roman"/>
          <w:sz w:val="13"/>
          <w:szCs w:val="13"/>
          <w:color w:val="auto"/>
        </w:rPr>
        <w:t>The BOLI balance declined by $18.3 million, or 17.2%, to $88.3 million at December 31, 2023 from $106.6 million at June 30, 2023. The main driver of the change between periods was a partial restructuring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BOLI portfolio where we redeemed $47.9 million of policies and reinvested $31.3 million in higher-yielding policies. The proceeds from the redemption of these policies had not been received as of December 31, 2023 and was therefore recorded as a receivable reflected in other assets.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Liabilities. </w:t>
      </w:r>
      <w:r>
        <w:rPr>
          <w:rFonts w:ascii="Times New Roman" w:cs="Times New Roman" w:eastAsia="Times New Roman" w:hAnsi="Times New Roman"/>
          <w:sz w:val="13"/>
          <w:szCs w:val="13"/>
          <w:color w:val="auto"/>
        </w:rPr>
        <w:t>Total liabilities were $4.2 billion at December 31, 2023, compared to $4.1 billion at June 30, 2023, an increase of $36.4 million, or 0.9%, period-over-period, the components of which are discussed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Deposits. </w:t>
      </w:r>
      <w:r>
        <w:rPr>
          <w:rFonts w:ascii="Times New Roman" w:cs="Times New Roman" w:eastAsia="Times New Roman" w:hAnsi="Times New Roman"/>
          <w:sz w:val="13"/>
          <w:szCs w:val="13"/>
          <w:color w:val="auto"/>
        </w:rPr>
        <w:t>The following table summarizes the composition of our deposit portfolio as of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4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2"/>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Core deposits</w:t>
            </w: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4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784,950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825,481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(40,531)</w:t>
            </w:r>
          </w:p>
        </w:tc>
        <w:tc>
          <w:tcPr>
            <w:tcW w:w="100" w:type="dxa"/>
            <w:vAlign w:val="bottom"/>
          </w:tcPr>
          <w:p>
            <w:pPr>
              <w:spacing w:after="0"/>
              <w:rPr>
                <w:sz w:val="14"/>
                <w:szCs w:val="14"/>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3"/>
                <w:szCs w:val="13"/>
                <w:color w:val="auto"/>
                <w:w w:val="99"/>
              </w:rPr>
              <w:t>(5)%</w:t>
            </w:r>
          </w:p>
        </w:tc>
      </w:tr>
      <w:tr>
        <w:trPr>
          <w:trHeight w:val="172"/>
        </w:trPr>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NOW accounts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611,105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4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1,241,840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4,967</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(17,734)</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core deposits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2,817,513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2,890,646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(73,133)</w:t>
            </w:r>
          </w:p>
        </w:tc>
        <w:tc>
          <w:tcPr>
            <w:tcW w:w="100" w:type="dxa"/>
            <w:vAlign w:val="bottom"/>
          </w:tcPr>
          <w:p>
            <w:pPr>
              <w:spacing w:after="0"/>
              <w:rPr>
                <w:sz w:val="13"/>
                <w:szCs w:val="13"/>
                <w:color w:val="auto"/>
              </w:rPr>
            </w:pPr>
          </w:p>
        </w:tc>
        <w:tc>
          <w:tcPr>
            <w:tcW w:w="14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(3)</w:t>
            </w:r>
          </w:p>
        </w:tc>
      </w:tr>
      <w:tr>
        <w:trPr>
          <w:trHeight w:val="17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Certificates of deposit</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710,522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133,338</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r>
      <w:tr>
        <w:trPr>
          <w:trHeight w:val="162"/>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3,601,168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60,205</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bullet points provide further information regarding the composition of our deposit portfolio as of December 31, 2023:</w:t>
      </w:r>
    </w:p>
    <w:p>
      <w:pPr>
        <w:spacing w:after="0" w:line="16" w:lineRule="exact"/>
        <w:rPr>
          <w:sz w:val="20"/>
          <w:szCs w:val="20"/>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of uninsured deposits was $907.4 million, or 24.8% of total deposits, which included $268.0 million of collateralized deposits to municipalities.</w:t>
      </w:r>
    </w:p>
    <w:p>
      <w:pPr>
        <w:spacing w:after="0" w:line="24"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balance of brokered deposits was $355.8 million, or 9.7% of total deposits.</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and consumer depositors represented 51% and 49% of total deposits, respectively.</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balance of our deposit accounts was $34,000.</w:t>
      </w:r>
    </w:p>
    <w:p>
      <w:pPr>
        <w:spacing w:after="0" w:line="30" w:lineRule="exact"/>
        <w:rPr>
          <w:rFonts w:ascii="Times New Roman" w:cs="Times New Roman" w:eastAsia="Times New Roman" w:hAnsi="Times New Roman"/>
          <w:sz w:val="13"/>
          <w:szCs w:val="13"/>
          <w:color w:val="auto"/>
        </w:rPr>
      </w:pPr>
    </w:p>
    <w:p>
      <w:pPr>
        <w:ind w:left="260" w:hanging="191"/>
        <w:spacing w:after="0"/>
        <w:tabs>
          <w:tab w:leader="none" w:pos="2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largest 25 depositors made up $579.7 million, or 15.8% of total deposits.</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Specific to time deposits, we held approximately $118.0 million in uninsured CDs as of December 31, 2023. The uninsured amount is an estimate consistent with the methodology used for the Company's regulatory reporting disclosures.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indicates the amount of our CDs, both within and in excess of the $250,000 FDIC insurance limit, by time remaining until maturity as of December 31, 2023.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3 Months</w:t>
            </w:r>
          </w:p>
        </w:tc>
        <w:tc>
          <w:tcPr>
            <w:tcW w:w="22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Over 3 to 6</w:t>
            </w:r>
          </w:p>
        </w:tc>
        <w:tc>
          <w:tcPr>
            <w:tcW w:w="100" w:type="dxa"/>
            <w:vAlign w:val="bottom"/>
          </w:tcPr>
          <w:p>
            <w:pPr>
              <w:spacing w:after="0"/>
              <w:rPr>
                <w:sz w:val="12"/>
                <w:szCs w:val="12"/>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Over 6 to 12 Months</w:t>
            </w:r>
          </w:p>
        </w:tc>
        <w:tc>
          <w:tcPr>
            <w:tcW w:w="24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Over</w:t>
            </w:r>
          </w:p>
        </w:tc>
        <w:tc>
          <w:tcPr>
            <w:tcW w:w="300" w:type="dxa"/>
            <w:vAlign w:val="bottom"/>
          </w:tcPr>
          <w:p>
            <w:pPr>
              <w:spacing w:after="0"/>
              <w:rPr>
                <w:sz w:val="12"/>
                <w:szCs w:val="12"/>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or Less</w:t>
            </w:r>
          </w:p>
        </w:tc>
        <w:tc>
          <w:tcPr>
            <w:tcW w:w="2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Months</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12 Months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CDs less than $250,000</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238,823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289,678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169,492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725,825</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CDs of $250,000 or more</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54,226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33,945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118,035</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certificates of deposit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265,645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343,904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203,437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b w:val="1"/>
          <w:bCs w:val="1"/>
          <w:i w:val="1"/>
          <w:iCs w:val="1"/>
          <w:color w:val="auto"/>
        </w:rPr>
        <w:t xml:space="preserve">Borrowings. </w:t>
      </w:r>
      <w:r>
        <w:rPr>
          <w:rFonts w:ascii="Times New Roman" w:cs="Times New Roman" w:eastAsia="Times New Roman" w:hAnsi="Times New Roman"/>
          <w:sz w:val="12"/>
          <w:szCs w:val="12"/>
          <w:color w:val="auto"/>
        </w:rPr>
        <w:t>Although deposits are our primary source of funds, we may utilize borrowings to manage interest rate risk or as a cost-effective source of funds. Our borrowings typically consist of advances from the FHLB</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Atlanta and FRB. We may obtain advances from the FHLB of Atlanta upon the security of certain of our commercial and residential real estate loans and/or securities as well as obtain advances from the FRB upon the security of certain of our commercial and consumer loans. These advances may be made pursuant to several different credit programs, each of which has its own interest rate, range of maturities and call features.</w:t>
      </w:r>
    </w:p>
    <w:p>
      <w:pPr>
        <w:spacing w:after="0" w:line="1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In addition to borrowings deemed necessary to address funding needs, as a result of our merger with Quantum, we assumed $11.3 million of junior subordinated debentures, which carried a purchase accounting discount of $1.3 million as of December 31, 2023. See "Note 10 – Borrowings" of the Notes to the Consolidated Financial Statements included in Item 8 of this Form 10-KT for discussion of the origin and terms of the debt.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0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tables set forth information regarding our borrowings at the end of and during the periods indicated.</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90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80" w:type="dxa"/>
            <w:vAlign w:val="bottom"/>
          </w:tcPr>
          <w:p>
            <w:pPr>
              <w:spacing w:after="0"/>
              <w:rPr>
                <w:sz w:val="12"/>
                <w:szCs w:val="12"/>
                <w:color w:val="auto"/>
              </w:rPr>
            </w:pPr>
          </w:p>
        </w:tc>
        <w:tc>
          <w:tcPr>
            <w:tcW w:w="1900" w:type="dxa"/>
            <w:vAlign w:val="bottom"/>
          </w:tcPr>
          <w:p>
            <w:pPr>
              <w:jc w:val="right"/>
              <w:ind w:right="36"/>
              <w:spacing w:after="0" w:line="143" w:lineRule="exact"/>
              <w:rPr>
                <w:sz w:val="20"/>
                <w:szCs w:val="20"/>
                <w:color w:val="auto"/>
              </w:rPr>
            </w:pPr>
            <w:r>
              <w:rPr>
                <w:rFonts w:ascii="Times New Roman" w:cs="Times New Roman" w:eastAsia="Times New Roman" w:hAnsi="Times New Roman"/>
                <w:sz w:val="13"/>
                <w:szCs w:val="13"/>
                <w:b w:val="1"/>
                <w:bCs w:val="1"/>
                <w:color w:val="auto"/>
                <w:w w:val="97"/>
              </w:rPr>
              <w:t>Six Months Ended December 31,</w:t>
            </w:r>
          </w:p>
        </w:tc>
        <w:tc>
          <w:tcPr>
            <w:tcW w:w="0" w:type="dxa"/>
            <w:vAlign w:val="bottom"/>
          </w:tcPr>
          <w:p>
            <w:pPr>
              <w:spacing w:after="0"/>
              <w:rPr>
                <w:sz w:val="1"/>
                <w:szCs w:val="1"/>
                <w:color w:val="auto"/>
              </w:rPr>
            </w:pPr>
          </w:p>
        </w:tc>
      </w:tr>
      <w:tr>
        <w:trPr>
          <w:trHeight w:val="169"/>
        </w:trPr>
        <w:tc>
          <w:tcPr>
            <w:tcW w:w="740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balances</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9,992</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advances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133,560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8,913</w:t>
            </w:r>
          </w:p>
        </w:tc>
        <w:tc>
          <w:tcPr>
            <w:tcW w:w="0" w:type="dxa"/>
            <w:vAlign w:val="bottom"/>
          </w:tcPr>
          <w:p>
            <w:pPr>
              <w:spacing w:after="0"/>
              <w:rPr>
                <w:sz w:val="1"/>
                <w:szCs w:val="1"/>
                <w:color w:val="auto"/>
              </w:rPr>
            </w:pPr>
          </w:p>
        </w:tc>
      </w:tr>
      <w:tr>
        <w:trPr>
          <w:trHeight w:val="168"/>
        </w:trPr>
        <w:tc>
          <w:tcPr>
            <w:tcW w:w="7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FRB advances</w:t>
            </w: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29,172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4,882</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19,656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interest rate</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7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advances</w:t>
            </w: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72"/>
        </w:trPr>
        <w:tc>
          <w:tcPr>
            <w:tcW w:w="7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FRB advances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165"/>
        </w:trPr>
        <w:tc>
          <w:tcPr>
            <w:tcW w:w="7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42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Pr>
          <w:p>
            <w:pPr>
              <w:spacing w:after="0"/>
              <w:rPr>
                <w:sz w:val="14"/>
                <w:szCs w:val="14"/>
                <w:color w:val="auto"/>
              </w:rPr>
            </w:pPr>
          </w:p>
        </w:tc>
        <w:tc>
          <w:tcPr>
            <w:tcW w:w="148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152"/>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outstanding at end of period</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10,021</w:t>
            </w:r>
          </w:p>
        </w:tc>
        <w:tc>
          <w:tcPr>
            <w:tcW w:w="100" w:type="dxa"/>
            <w:vAlign w:val="bottom"/>
          </w:tcPr>
          <w:p>
            <w:pPr>
              <w:spacing w:after="0"/>
              <w:rPr>
                <w:sz w:val="14"/>
                <w:szCs w:val="14"/>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9,971</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advances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180,000</w:t>
            </w: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FRB advances</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257,000</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18,763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20,263</w:t>
            </w:r>
          </w:p>
        </w:tc>
      </w:tr>
      <w:tr>
        <w:trPr>
          <w:trHeight w:val="169"/>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interest rate</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debentures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7.49 %</w:t>
            </w:r>
          </w:p>
        </w:tc>
      </w:tr>
      <w:tr>
        <w:trPr>
          <w:trHeight w:val="168"/>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advances</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5.19</w:t>
            </w:r>
          </w:p>
        </w:tc>
      </w:tr>
      <w:tr>
        <w:trPr>
          <w:trHeight w:val="172"/>
        </w:trPr>
        <w:tc>
          <w:tcPr>
            <w:tcW w:w="7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FRB advances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5.25</w:t>
            </w:r>
          </w:p>
        </w:tc>
      </w:tr>
      <w:tr>
        <w:trPr>
          <w:trHeight w:val="165"/>
        </w:trPr>
        <w:tc>
          <w:tcPr>
            <w:tcW w:w="76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220" w:type="dxa"/>
            <w:vAlign w:val="bottom"/>
          </w:tcPr>
          <w:p>
            <w:pPr>
              <w:spacing w:after="0"/>
              <w:rPr>
                <w:sz w:val="14"/>
                <w:szCs w:val="14"/>
                <w:color w:val="auto"/>
              </w:rPr>
            </w:pPr>
          </w:p>
        </w:tc>
        <w:tc>
          <w:tcPr>
            <w:tcW w:w="1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8.75</w:t>
            </w:r>
          </w:p>
        </w:tc>
      </w:tr>
    </w:tbl>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to secure outstanding FHLB advances while commercial construction, indirect auto and municipal leases are pledged as collateral to secure outstanding FRB advances. At December 31, 2023 and June 30, 2023, the Company had the ability to borrow $72.8 million and $22.7 million, respectively, through FHLB advances and $55.3 million and $91.3 million, respectively, through the unused portion of a line of credit with the FRB.</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At December 31, 2023 and June 30, 2023, the Company maintained revolving lines of credit with three unaffiliated banks, the unused portion of which totaled $146.2 million and $144.7 million, respectively. At December 31, 2023, HomeTrust had drawn $18.8 million on a $40.0 million revolving line of credit which bears interest at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plus 50 basis points, maturing on January 28, 2025, although the term may be extended for an additional year if no events of default have occurred.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Resources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Stockholders' equity increased $28.7 million, or 6.1%, to $499.9 million at December 31, 2023 as compared to $471.2 million at June 30, 2023, primarily as a result of $28.3 million in net income, less dividends paid. In addition, the improvement in the accumulated other comprehensive loss was driven by a $2.5 million reduction of the unrealized loss on available for sale securities as a result of movement in market interest rates.</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of December 31, 2023, the Bank was considered "well capitalized" in accordance with its regulatory capital guidelines and exceeded all regulatory capital requirements. See “Business – How We are Regulated” included in Item 1 and “Note 18 – Regulatory Capital Matters” of the Notes to the Consolidated Financial Statements included in Item 8 of this Form 10-KT for additional details on our capital requirements.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Liquidity Management</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to these primary sources of funds, management has several secondary sources available to meet potential funding requirements as outlined in the "Comparison of Financial Condition at December 31, 2023 and June 30, 2023 – Borrowings" section above. Additionally, we classify our securities portfolio as available for sale, providing an additional source of liquidity. Management believes that our securities portfolio is of high quality, of short duration, and the securities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December 31, 2023, brokered deposits totaled $355.8 million, or 9.7% of total deposits.</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level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December 31, 2023, we (on an unconsolidated basis) had liquid assets of $1.2 million.</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the Bank level, we use our sources of funds primarily to meet our ongoing commitments, pay maturing deposits and fund withdrawals and to fund loan commitments. At December 31, 2023, the total approved loan commitments and unused lines of credit outstanding amounted to $240.9 million and $690.6 million, respectively, as compared to $307.2 million and $608.2 million as of June 30, 2023. Certificates of deposit scheduled to mature in one year or less at December 31, 2023 totaled $813.0 million. It is management's policy to manage deposit rates that are competitive with other local financial institutions. Based on this strategy, we believe that a majority of maturing deposits will be retained.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Activities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17 – Commitments and Contingencies” of the Notes to Consolidated Financial Statements included in Item 8 of this Form 10-KT.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color w:val="auto"/>
        </w:rPr>
        <w:t>Asset/Liability Management and Interest Rate Risk</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Risk When Interest Rates Change. </w:t>
      </w:r>
      <w:r>
        <w:rPr>
          <w:rFonts w:ascii="Times New Roman" w:cs="Times New Roman" w:eastAsia="Times New Roman" w:hAnsi="Times New Roman"/>
          <w:sz w:val="13"/>
          <w:szCs w:val="13"/>
          <w:color w:val="auto"/>
        </w:rPr>
        <w:t>The rates of interest we earn on assets and pay on liabilities generally are established contractually for a period of time. Market interest rates change over time. Our loans generally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have longer maturities than our deposits. Accordingly, our results of operations, like those of other financial institutions, are impacted by changes in interest rates and the interest rate sensitivity of our assets and liabilities. The risk associated with changes in interest rates and our ability to adapt to these changes is known as interest rate risk and is our most significant market risk.</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 xml:space="preserve">How We Measure Our Risk of Interest Rate Changes. </w:t>
      </w:r>
      <w:r>
        <w:rPr>
          <w:rFonts w:ascii="Times New Roman" w:cs="Times New Roman" w:eastAsia="Times New Roman" w:hAnsi="Times New Roman"/>
          <w:sz w:val="13"/>
          <w:szCs w:val="13"/>
          <w:color w:val="auto"/>
        </w:rPr>
        <w:t>As part of our process to manage our exposure to changes in interest rates and comply with applicable regulations, we monitor our interest rate risk. In monitoring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interest rate risk we continually analyze and manage assets and liabilities based on market conditions, their payment streams and interest rates, the timing of their maturities, their sensitivity to actual or potential changes in market interest rates and interest rate sensitivities of our non-maturity deposits with respect to interest rates paid and the level of balances. The Board of Directors sets the asset and liability policy of HomeTrust Bank, which is implemented by management and an asset/liability committee whose members include certain members of senior management.</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purpose of this committee is to communicate, coordinate and control asset/liability management consistent with our business plan and Board approved policies. The committee establishes and monitors the volume and mix of assets and funding sources taking into account relative costs and spreads, interest rate sensitivity and liquidity needs. The objectives are to manage assets and funding sources to produce results that are consistent with liquidity, capital adequacy, growth, risk and profitability goals.</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committee generally meets on a quarterly basis to review, among other things, economic conditions and interest rate outlook, current and projected liquidity needs and capital position, anticipated changes in the volume and mix of assets and liabilities and interest rate risk exposure limits versus current projections pursuant to net present value of portfolio equity analysis and income simulations. The committee recommends strategy changes based on this review. The committee is responsible for reviewing and reporting on the effects of the policy implementations and strategies to the Board of Directors at least quarterly.</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Among the techniques we have used at various times to manage interest rate risk are: (i) increasing our portfolio of hybrid and adjustable-rate one-to-four family residential loans and commercial loans; (ii) maintaining a strong capital position, which provides for a favorable level of interest-earning assets relative to interest-bearing liabilities; and (iii) emphasizing less interest rate sensitive and lower-costing “core deposits.” We also maintain a portfolio of short-term or adjustable-rate assets and use fixed-rate FHLB advances and brokered deposits to extend the term to repricing of our liabilities.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consider the relatively short duration of our deposits in our overall asset/liability management process. As short-term rates increase, we have assets and liabilities that increase with the market. This is reflected in the change in our PVE when rates increase (see the table below). PVE is defined as the net present value of our existing assets and liabilities. In addition, we have historically demonstrated an ability to maintain retail deposits through various interest rate cycles. If local retail deposit rates increase dramatically, we also have access to wholesale funding through our lines of credit with the FHLB and FRB and the brokered deposit market to replace retail deposits, as needed.</w:t>
      </w:r>
    </w:p>
    <w:p>
      <w:pPr>
        <w:spacing w:after="0" w:line="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Depending on the level of general interest rates, the relationship between long- and short-term interest rates, market conditions and competitive factors, the committee may in the future determine to increase our interest rate risk position somewhat in order to maintain or increase our net interest margin. In particular, during certain periods of stable or declining interest rates, we believe that the increased net interest income resulting from a mismatch in the maturity of our assets and liabilities portfolios may provide high enough returns to justify increased exposure to sudden and unexpected increases in interest rates. As a result of this philosophy, our results of operations and the economic value of our equity will remain vulnerable to increases in interest rates and to declines due to differences between long- and short-term interest rates.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committee regularly reviews interest rate risk by forecasting the impact of alternative interest rate environments on net interest income and our PVE. The committee also evaluates these impacts against the potential changes in net interest income and market value of our portfolio equity that are monitored by the Board of Directors of HomeTrust Bank generally on a quarterly basis.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40" w:name="page41"/>
    <w:bookmarkEnd w:id="40"/>
    <w:p>
      <w:pPr>
        <w:jc w:val="both"/>
        <w:spacing w:after="0" w:line="250" w:lineRule="auto"/>
        <w:rPr>
          <w:sz w:val="20"/>
          <w:szCs w:val="20"/>
          <w:color w:val="auto"/>
        </w:rPr>
      </w:pPr>
      <w:r>
        <w:rPr>
          <w:rFonts w:ascii="Times New Roman" w:cs="Times New Roman" w:eastAsia="Times New Roman" w:hAnsi="Times New Roman"/>
          <w:sz w:val="13"/>
          <w:szCs w:val="13"/>
          <w:color w:val="auto"/>
        </w:rPr>
        <w:t>Our asset/liability management strategy sets limits on the change in PVE given certain changes in interest rates. The table presented here, as of December 31, 2023, is forward-looking information about our sensitivity to changes in interest rates. The table incorporates data from an independent service, as it relates to maturity repricing and repayment/withdrawal of interest-earning assets and interest-bearing liabilities. Interest rate risk is measured by changes in PVE for instantaneous parallel shifts in the yield curve up and down 400 basis points. An increase in rates would increase our PVE because the repricing of nonmaturing deposits tend to lag behind the increase in market rates. This positive impact is partially offset by the negative effect from our loans with interest rate floors which will not adjust until such time as a loan’s current interest rate adjusts to an increase in market rates which exceeds the interest rate floor. Conversely, in a falling interest rate environment these interest rate floors will assist in maintaining our net interest income. As of December 31, 2023, our loans with interest rate floors totaled approximately $650.9 million, or 17.9% of our total loan portfolio, and had a weighted average floor rate of 5.14%, of which $46.9 million were at their floor rate.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r>
      <w:tr>
        <w:trPr>
          <w:trHeight w:val="163"/>
        </w:trPr>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Change in Interest</w:t>
            </w: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Present Value Equity (Dollars in Thousands)</w:t>
            </w:r>
          </w:p>
        </w:tc>
        <w:tc>
          <w:tcPr>
            <w:tcW w:w="1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9"/>
        </w:trPr>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Rates in Basis Points</w:t>
            </w:r>
          </w:p>
        </w:tc>
        <w:tc>
          <w:tcPr>
            <w:tcW w:w="460" w:type="dxa"/>
            <w:vAlign w:val="bottom"/>
          </w:tcPr>
          <w:p>
            <w:pPr>
              <w:spacing w:after="0"/>
              <w:rPr>
                <w:sz w:val="13"/>
                <w:szCs w:val="13"/>
                <w:color w:val="auto"/>
              </w:rPr>
            </w:pPr>
          </w:p>
        </w:tc>
        <w:tc>
          <w:tcPr>
            <w:tcW w:w="1640" w:type="dxa"/>
            <w:vAlign w:val="bottom"/>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6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220" w:type="dxa"/>
            <w:vAlign w:val="bottom"/>
          </w:tcPr>
          <w:p>
            <w:pPr>
              <w:ind w:left="820"/>
              <w:spacing w:after="0" w:line="147" w:lineRule="exact"/>
              <w:rPr>
                <w:sz w:val="20"/>
                <w:szCs w:val="20"/>
                <w:color w:val="auto"/>
              </w:rPr>
            </w:pPr>
            <w:r>
              <w:rPr>
                <w:rFonts w:ascii="Times New Roman" w:cs="Times New Roman" w:eastAsia="Times New Roman" w:hAnsi="Times New Roman"/>
                <w:sz w:val="13"/>
                <w:szCs w:val="13"/>
                <w:b w:val="1"/>
                <w:bCs w:val="1"/>
                <w:color w:val="auto"/>
              </w:rPr>
              <w:t>PVE Ratio</w:t>
            </w:r>
          </w:p>
        </w:tc>
      </w:tr>
      <w:tr>
        <w:trPr>
          <w:trHeight w:val="162"/>
        </w:trPr>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+ 400</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1,090,111</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105,346</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Borders>
              <w:top w:val="single" w:sz="8" w:color="CCEEFF"/>
            </w:tcBorders>
            <w:shd w:val="clear" w:color="auto" w:fill="CCEEFF"/>
          </w:tcPr>
          <w:p>
            <w:pPr>
              <w:spacing w:after="0"/>
              <w:rPr>
                <w:sz w:val="14"/>
                <w:szCs w:val="14"/>
                <w:color w:val="auto"/>
              </w:rPr>
            </w:pPr>
          </w:p>
        </w:tc>
        <w:tc>
          <w:tcPr>
            <w:tcW w:w="2220" w:type="dxa"/>
            <w:vAlign w:val="bottom"/>
            <w:tcBorders>
              <w:top w:val="single" w:sz="8" w:color="auto"/>
            </w:tcBorders>
            <w:shd w:val="clear" w:color="auto" w:fill="CCEEFF"/>
          </w:tcPr>
          <w:p>
            <w:pPr>
              <w:ind w:left="1940"/>
              <w:spacing w:after="0"/>
              <w:rPr>
                <w:sz w:val="20"/>
                <w:szCs w:val="20"/>
                <w:color w:val="auto"/>
              </w:rPr>
            </w:pPr>
            <w:r>
              <w:rPr>
                <w:rFonts w:ascii="Times New Roman" w:cs="Times New Roman" w:eastAsia="Times New Roman" w:hAnsi="Times New Roman"/>
                <w:sz w:val="13"/>
                <w:szCs w:val="13"/>
                <w:color w:val="auto"/>
                <w:w w:val="95"/>
              </w:rPr>
              <w:t>25 %</w:t>
            </w:r>
          </w:p>
        </w:tc>
      </w:tr>
      <w:tr>
        <w:trPr>
          <w:trHeight w:val="168"/>
        </w:trPr>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+ 300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1,076,577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91,812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+ 200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1,058,347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73,582</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+ 100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1,025,517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40,752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Base</w:t>
            </w:r>
          </w:p>
        </w:tc>
        <w:tc>
          <w:tcPr>
            <w:tcW w:w="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984,765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60" w:type="dxa"/>
            <w:vAlign w:val="bottom"/>
            <w:gridSpan w:val="3"/>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- 100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923,915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(60,850)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- 200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811,501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(173,264)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- 300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666,433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(318,332)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- 400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614,240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(370,525)</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222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3"/>
                <w:szCs w:val="13"/>
                <w:color w:val="auto"/>
              </w:rPr>
              <w:t>13</w:t>
            </w:r>
          </w:p>
        </w:tc>
      </w:tr>
    </w:tbl>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evaluating our exposure to interest rate movements, certain shortcomings inherent in the method of analysis presented in the foregoing table must be considered. For example, although certain assets and liabilities may have similar maturities or repricing periods, they may react in different degrees to changes in market interest rates. Also, the interest rates on certain types of assets and liabilities may fluctuate in advance of changes in market interest rates, while interest rates on other types may lag behind changes in interest rates. Additionally, certain assets, such as adjustable rate mortgages, have features which restrict changes in interest rates on a short-term basis and over the life of the asset. Further, in the event of a significant change in interest rates, prepayment and early withdrawal levels would likely deviate significantly from those assumed above. Finally, the ability of many borrowers to service their debt may decrease in the event of an interest rate increase. We consider all of these factors in monitoring our exposure to interest rate risk.</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Board of Directors and management of HomeTrust Bank believe that certain factors afford HomeTrust Bank the ability to operate successfully despite its exposure to interest rate risk. HomeTrust Bank may manage its interest rate risk by originating and retaining adjustable rate loans in its portfolio, by borrowing from the FHLB to match the duration of our funding to the duration of originated fixed rate one-to-four family and commercial loans held in portfolio and by selling on an ongoing basis certain currently originated longer term fixed rate one-to-four family real estate loans.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Market risk is the risk of loss from adverse changes in market prices and rates. Our market risk arises principally from interest rate risk inherent in our lending, investing, deposit and borrowings activities. Management actively monitors and manages its interest rate risk exposure. In addition to other risks that we manage in the normal course of business, such as credit quality and liquidity, management considers interest rate risk to be a significant market risk that could have a potentially material effect on our financial condition and results of operations. The information contained in Item 7, “Management’s Discussion and Analysis of Financial Condition and Results of Operations – Asset Liability Management and Interest Rate Risk” in this Form 10-KT is incorporated herein by reference.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Financial Statements and Supplementary Data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Opinions on the Consolidated Financial Statements and Internal Control Over Financial Reporting</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 xml:space="preserve">We have audited the accompanying consolidated balance sheets of HomeTrust Bancshares, Inc. and Subsidiary (the “Company”) as of December 31, 2023 and June 30, 2023, and 2022, the related consolidated statements of income, comprehensive income, changes in stockholders’ equity, and cash flows for the six-month period ended December 31, 2023 and each of the years in the three-year period ended June 30, 2023, and the related notes (collectively referred to as the “consolidated financial statements”). We have also audited the Company’s internal control over financial reporting as of December 31, 2023, based on criteria established in </w:t>
      </w:r>
      <w:r>
        <w:rPr>
          <w:rFonts w:ascii="Times New Roman" w:cs="Times New Roman" w:eastAsia="Times New Roman" w:hAnsi="Times New Roman"/>
          <w:sz w:val="13"/>
          <w:szCs w:val="13"/>
          <w:i w:val="1"/>
          <w:iCs w:val="1"/>
          <w:color w:val="auto"/>
        </w:rPr>
        <w:t>Internal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Control – Integrated Framework (2013) </w:t>
      </w:r>
      <w:r>
        <w:rPr>
          <w:rFonts w:ascii="Times New Roman" w:cs="Times New Roman" w:eastAsia="Times New Roman" w:hAnsi="Times New Roman"/>
          <w:sz w:val="13"/>
          <w:szCs w:val="13"/>
          <w:color w:val="auto"/>
        </w:rPr>
        <w:t>issued by the Committee of Sponsoring Organizations of the Treadway Commission (“COSO”).</w:t>
      </w:r>
    </w:p>
    <w:p>
      <w:pPr>
        <w:spacing w:after="0" w:line="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 xml:space="preserve">In our opinion, the consolidated financial statements present fairly, in all material respects, the financial position of the Company as of December 31, 2023 and June 30, 2023 and 2022, and the results of its operations and its cash flows for the six-month period ended December 31, 2023 and each of the years in the three-year period ended June 30,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3"/>
          <w:szCs w:val="13"/>
          <w:i w:val="1"/>
          <w:iCs w:val="1"/>
          <w:color w:val="auto"/>
        </w:rPr>
        <w:t>Internal Control – Integrated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Framework (2013) </w:t>
      </w:r>
      <w:r>
        <w:rPr>
          <w:rFonts w:ascii="Times New Roman" w:cs="Times New Roman" w:eastAsia="Times New Roman" w:hAnsi="Times New Roman"/>
          <w:sz w:val="13"/>
          <w:szCs w:val="13"/>
          <w:color w:val="auto"/>
        </w:rPr>
        <w:t>issued by COSO.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Basis for Opinions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including in the accompanying Report of Management on Internal Control over Financial Reporting. Our responsibility is to express an opinion on the Company’s consolidated financial statements and an opinion on internal control over financial reporting based on our audits.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a public accounting firm registered with the Public Company Accounting Oversight Board (United States “PCAOB”) and are required to be independent with respect to the Company in accordance with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aspects.</w:t>
      </w:r>
    </w:p>
    <w:p>
      <w:pPr>
        <w:spacing w:after="0" w:line="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Definition and Limitations of Internal Control Over Financial Reporting</w:t>
      </w:r>
    </w:p>
    <w:p>
      <w:pPr>
        <w:spacing w:after="0" w:line="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reliable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Critical Audit Matter</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Allowance for Credit Losses on Loans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described in Note 6 to the consolidated financial statements, the Company’s allowance for credit losses, on loans (“ACL”) was $48.6 million as of December 31, 2023. The allowance is estimated by management using information about past events, current conditions and reasonable and supportable forecasts on the collectability of the loan portfolio. The Company collectively evaluates loan pools that share similar risk characteristics which results in the most significant portion of the ACL. A discounted cash flow method is used to evaluate the cash flows for each loan in each collectively evaluated pool which relies on a periodic tendency to default and absolute loss given default applied to a projective model of the pool’s cash flow while considering prepayment and principal curtailment effects. Management has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jc w:val="both"/>
        <w:spacing w:after="0" w:line="291" w:lineRule="auto"/>
        <w:rPr>
          <w:sz w:val="20"/>
          <w:szCs w:val="20"/>
          <w:color w:val="auto"/>
        </w:rPr>
      </w:pPr>
      <w:r>
        <w:rPr>
          <w:rFonts w:ascii="Times New Roman" w:cs="Times New Roman" w:eastAsia="Times New Roman" w:hAnsi="Times New Roman"/>
          <w:sz w:val="12"/>
          <w:szCs w:val="12"/>
          <w:color w:val="auto"/>
        </w:rPr>
        <w:t>determined that peer loss data provides the best basis for assessing expected credit losses and has incorporated macroeconomic drivers using a statistical regression modeling methodology, where considered appropriate, to adjust historical loss information for current conditions and reasonable and supportable forecasts. Included in management’s systematic methodology is consideration of the need to qualitatively adjust the ACL for risks not already incorporated within the loss estimation process. The Company considers qualitative adjustments which can either increase or decrease the quantitative model within their qualitative framework.</w:t>
      </w:r>
    </w:p>
    <w:p>
      <w:pPr>
        <w:spacing w:after="0" w:line="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identified the allowance for credit losses, on loans as a critical audit matter. The principal considerations for our determination included the high degree of judgment and subjectivity related to management’s determination of reasonable and supportable forecasts and the identification and measurement of qualitative adjustments. This required a high degree of auditor effort, specialized skills and knowledge, and significant auditor judgment.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primary procedures we performed to address this critical audit matter included:</w:t>
      </w:r>
    </w:p>
    <w:p>
      <w:pPr>
        <w:spacing w:after="0" w:line="31" w:lineRule="exact"/>
        <w:rPr>
          <w:sz w:val="20"/>
          <w:szCs w:val="20"/>
          <w:color w:val="auto"/>
        </w:rPr>
      </w:pPr>
    </w:p>
    <w:p>
      <w:pPr>
        <w:ind w:left="120" w:hanging="115"/>
        <w:spacing w:after="0"/>
        <w:tabs>
          <w:tab w:leader="none" w:pos="1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obtained an understanding of the Company’s model and process for determining the ACL, and evaluated the design and operating effectiveness of controls relating to the ACL, including:</w:t>
      </w:r>
    </w:p>
    <w:p>
      <w:pPr>
        <w:spacing w:after="0" w:line="30" w:lineRule="exact"/>
        <w:rPr>
          <w:rFonts w:ascii="Times New Roman" w:cs="Times New Roman" w:eastAsia="Times New Roman" w:hAnsi="Times New Roman"/>
          <w:sz w:val="13"/>
          <w:szCs w:val="13"/>
          <w:color w:val="auto"/>
        </w:rPr>
      </w:pPr>
    </w:p>
    <w:p>
      <w:pPr>
        <w:ind w:left="320" w:hanging="124"/>
        <w:spacing w:after="0"/>
        <w:tabs>
          <w:tab w:leader="none" w:pos="320"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Controls over the completeness and accuracy of data input into the model used to determine the ACL, and</w:t>
      </w:r>
    </w:p>
    <w:p>
      <w:pPr>
        <w:spacing w:after="0" w:line="30" w:lineRule="exact"/>
        <w:rPr>
          <w:rFonts w:ascii="Times New Roman" w:cs="Times New Roman" w:eastAsia="Times New Roman" w:hAnsi="Times New Roman"/>
          <w:sz w:val="13"/>
          <w:szCs w:val="13"/>
          <w:color w:val="auto"/>
        </w:rPr>
      </w:pPr>
    </w:p>
    <w:p>
      <w:pPr>
        <w:ind w:left="320" w:hanging="124"/>
        <w:spacing w:after="0" w:line="281" w:lineRule="auto"/>
        <w:tabs>
          <w:tab w:leader="none" w:pos="311"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Controls over management’s review and approval of the ACL, including management’s determination of a reasonable and supportable forecast and qualitative factor adjustments applied within the qualitative framework to address risks not already incorporated within the model.</w:t>
      </w:r>
    </w:p>
    <w:p>
      <w:pPr>
        <w:ind w:left="140" w:hanging="135"/>
        <w:spacing w:after="0" w:line="264" w:lineRule="auto"/>
        <w:tabs>
          <w:tab w:leader="none" w:pos="13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management’s determination of reasonable and supportable forecasts, including comparing key factors to independent sources, as well as involving our internal specialists in testing the application of forecasts in the model calculation.</w:t>
      </w:r>
    </w:p>
    <w:p>
      <w:pPr>
        <w:ind w:left="320" w:hanging="124"/>
        <w:spacing w:after="0" w:line="272" w:lineRule="auto"/>
        <w:tabs>
          <w:tab w:leader="none" w:pos="311"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the reasonableness and adequacy of management’s qualitative factor adjustment framework, including substantively testing management’s identification of risks not already incorporated within the model, the application of qualitative factor adjustments within the framework, and assessing the completeness and accuracy of data utilized in development of the qualitative adjustments.</w:t>
      </w:r>
    </w:p>
    <w:p>
      <w:pPr>
        <w:ind w:left="320" w:hanging="124"/>
        <w:spacing w:after="0" w:line="264" w:lineRule="auto"/>
        <w:tabs>
          <w:tab w:leader="none" w:pos="311" w:val="left"/>
        </w:tabs>
        <w:numPr>
          <w:ilvl w:val="1"/>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evaluated management’s judgments and assumptions related to the qualitative adjustments for reasonableness by assessing relevant trends in credit quality and evaluating the relationship of the trends to the qualitative adjustments applied to the ACL.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FORVIS, LLP</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2005.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Atlanta, Georgia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March 12, 2024</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Consolidated Balance Sheets</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40" w:type="dxa"/>
            <w:vAlign w:val="bottom"/>
          </w:tcPr>
          <w:p>
            <w:pPr>
              <w:spacing w:after="0"/>
              <w:rPr>
                <w:sz w:val="14"/>
                <w:szCs w:val="14"/>
                <w:color w:val="auto"/>
              </w:rPr>
            </w:pPr>
          </w:p>
        </w:tc>
        <w:tc>
          <w:tcPr>
            <w:tcW w:w="12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0" w:type="dxa"/>
            <w:vAlign w:val="bottom"/>
          </w:tcPr>
          <w:p>
            <w:pPr>
              <w:spacing w:after="0"/>
              <w:rPr>
                <w:sz w:val="1"/>
                <w:szCs w:val="1"/>
                <w:color w:val="auto"/>
              </w:rPr>
            </w:pPr>
          </w:p>
        </w:tc>
      </w:tr>
      <w:tr>
        <w:trPr>
          <w:trHeight w:val="152"/>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18,307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19,266</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20,910</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Interest-bearing deposits</w:t>
            </w: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328,833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284,231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84,209</w:t>
            </w:r>
          </w:p>
        </w:tc>
        <w:tc>
          <w:tcPr>
            <w:tcW w:w="0" w:type="dxa"/>
            <w:vAlign w:val="bottom"/>
          </w:tcPr>
          <w:p>
            <w:pPr>
              <w:spacing w:after="0"/>
              <w:rPr>
                <w:sz w:val="1"/>
                <w:szCs w:val="1"/>
                <w:color w:val="auto"/>
              </w:rPr>
            </w:pPr>
          </w:p>
        </w:tc>
      </w:tr>
      <w:tr>
        <w:trPr>
          <w:trHeight w:val="158"/>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 net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0" w:type="dxa"/>
            <w:vAlign w:val="bottom"/>
          </w:tcPr>
          <w:p>
            <w:pPr>
              <w:spacing w:after="0"/>
              <w:rPr>
                <w:sz w:val="1"/>
                <w:szCs w:val="1"/>
                <w:color w:val="auto"/>
              </w:rPr>
            </w:pPr>
          </w:p>
        </w:tc>
      </w:tr>
      <w:tr>
        <w:trPr>
          <w:trHeight w:val="129"/>
        </w:trPr>
        <w:tc>
          <w:tcPr>
            <w:tcW w:w="630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Debt securities available for sale, at fair value (amortized cost of $128,964,$157,251 and $130,099 at December 31,</w:t>
            </w:r>
          </w:p>
        </w:tc>
        <w:tc>
          <w:tcPr>
            <w:tcW w:w="22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0" w:type="dxa"/>
            <w:vAlign w:val="bottom"/>
          </w:tcPr>
          <w:p>
            <w:pPr>
              <w:spacing w:after="0"/>
              <w:rPr>
                <w:sz w:val="1"/>
                <w:szCs w:val="1"/>
                <w:color w:val="auto"/>
              </w:rPr>
            </w:pPr>
          </w:p>
        </w:tc>
      </w:tr>
      <w:tr>
        <w:trPr>
          <w:trHeight w:val="17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 June 30, 2023 and June 30, 2022, respectively)</w:t>
            </w:r>
          </w:p>
        </w:tc>
        <w:tc>
          <w:tcPr>
            <w:tcW w:w="22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lower of cost or fair value</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198,433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79,307</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net of deferred loan fees and costs</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3,658,823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2,769,295</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Allowance for credit losses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loans</w:t>
            </w: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0" w:type="dxa"/>
            <w:vAlign w:val="bottom"/>
          </w:tcPr>
          <w:p>
            <w:pPr>
              <w:spacing w:after="0"/>
              <w:rPr>
                <w:sz w:val="1"/>
                <w:szCs w:val="1"/>
                <w:color w:val="auto"/>
              </w:rPr>
            </w:pPr>
          </w:p>
        </w:tc>
      </w:tr>
      <w:tr>
        <w:trPr>
          <w:trHeight w:val="158"/>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Loans, net</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3,611,630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69,094</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11,487</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BOLI</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95,281</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25,638</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Core deposit intangibles, net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70"/>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107,404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53,124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52,967</w:t>
            </w:r>
          </w:p>
        </w:tc>
        <w:tc>
          <w:tcPr>
            <w:tcW w:w="0" w:type="dxa"/>
            <w:vAlign w:val="bottom"/>
          </w:tcPr>
          <w:p>
            <w:pPr>
              <w:spacing w:after="0"/>
              <w:rPr>
                <w:sz w:val="1"/>
                <w:szCs w:val="1"/>
                <w:color w:val="auto"/>
              </w:rPr>
            </w:pPr>
          </w:p>
        </w:tc>
      </w:tr>
      <w:tr>
        <w:trPr>
          <w:trHeight w:val="163"/>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4,607,487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3,601,168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67,583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67,899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60,598</w:t>
            </w:r>
          </w:p>
        </w:tc>
        <w:tc>
          <w:tcPr>
            <w:tcW w:w="0" w:type="dxa"/>
            <w:vAlign w:val="bottom"/>
          </w:tcPr>
          <w:p>
            <w:pPr>
              <w:spacing w:after="0"/>
              <w:rPr>
                <w:sz w:val="1"/>
                <w:szCs w:val="1"/>
                <w:color w:val="auto"/>
              </w:rPr>
            </w:pPr>
          </w:p>
        </w:tc>
      </w:tr>
      <w:tr>
        <w:trPr>
          <w:trHeight w:val="16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4,172,740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4,136,301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3,160,359</w:t>
            </w:r>
          </w:p>
        </w:tc>
        <w:tc>
          <w:tcPr>
            <w:tcW w:w="0" w:type="dxa"/>
            <w:vAlign w:val="bottom"/>
          </w:tcPr>
          <w:p>
            <w:pPr>
              <w:spacing w:after="0"/>
              <w:rPr>
                <w:sz w:val="1"/>
                <w:szCs w:val="1"/>
                <w:color w:val="auto"/>
              </w:rPr>
            </w:pPr>
          </w:p>
        </w:tc>
      </w:tr>
      <w:tr>
        <w:trPr>
          <w:trHeight w:val="149"/>
        </w:trPr>
        <w:tc>
          <w:tcPr>
            <w:tcW w:w="63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 see Note 17</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 or outstanding</w:t>
            </w:r>
          </w:p>
        </w:tc>
        <w:tc>
          <w:tcPr>
            <w:tcW w:w="22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630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8"/>
              </w:rPr>
              <w:t>Common stock, $0.01 par value, 60,000,000 shares authorized, 17,387,069, 17,366,673 and 15,591,466 shares issued and</w:t>
            </w:r>
          </w:p>
        </w:tc>
        <w:tc>
          <w:tcPr>
            <w:tcW w:w="22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outstanding at December 31, 2023, June 30, 2023 and June 30, 2022, respectively</w:t>
            </w:r>
          </w:p>
        </w:tc>
        <w:tc>
          <w:tcPr>
            <w:tcW w:w="22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126,106</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Retained earnings</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270,276</w:t>
            </w:r>
          </w:p>
        </w:tc>
        <w:tc>
          <w:tcPr>
            <w:tcW w:w="0" w:type="dxa"/>
            <w:vAlign w:val="bottom"/>
          </w:tcPr>
          <w:p>
            <w:pPr>
              <w:spacing w:after="0"/>
              <w:rPr>
                <w:sz w:val="1"/>
                <w:szCs w:val="1"/>
                <w:color w:val="auto"/>
              </w:rPr>
            </w:pPr>
          </w:p>
        </w:tc>
      </w:tr>
      <w:tr>
        <w:trPr>
          <w:trHeight w:val="168"/>
        </w:trPr>
        <w:tc>
          <w:tcPr>
            <w:tcW w:w="6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Unearned ESOP shares</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(5,290)</w:t>
            </w:r>
          </w:p>
        </w:tc>
        <w:tc>
          <w:tcPr>
            <w:tcW w:w="0" w:type="dxa"/>
            <w:vAlign w:val="bottom"/>
          </w:tcPr>
          <w:p>
            <w:pPr>
              <w:spacing w:after="0"/>
              <w:rPr>
                <w:sz w:val="1"/>
                <w:szCs w:val="1"/>
                <w:color w:val="auto"/>
              </w:rPr>
            </w:pPr>
          </w:p>
        </w:tc>
      </w:tr>
      <w:tr>
        <w:trPr>
          <w:trHeight w:val="172"/>
        </w:trPr>
        <w:tc>
          <w:tcPr>
            <w:tcW w:w="6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0" w:type="dxa"/>
            <w:vAlign w:val="bottom"/>
          </w:tcPr>
          <w:p>
            <w:pPr>
              <w:spacing w:after="0"/>
              <w:rPr>
                <w:sz w:val="1"/>
                <w:szCs w:val="1"/>
                <w:color w:val="auto"/>
              </w:rPr>
            </w:pPr>
          </w:p>
        </w:tc>
      </w:tr>
      <w:tr>
        <w:trPr>
          <w:trHeight w:val="158"/>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0" w:type="dxa"/>
            <w:vAlign w:val="bottom"/>
          </w:tcPr>
          <w:p>
            <w:pPr>
              <w:spacing w:after="0"/>
              <w:rPr>
                <w:sz w:val="1"/>
                <w:szCs w:val="1"/>
                <w:color w:val="auto"/>
              </w:rPr>
            </w:pPr>
          </w:p>
        </w:tc>
      </w:tr>
      <w:tr>
        <w:trPr>
          <w:trHeight w:val="188"/>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4,672,633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4,607,487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3,549,204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20" w:right="339" w:bottom="1440" w:gutter="0" w:footer="0" w:header="0"/>
        </w:sectPr>
      </w:pPr>
    </w:p>
    <w:bookmarkStart w:id="44" w:name="page45"/>
    <w:bookmarkEnd w:id="44"/>
    <w:p>
      <w:pPr>
        <w:jc w:val="center"/>
        <w:ind w:right="-15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color w:val="auto"/>
        </w:rPr>
        <w:t>Consolidated Statements of Income</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and dividend income</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118,565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176,270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109,603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111,798</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 net</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investments and interest-bearing deposits</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124,684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187,126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116,114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118,733</w:t>
            </w: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9,370</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6,041</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 expense</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40,601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15,411</w:t>
            </w:r>
          </w:p>
        </w:tc>
        <w:tc>
          <w:tcPr>
            <w:tcW w:w="0" w:type="dxa"/>
            <w:vAlign w:val="bottom"/>
          </w:tcPr>
          <w:p>
            <w:pPr>
              <w:spacing w:after="0"/>
              <w:rPr>
                <w:sz w:val="1"/>
                <w:szCs w:val="1"/>
                <w:color w:val="auto"/>
              </w:rPr>
            </w:pPr>
          </w:p>
        </w:tc>
      </w:tr>
      <w:tr>
        <w:trPr>
          <w:trHeight w:val="158"/>
        </w:trPr>
        <w:tc>
          <w:tcPr>
            <w:tcW w:w="5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103,322</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 after provision (benefit) for credit losses</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78,153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111,366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110,457</w:t>
            </w: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Service charges and fees on deposit accounts</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 income and fees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17,352</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 income</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income</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on sale of debt securities available for sale</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(loss) on sale of premises and equipment</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4,732</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noninterest income</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16,875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31,050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39,109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39,821</w:t>
            </w:r>
          </w:p>
        </w:tc>
        <w:tc>
          <w:tcPr>
            <w:tcW w:w="0" w:type="dxa"/>
            <w:vAlign w:val="bottom"/>
          </w:tcPr>
          <w:p>
            <w:pPr>
              <w:spacing w:after="0"/>
              <w:rPr>
                <w:sz w:val="1"/>
                <w:szCs w:val="1"/>
                <w:color w:val="auto"/>
              </w:rPr>
            </w:pPr>
          </w:p>
        </w:tc>
      </w:tr>
      <w:tr>
        <w:trPr>
          <w:trHeight w:val="17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62,956</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Occupancy expense, net</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9,521</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Computer services</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9,607</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Telephone, postage and supplies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Marketing and advertising</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 insurance premiums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Core deposit intangible amortization</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Branch closure and restructuring expenses</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Officer transition agreement expense</w:t>
            </w:r>
          </w:p>
        </w:tc>
        <w:tc>
          <w:tcPr>
            <w:tcW w:w="80" w:type="dxa"/>
            <w:vAlign w:val="bottom"/>
          </w:tcPr>
          <w:p>
            <w:pPr>
              <w:spacing w:after="0"/>
              <w:rPr>
                <w:sz w:val="14"/>
                <w:szCs w:val="14"/>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Merger-related expenses</w:t>
            </w:r>
          </w:p>
        </w:tc>
        <w:tc>
          <w:tcPr>
            <w:tcW w:w="8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Prepayment penalties on borrowings</w:t>
            </w:r>
          </w:p>
        </w:tc>
        <w:tc>
          <w:tcPr>
            <w:tcW w:w="80" w:type="dxa"/>
            <w:vAlign w:val="bottom"/>
          </w:tcPr>
          <w:p>
            <w:pPr>
              <w:spacing w:after="0"/>
              <w:rPr>
                <w:sz w:val="14"/>
                <w:szCs w:val="14"/>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18,179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17,613</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115,909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105,097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131,182</w:t>
            </w: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45,378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19,096</w:t>
            </w:r>
          </w:p>
        </w:tc>
        <w:tc>
          <w:tcPr>
            <w:tcW w:w="0" w:type="dxa"/>
            <w:vAlign w:val="bottom"/>
          </w:tcPr>
          <w:p>
            <w:pPr>
              <w:spacing w:after="0"/>
              <w:rPr>
                <w:sz w:val="1"/>
                <w:szCs w:val="1"/>
                <w:color w:val="auto"/>
              </w:rPr>
            </w:pPr>
          </w:p>
        </w:tc>
      </w:tr>
      <w:tr>
        <w:trPr>
          <w:trHeight w:val="168"/>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0" w:type="dxa"/>
            <w:vAlign w:val="bottom"/>
          </w:tcPr>
          <w:p>
            <w:pPr>
              <w:spacing w:after="0"/>
              <w:rPr>
                <w:sz w:val="1"/>
                <w:szCs w:val="1"/>
                <w:color w:val="auto"/>
              </w:rPr>
            </w:pPr>
          </w:p>
        </w:tc>
      </w:tr>
      <w:tr>
        <w:trPr>
          <w:trHeight w:val="18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per common share</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0" w:type="dxa"/>
            <w:vAlign w:val="bottom"/>
          </w:tcPr>
          <w:p>
            <w:pPr>
              <w:spacing w:after="0"/>
              <w:rPr>
                <w:sz w:val="1"/>
                <w:szCs w:val="1"/>
                <w:color w:val="auto"/>
              </w:rPr>
            </w:pPr>
          </w:p>
        </w:tc>
      </w:tr>
      <w:tr>
        <w:trPr>
          <w:trHeight w:val="178"/>
        </w:trPr>
        <w:tc>
          <w:tcPr>
            <w:tcW w:w="50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Average shares outstanding</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16,806,273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15,698,618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15,516,173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16,078,066</w:t>
            </w:r>
          </w:p>
        </w:tc>
        <w:tc>
          <w:tcPr>
            <w:tcW w:w="0" w:type="dxa"/>
            <w:vAlign w:val="bottom"/>
          </w:tcPr>
          <w:p>
            <w:pPr>
              <w:spacing w:after="0"/>
              <w:rPr>
                <w:sz w:val="1"/>
                <w:szCs w:val="1"/>
                <w:color w:val="auto"/>
              </w:rPr>
            </w:pPr>
          </w:p>
        </w:tc>
      </w:tr>
      <w:tr>
        <w:trPr>
          <w:trHeight w:val="165"/>
        </w:trPr>
        <w:tc>
          <w:tcPr>
            <w:tcW w:w="5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16,814,176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15,781,506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15,810,409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16,495,115</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320" w:right="479" w:bottom="1440" w:gutter="0" w:footer="0" w:header="0"/>
        </w:sectPr>
      </w:pPr>
    </w:p>
    <w:bookmarkStart w:id="45" w:name="page46"/>
    <w:bookmarkEnd w:id="45"/>
    <w:p>
      <w:pPr>
        <w:jc w:val="center"/>
        <w:ind w:right="-17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Consolidated Statements of Comprehensive Income</w:t>
      </w:r>
    </w:p>
    <w:p>
      <w:pPr>
        <w:spacing w:after="0" w:line="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59"/>
        </w:trPr>
        <w:tc>
          <w:tcPr>
            <w:tcW w:w="49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178"/>
        </w:trPr>
        <w:tc>
          <w:tcPr>
            <w:tcW w:w="4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4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Unrealized holding gains (losses) on debt securities available for sale</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4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Gains (losses) arising during the period</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r>
      <w:tr>
        <w:trPr>
          <w:trHeight w:val="172"/>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58"/>
        </w:trPr>
        <w:tc>
          <w:tcPr>
            <w:tcW w:w="4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Total other comprehensive gain (loss)</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w:t>
            </w:r>
          </w:p>
        </w:tc>
      </w:tr>
      <w:tr>
        <w:trPr>
          <w:trHeight w:val="188"/>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320" w:right="49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860" w:type="dxa"/>
            <w:vAlign w:val="bottom"/>
            <w:gridSpan w:val="3"/>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86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Additional Paid In</w:t>
            </w:r>
          </w:p>
        </w:tc>
        <w:tc>
          <w:tcPr>
            <w:tcW w:w="160" w:type="dxa"/>
            <w:vAlign w:val="bottom"/>
          </w:tcPr>
          <w:p>
            <w:pPr>
              <w:spacing w:after="0"/>
              <w:rPr>
                <w:sz w:val="10"/>
                <w:szCs w:val="10"/>
                <w:color w:val="auto"/>
              </w:rPr>
            </w:pPr>
          </w:p>
        </w:tc>
        <w:tc>
          <w:tcPr>
            <w:tcW w:w="96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14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Unearned ESOP</w:t>
            </w:r>
          </w:p>
        </w:tc>
        <w:tc>
          <w:tcPr>
            <w:tcW w:w="60" w:type="dxa"/>
            <w:vAlign w:val="bottom"/>
          </w:tcPr>
          <w:p>
            <w:pPr>
              <w:spacing w:after="0"/>
              <w:rPr>
                <w:sz w:val="10"/>
                <w:szCs w:val="10"/>
                <w:color w:val="auto"/>
              </w:rPr>
            </w:pPr>
          </w:p>
        </w:tc>
        <w:tc>
          <w:tcPr>
            <w:tcW w:w="146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 Income</w:t>
            </w:r>
          </w:p>
        </w:tc>
        <w:tc>
          <w:tcPr>
            <w:tcW w:w="80" w:type="dxa"/>
            <w:vAlign w:val="bottom"/>
          </w:tcPr>
          <w:p>
            <w:pPr>
              <w:spacing w:after="0"/>
              <w:rPr>
                <w:sz w:val="10"/>
                <w:szCs w:val="10"/>
                <w:color w:val="auto"/>
              </w:rPr>
            </w:pPr>
          </w:p>
        </w:tc>
        <w:tc>
          <w:tcPr>
            <w:tcW w:w="1200" w:type="dxa"/>
            <w:vAlign w:val="bottom"/>
          </w:tcPr>
          <w:p>
            <w:pPr>
              <w:jc w:val="right"/>
              <w:ind w:right="56"/>
              <w:spacing w:after="0" w:line="107"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59"/>
        </w:trPr>
        <w:tc>
          <w:tcPr>
            <w:tcW w:w="2800" w:type="dxa"/>
            <w:vAlign w:val="bottom"/>
          </w:tcPr>
          <w:p>
            <w:pPr>
              <w:spacing w:after="0"/>
              <w:rPr>
                <w:sz w:val="13"/>
                <w:szCs w:val="13"/>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3"/>
                <w:szCs w:val="13"/>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b w:val="1"/>
                <w:bCs w:val="1"/>
                <w:color w:val="auto"/>
                <w:w w:val="97"/>
              </w:rPr>
              <w:t>Balance at June 30,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17,021,357</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169,648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242,776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(6,348)</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408,263</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w w:val="99"/>
              </w:rPr>
              <w:t>Cumulative-effect adjustment due to the adoption of</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(13,358)</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ASU 2016-13</w:t>
            </w:r>
          </w:p>
        </w:tc>
        <w:tc>
          <w:tcPr>
            <w:tcW w:w="114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0" w:type="dxa"/>
            <w:vAlign w:val="bottom"/>
          </w:tcPr>
          <w:p>
            <w:pPr>
              <w:spacing w:after="0"/>
              <w:rPr>
                <w:sz w:val="1"/>
                <w:szCs w:val="1"/>
                <w:color w:val="auto"/>
              </w:rPr>
            </w:pPr>
          </w:p>
        </w:tc>
      </w:tr>
      <w:tr>
        <w:trPr>
          <w:trHeight w:val="168"/>
        </w:trPr>
        <w:tc>
          <w:tcPr>
            <w:tcW w:w="2800" w:type="dxa"/>
            <w:vAlign w:val="bottom"/>
          </w:tcPr>
          <w:p>
            <w:pPr>
              <w:jc w:val="center"/>
              <w:ind w:right="1396"/>
              <w:spacing w:after="0"/>
              <w:rPr>
                <w:sz w:val="20"/>
                <w:szCs w:val="20"/>
                <w:color w:val="auto"/>
              </w:rPr>
            </w:pPr>
            <w:r>
              <w:rPr>
                <w:rFonts w:ascii="Times New Roman" w:cs="Times New Roman" w:eastAsia="Times New Roman" w:hAnsi="Times New Roman"/>
                <w:sz w:val="13"/>
                <w:szCs w:val="13"/>
                <w:color w:val="auto"/>
                <w:w w:val="97"/>
              </w:rPr>
              <w:t>$0.31/common share</w:t>
            </w:r>
          </w:p>
        </w:tc>
        <w:tc>
          <w:tcPr>
            <w:tcW w:w="11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(733,347)</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45,260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318,894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b w:val="1"/>
                <w:bCs w:val="1"/>
                <w:color w:val="auto"/>
                <w:w w:val="97"/>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16,636,483</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167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160,582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240,075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(5,819)</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396,519</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color w:val="auto"/>
                <w:w w:val="97"/>
              </w:rPr>
              <w:t>$0.35/common share</w:t>
            </w:r>
          </w:p>
        </w:tc>
        <w:tc>
          <w:tcPr>
            <w:tcW w:w="114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(1,482,959)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(43,348)</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42,123</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413,636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b w:val="1"/>
                <w:bCs w:val="1"/>
                <w:color w:val="auto"/>
                <w:w w:val="97"/>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15,591,466</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156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270,276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388,845</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(6,229)</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color w:val="auto"/>
                <w:w w:val="97"/>
              </w:rPr>
              <w:t>$0.39/common share</w:t>
            </w:r>
          </w:p>
        </w:tc>
        <w:tc>
          <w:tcPr>
            <w:tcW w:w="1140" w:type="dxa"/>
            <w:vAlign w:val="bottom"/>
            <w:gridSpan w:val="2"/>
            <w:vMerge w:val="continue"/>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352,096</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5,140</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issued for Quantum merger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1,374,646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37,734</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jc w:val="center"/>
              <w:ind w:right="1396"/>
              <w:spacing w:after="0"/>
              <w:rPr>
                <w:sz w:val="20"/>
                <w:szCs w:val="20"/>
                <w:color w:val="auto"/>
              </w:rPr>
            </w:pPr>
            <w:r>
              <w:rPr>
                <w:rFonts w:ascii="Times New Roman" w:cs="Times New Roman" w:eastAsia="Times New Roman" w:hAnsi="Times New Roman"/>
                <w:sz w:val="13"/>
                <w:szCs w:val="13"/>
                <w:b w:val="1"/>
                <w:bCs w:val="1"/>
                <w:color w:val="auto"/>
                <w:w w:val="97"/>
              </w:rPr>
              <w:t>Balance at June 30,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17,366,673</w:t>
            </w: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174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171,222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308,651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 (continued)</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100" w:type="dxa"/>
            <w:vAlign w:val="bottom"/>
            <w:gridSpan w:val="4"/>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21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160" w:type="dxa"/>
            <w:vAlign w:val="bottom"/>
            <w:gridSpan w:val="3"/>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Additional Paid In</w:t>
            </w:r>
          </w:p>
        </w:tc>
        <w:tc>
          <w:tcPr>
            <w:tcW w:w="160" w:type="dxa"/>
            <w:vAlign w:val="bottom"/>
          </w:tcPr>
          <w:p>
            <w:pPr>
              <w:spacing w:after="0"/>
              <w:rPr>
                <w:sz w:val="10"/>
                <w:szCs w:val="10"/>
                <w:color w:val="auto"/>
              </w:rPr>
            </w:pPr>
          </w:p>
        </w:tc>
        <w:tc>
          <w:tcPr>
            <w:tcW w:w="960" w:type="dxa"/>
            <w:vAlign w:val="bottom"/>
            <w:gridSpan w:val="2"/>
          </w:tcPr>
          <w:p>
            <w:pPr>
              <w:ind w:left="10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14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Unearned ESOP</w:t>
            </w:r>
          </w:p>
        </w:tc>
        <w:tc>
          <w:tcPr>
            <w:tcW w:w="60" w:type="dxa"/>
            <w:vAlign w:val="bottom"/>
          </w:tcPr>
          <w:p>
            <w:pPr>
              <w:spacing w:after="0"/>
              <w:rPr>
                <w:sz w:val="10"/>
                <w:szCs w:val="10"/>
                <w:color w:val="auto"/>
              </w:rPr>
            </w:pPr>
          </w:p>
        </w:tc>
        <w:tc>
          <w:tcPr>
            <w:tcW w:w="146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 Income</w:t>
            </w:r>
          </w:p>
        </w:tc>
        <w:tc>
          <w:tcPr>
            <w:tcW w:w="80" w:type="dxa"/>
            <w:vAlign w:val="bottom"/>
          </w:tcPr>
          <w:p>
            <w:pPr>
              <w:spacing w:after="0"/>
              <w:rPr>
                <w:sz w:val="10"/>
                <w:szCs w:val="10"/>
                <w:color w:val="auto"/>
              </w:rPr>
            </w:pPr>
          </w:p>
        </w:tc>
        <w:tc>
          <w:tcPr>
            <w:tcW w:w="1200" w:type="dxa"/>
            <w:vAlign w:val="bottom"/>
          </w:tcPr>
          <w:p>
            <w:pPr>
              <w:jc w:val="right"/>
              <w:ind w:right="57"/>
              <w:spacing w:after="0" w:line="107"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159"/>
        </w:trPr>
        <w:tc>
          <w:tcPr>
            <w:tcW w:w="2800" w:type="dxa"/>
            <w:vAlign w:val="bottom"/>
          </w:tcPr>
          <w:p>
            <w:pPr>
              <w:spacing w:after="0"/>
              <w:rPr>
                <w:sz w:val="13"/>
                <w:szCs w:val="13"/>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0" w:type="dxa"/>
            <w:vAlign w:val="bottom"/>
          </w:tcPr>
          <w:p>
            <w:pPr>
              <w:spacing w:after="0"/>
              <w:rPr>
                <w:sz w:val="13"/>
                <w:szCs w:val="13"/>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3"/>
                <w:szCs w:val="13"/>
                <w:color w:val="auto"/>
              </w:rPr>
            </w:pPr>
          </w:p>
        </w:tc>
        <w:tc>
          <w:tcPr>
            <w:tcW w:w="120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17,366,673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171,222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308,651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Cash dividends declared on common stock,</w:t>
            </w: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$0.21/common share</w:t>
            </w:r>
          </w:p>
        </w:tc>
        <w:tc>
          <w:tcPr>
            <w:tcW w:w="11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Forfeited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Granted restricted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0" w:type="dxa"/>
            <w:vAlign w:val="bottom"/>
          </w:tcPr>
          <w:p>
            <w:pPr>
              <w:spacing w:after="0"/>
              <w:rPr>
                <w:sz w:val="1"/>
                <w:szCs w:val="1"/>
                <w:color w:val="auto"/>
              </w:rPr>
            </w:pPr>
          </w:p>
        </w:tc>
      </w:tr>
      <w:tr>
        <w:trPr>
          <w:trHeight w:val="168"/>
        </w:trPr>
        <w:tc>
          <w:tcPr>
            <w:tcW w:w="28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0" w:type="dxa"/>
            <w:vAlign w:val="bottom"/>
          </w:tcPr>
          <w:p>
            <w:pPr>
              <w:spacing w:after="0"/>
              <w:rPr>
                <w:sz w:val="1"/>
                <w:szCs w:val="1"/>
                <w:color w:val="auto"/>
              </w:rPr>
            </w:pPr>
          </w:p>
        </w:tc>
      </w:tr>
      <w:tr>
        <w:trPr>
          <w:trHeight w:val="163"/>
        </w:trPr>
        <w:tc>
          <w:tcPr>
            <w:tcW w:w="2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17,387,069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172,366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333,401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(4,497)</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5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183"/>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(7,135)</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 and equipment for operating leases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9,499</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 expense (benefit)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3,573</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accretion of purchase accounting adjustments on loans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amortization and accretion</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SBIC investments income</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Prepayment penalties paid on borrowings</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(gain) on sale of premises and equipment</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(gain) on sale of OREO</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(gain) incurred at the end of operating leases - lessor</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BOLI income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 of debt securities available for sale</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sale of loans held for sale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(17,352)</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Origination of loans held for sale</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(622,400)</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 of loans held for sale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463,603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600,784</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New deferred loan origination (costs) fees, net</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in accrued interest receivable and other assets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in other liabilities</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r>
      <w:tr>
        <w:trPr>
          <w:trHeight w:val="158"/>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(42,396)</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33,128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9,559</w:t>
            </w:r>
          </w:p>
        </w:tc>
      </w:tr>
      <w:tr>
        <w:trPr>
          <w:trHeight w:val="17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of debt securities available for sale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(41,649)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(107,988)</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maturities, calls and paydowns of debt securities available for sale</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45,928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65,399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76,663</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debt securities available for sale</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Purchases of commercial paper</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(558,482)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(715,635)</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maturities and calls of commercial paper</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555,472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831,862</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Purchases of CDs in other banks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(7,321)</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maturities of CDs in other banks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22,888</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(purchases) redemptions of FHLB and FRB stock</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17,138</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capital (contributions in) distributions from SBIC investments, at cost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(increase) decrease in loans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56,296</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of BOLI</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redemption of BOLI policies</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1,307</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Death benefit proceeds from BOLI policies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 of equipment for operating leases - lessor</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(11,879)</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equipment for operating leases - lessor</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Purchase of premises and equipment</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(16,081)</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Proceeds from sale of premises and equipment and assets held for sale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sale of OREO</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cash received in merger</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3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149,499</w:t>
            </w: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5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169,785</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increase (decrease) in revolving lines of credit</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Repayment of long-term borrowings</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(497,690)</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dividends paid</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(5,018)</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68"/>
        </w:trPr>
        <w:tc>
          <w:tcPr>
            <w:tcW w:w="53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4,592</w:t>
            </w:r>
          </w:p>
        </w:tc>
      </w:tr>
      <w:tr>
        <w:trPr>
          <w:trHeight w:val="163"/>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33,171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361,907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(229,690)</w:t>
            </w:r>
          </w:p>
        </w:tc>
      </w:tr>
      <w:tr>
        <w:trPr>
          <w:trHeight w:val="158"/>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43,643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54,129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(70,632)</w:t>
            </w:r>
          </w:p>
        </w:tc>
      </w:tr>
      <w:tr>
        <w:trPr>
          <w:trHeight w:val="17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50,990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121,622</w:t>
            </w:r>
          </w:p>
        </w:tc>
      </w:tr>
      <w:tr>
        <w:trPr>
          <w:trHeight w:val="162"/>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50,990</w:t>
            </w:r>
          </w:p>
        </w:tc>
      </w:tr>
      <w:tr>
        <w:trPr>
          <w:trHeight w:val="20"/>
        </w:trPr>
        <w:tc>
          <w:tcPr>
            <w:tcW w:w="5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5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7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paid during the period for</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16,446</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183"/>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Noncash transactions</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Unrealized gain (loss) in value of debt securities available for sale, net of income taxes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of loans held for investment to OREO</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Transfers of loans held for sale to loans held for investment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18,337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23,106</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of loans held for investment to loans held for sale</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Establish receivable for proceeds from redemption of BOLI policies (included in other assets)</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ROU asset and lease liabilities for operating lease accounting</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w:t>
            </w:r>
          </w:p>
        </w:tc>
      </w:tr>
      <w:tr>
        <w:trPr>
          <w:trHeight w:val="16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ACL due to the adoption of ASU 2016-13</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17,347</w:t>
            </w:r>
          </w:p>
        </w:tc>
      </w:tr>
      <w:tr>
        <w:trPr>
          <w:trHeight w:val="172"/>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 of premises and equipment to assets held for sale (included in other assets)</w:t>
            </w:r>
          </w:p>
        </w:tc>
        <w:tc>
          <w:tcPr>
            <w:tcW w:w="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8"/>
        </w:trPr>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Business combinations</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2"/>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Fair value of assets acquired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Fair value of liabilities assumed</w:t>
            </w:r>
          </w:p>
        </w:tc>
        <w:tc>
          <w:tcPr>
            <w:tcW w:w="8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610,188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3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assets acquired</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54,902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ind w:right="8760" w:firstLine="5"/>
        <w:spacing w:after="0" w:line="291" w:lineRule="auto"/>
        <w:tabs>
          <w:tab w:leader="none" w:pos="127" w:val="left"/>
        </w:tabs>
        <w:numPr>
          <w:ilvl w:val="0"/>
          <w:numId w:val="2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 xml:space="preserve">Summary of Significant Accounting Policies </w:t>
      </w:r>
      <w:r>
        <w:rPr>
          <w:rFonts w:ascii="Times New Roman" w:cs="Times New Roman" w:eastAsia="Times New Roman" w:hAnsi="Times New Roman"/>
          <w:sz w:val="13"/>
          <w:szCs w:val="13"/>
          <w:b w:val="1"/>
          <w:bCs w:val="1"/>
          <w:color w:val="auto"/>
        </w:rPr>
        <w:t>Nature of Operations</w:t>
      </w:r>
    </w:p>
    <w:p>
      <w:pPr>
        <w:jc w:val="both"/>
        <w:spacing w:after="0" w:line="25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the "Piedmont" region, Charlotte and Raleigh/Cary), South Carolina (Greenville and Charleston),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Principles of Consolidation and Subsidiary Activities</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accompanying consolidated financial statements include the accounts of HomeTrust, the Bank, and its wholly-owned subsidiary, WNCSC, at or for the six months ended December 31, 2023 and years ended June 30, 2023, 2022 and 2021. WNCSC owns office buildings in Asheville, North Carolina that are leased to the Bank. All intercompany items have been eliminated.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Change in Fiscal Year</w:t>
      </w:r>
    </w:p>
    <w:p>
      <w:pPr>
        <w:spacing w:after="0" w:line="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3"/>
          <w:szCs w:val="13"/>
          <w:color w:val="auto"/>
        </w:rPr>
        <w:t>The Board of Directors approved a change in the Company’s fiscal year end from June 30 to December 31, commencing January 1, 2024. As a result of this change, we are filing this Transition Report on Form 10-KT for the six-month transition period ended December 31, 2023. The change in fiscal year end is applied on a prospective basis and does not adjust operating results for prior periods. References to our previous fiscal years mean the fiscal years ending on June 30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The Company's fiscal year 2024 commenced on January 1, 2024. References herein to "Transition Period" refer to the six-month period ended December 31, 2023.</w:t>
      </w:r>
    </w:p>
    <w:p>
      <w:pPr>
        <w:spacing w:after="0"/>
        <w:rPr>
          <w:sz w:val="20"/>
          <w:szCs w:val="20"/>
          <w:color w:val="auto"/>
        </w:rPr>
      </w:pPr>
      <w:r>
        <w:rPr>
          <w:rFonts w:ascii="Times New Roman" w:cs="Times New Roman" w:eastAsia="Times New Roman" w:hAnsi="Times New Roman"/>
          <w:sz w:val="13"/>
          <w:szCs w:val="13"/>
          <w:color w:val="auto"/>
        </w:rPr>
        <w:t>The following tables present certain comparative transition period condensed financial information for the six months ended December 31, 2023 and 2022, respectively.</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r>
      <w:tr>
        <w:trPr>
          <w:trHeight w:val="160"/>
        </w:trPr>
        <w:tc>
          <w:tcPr>
            <w:tcW w:w="7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(Unaudited)</w:t>
            </w:r>
          </w:p>
        </w:tc>
      </w:tr>
      <w:tr>
        <w:trPr>
          <w:trHeight w:val="17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(Dollars in thousands, except per share data)</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and dividend income</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77,329</w:t>
            </w:r>
          </w:p>
        </w:tc>
      </w:tr>
      <w:tr>
        <w:trPr>
          <w:trHeight w:val="16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interest expense</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40,601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5,264</w:t>
            </w:r>
          </w:p>
        </w:tc>
      </w:tr>
      <w:tr>
        <w:trPr>
          <w:trHeight w:val="163"/>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w:t>
            </w: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84,083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72,065</w:t>
            </w:r>
          </w:p>
        </w:tc>
      </w:tr>
      <w:tr>
        <w:trPr>
          <w:trHeight w:val="16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6,227</w:t>
            </w:r>
          </w:p>
        </w:tc>
      </w:tr>
      <w:tr>
        <w:trPr>
          <w:trHeight w:val="163"/>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65,838</w:t>
            </w:r>
          </w:p>
        </w:tc>
      </w:tr>
      <w:tr>
        <w:trPr>
          <w:trHeight w:val="15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noninterest income</w:t>
            </w: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15,852</w:t>
            </w:r>
          </w:p>
        </w:tc>
      </w:tr>
      <w:tr>
        <w:trPr>
          <w:trHeight w:val="17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59,345</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52,165</w:t>
            </w:r>
          </w:p>
        </w:tc>
      </w:tr>
      <w:tr>
        <w:trPr>
          <w:trHeight w:val="15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29,525</w:t>
            </w: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6,668</w:t>
            </w:r>
          </w:p>
        </w:tc>
      </w:tr>
      <w:tr>
        <w:trPr>
          <w:trHeight w:val="163"/>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22,857</w:t>
            </w:r>
          </w:p>
        </w:tc>
      </w:tr>
      <w:tr>
        <w:trPr>
          <w:trHeight w:val="22"/>
        </w:trPr>
        <w:tc>
          <w:tcPr>
            <w:tcW w:w="7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basic</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 – diluted</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87"/>
        </w:trPr>
        <w:tc>
          <w:tcPr>
            <w:tcW w:w="76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(11,430)</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20,431</w:t>
            </w:r>
          </w:p>
        </w:tc>
      </w:tr>
      <w:tr>
        <w:trPr>
          <w:trHeight w:val="17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(36,883)</w:t>
            </w:r>
          </w:p>
        </w:tc>
      </w:tr>
      <w:tr>
        <w:trPr>
          <w:trHeight w:val="16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33,171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76,367</w:t>
            </w:r>
          </w:p>
        </w:tc>
      </w:tr>
      <w:tr>
        <w:trPr>
          <w:trHeight w:val="163"/>
        </w:trPr>
        <w:tc>
          <w:tcPr>
            <w:tcW w:w="7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4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59,915</w:t>
            </w:r>
          </w:p>
        </w:tc>
      </w:tr>
      <w:tr>
        <w:trPr>
          <w:trHeight w:val="168"/>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105,119</w:t>
            </w:r>
          </w:p>
        </w:tc>
      </w:tr>
      <w:tr>
        <w:trPr>
          <w:trHeight w:val="1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period</w:t>
            </w: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165,034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Subsequent Events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has evaluated subsequent events for recognition and disclosure through March 12, 2024, which is the date the financial statements were available to be issued.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 in Financial Statements</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Cash and cash equivalents include cash and interest-bearing deposits with initial terms to maturity of 90 days or less. Net cash flows are reported for customer loan and deposit transactions, FHLB and FRB stock, SBIC investments at cost, revolving lines of credit and short-term borrowings.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Commercial Paper</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Commercial paper includes highly liquid short-term debt of investment graded corporations with maturities less than one year. These instruments are typically purchased at a discount based on prevailing interest rates and do not exceed $15,000 per issuer.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Securities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securities available for sale are carried at fair value. These securities are used to execute asset/liability management strategies, manage liquidity and leverage capital, and therefore may be sold prior to maturity.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Adjustments for unrealized gains or losses, net of the income tax effect, are made to accumulated other comprehensive income (loss), a separate component of total stockholders’ equity.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held to maturity are stated at cost, net of unamortized balances of premiums and discounts. When these securities are purchased, the Company intends to and has the ability to hold such securities until maturity.</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Premiums and discounts are amortized or accreted over the life of the security as an adjustment to yield. Dividend and interest income are recognized when earned. Gains or losses on the sale of securities are recognized on the trade date using the specific identification method.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ACL – Available for Sale Securities</w:t>
      </w:r>
    </w:p>
    <w:p>
      <w:pPr>
        <w:spacing w:after="0" w:line="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available for sale debt securities in an unrealized loss position, the Company evaluates the securities to determine whether the decline in the fair value below the amortized cost basis (impairment) is due to credit-related factors or noncredit-related factors. Any impairment that is not credit related is recognized in other comprehensive income, net of applicable taxes. Credit-related impairment is recognized as an ACL on the balance sheet, limited to the amount by which the amortized cost basis exceeds the fair value, with a corresponding adjustment to earnings. Both the ACL and the adjustment to net income may be reversed if conditions change; however, if the Company intends to sell an impaired available for sale debt security, or more likely than not will be required to sell such a security before recovering its amortized cost basis, the entire impairment amount must be recognized in earnings with a corresponding adjustment to the security’s amortized cost basis. As the security’s amortized cost basis is adjusted to fair value, there is no ACL in such a situation.</w:t>
      </w:r>
    </w:p>
    <w:p>
      <w:pPr>
        <w:spacing w:after="0" w:line="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evaluating available for sale debt securities in unrealized loss positions for impairment and the criteria regarding its intent or requirement to sell such securities, the Company considers the extent to which fair value is less than amortized cost, whether the securities are issued by the federal government or its agencies, whether downgrades by bond rating agencies have occurred and the results of reviews of the issuers’ financial condition, among other factors.</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Changes in the ACL are recorded as a provision for (or reversal of) credit loss expense. Losses are charged against the ACL when management believes the uncollectability of an available for sale debt security is confirmed or when either of the criteria regarding intent or requirement to sell is met.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Accrued interest receivable is excluded from the estimate of credit losses.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ACL – Held to Maturity Securities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ACL on held to maturity securities is estimated on a collective basis by major security type. ECLs are estimated using a DCF methodology which considers historical credit loss information that is adjusted for current conditions and reasonable and supportable forecasts.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Accrued interest receivable is excluded from the estimate of credit losses.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FHLB and FRB Stock</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a requirement for membership, the Bank invests in the stock of both the FHLB of Atlanta and the FRB. No ready market exists for these securities so carrying value, or cost, approximates their fair value based on the redemption provisions of the FHLB of Atlanta and the FRB, respectively. Both cash and stock dividends are reported as income.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SBIC Investments, At Cost</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SBIC investments are equity interests in limited partnerships which are investments the Company has classified as VIEs, legal entities that either do not have sufficient equity to finance their activities without the support from other parties or whose equity investors lack a controlling financial interest. A controlling financial interest is defined as a group that has the power to direct the activities that most significantly impact the VIEs' economic performance, the obligation to absorb the expected losses or the right to receive the expected residual returns. As the Company is not the primary beneficiary, nor does it hold a controlling interest in the VIEs, these investments have not been consolidated.</w:t>
      </w:r>
    </w:p>
    <w:p>
      <w:pPr>
        <w:spacing w:after="0" w:line="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SBIC investments do not have readily determinable fair values and are recorded under the equity method of accounting at cost minus impairment, if any, plus or minus changes resulting from observable price changes in orderly transactions for the identical or a similar investment. Adjustments to the cost basis occur as a result of capital contributions, distributions, the Company's share of earnings or changes in the value of the Company's equity position. The Company's share of earnings is included in interest and dividend income with a one-quarter lag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Loans Held for Sale</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Residential mortgages originated and intended for sale in the secondary market through mandatory delivery contracts are recorded at fair value (fair value option elected). Fair value includes the servicing value of the loans as well as any accrued interest, with changes in value recorded through the gain on sale of loans held for sale. Conversely, residential mortgages originated and intended for sale in the secondary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market on a best efforts basis are sold with servicing released and carried at the lower of cost or fair value as determined by outstanding commitments from investors. Net unrealized losses, if any, are recorded as a valuation allowance and charged to earnings.</w:t>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 originates loans guaranteed by the SBA for the purchase of businesses, business startups, business expansion, equipment and working capital. All SBA loans are underwritten and documented as prescribed by the SBA. SBA loans are generally fully amortizing and have maturity dates and amortizations of up to 25 years. SBA loans are classified as held for sale and are carried at the lower of cost or fair value. The guaranteed portion of the loan is typically sold in the secondary market and the servicing rights are retained. A gain is recorded for any premium received in excess of the carrying value of the net assets transferred in the sale and is included in the gain on sale of loans held for sale. The portion of SBA loans that are retained are adjusted to fair value and reclassified to total loans, net of deferred loan fees and costs (loans held for investment). The net value of the retained loans is included in the appropriate loan classification for disclosure purposes.</w:t>
      </w:r>
    </w:p>
    <w:p>
      <w:pPr>
        <w:spacing w:after="0" w:line="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HELOCs held for sale are originated through a third-party in various states outside the Company's geographic footprint, but are underwritten to the Company's underwriting guidelines. The loans are generally held for sale by the Company over a 90 to 180 day period and are serviced by the third-party. The loans are marketed by the third-party to investors in pools and once sold the Company recognizes a gain or loss on the sale which is recorded through the gain on sale of loans held for sale.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Loans</w:t>
      </w:r>
    </w:p>
    <w:p>
      <w:pPr>
        <w:spacing w:after="0" w:line="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Loans that management has the intent and ability to hold for the foreseeable future or until maturity or payoff are carried at their outstanding principal amount, less unearned income and deferred nonrefundable loan fees, net of certain origination costs. The Company has made a policy election to exclude accrued interest from the amortized cost basis of loans and report accrued interest separately from the related loan balance on the consolidated balance sheets. Interest income is recorded as earned on an accrual basis based on the contractual rate and the outstanding balance, except for nonaccruing loans where interest is recorded as earned on a cash basis. Net deferred loan origination fees/costs are deferred and amortized to interest income over the life of the related loan.</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policies related to when loans are placed on nonaccruing status conform to guidelines prescribed by bank regulatory authorities. Generally, the Company suspends the accrual of interest on loans (i) that are maintained on a cash basis because of the deterioration of the financial condition of the borrower, (ii) for which payment in full of principal or interest is not expected (impaired loans) or (iii) on which principal or interest has been in default for a period of 90 days or more, unless the loan is both well secured and in the process of collection. Under the Company’s cost recovery method, interest income is subsequently recognized only to the extent cash payments are received in excess of principal due. Loans are returned to accruing status when all principal and interest amounts contractually due are brought current and concern no longer exists as to the future collectability of principal and interest, which is generally confirmed when the loan demonstrates performance for six consecutive months or payment cycles.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ACL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Loans and Leases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 xml:space="preserve">The Company adopted the CECL model under ASU 2016-13, </w:t>
      </w:r>
      <w:r>
        <w:rPr>
          <w:rFonts w:ascii="Times New Roman" w:cs="Times New Roman" w:eastAsia="Times New Roman" w:hAnsi="Times New Roman"/>
          <w:sz w:val="13"/>
          <w:szCs w:val="13"/>
          <w:i w:val="1"/>
          <w:iCs w:val="1"/>
          <w:color w:val="auto"/>
        </w:rPr>
        <w:t>“Financial Instruments – Credit Losses (Topic 326): Measurement of Credit Losses on Financial Instruments,”</w:t>
      </w:r>
      <w:r>
        <w:rPr>
          <w:rFonts w:ascii="Times New Roman" w:cs="Times New Roman" w:eastAsia="Times New Roman" w:hAnsi="Times New Roman"/>
          <w:sz w:val="13"/>
          <w:szCs w:val="13"/>
          <w:color w:val="auto"/>
        </w:rPr>
        <w:t xml:space="preserve"> on July 1, 2020 using the modified retrospective approach. Results for the periods beginning after July 1, 2020 are presented under ASU 2016-13 while prior period amounts are reported in accordance with the incurred loss model previously applicable US GAAP.</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The ACL reflects management’s estimate of losses that will result from the inability of its borrowers to make required loan payments. ECLs are reflected in the ACL through a provision for credit losses. Management records loans charged off against the ACL and subsequent recoveries, if any, increase the ACL when they are recognized. Management uses a systematic methodology to determine its ACL for loans held for investment and certain off-balance sheet credit exposures. The ACL is a valuation account that is deducted from the amortized costs basis to present the net amount expected to be collected on the loan portfolio. Management considers the effects of past events, current conditions and reasonable and supportable forecasts on the collectability of the loan portfolio.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has identified the following loan pools with similar risk characteristics for measuring ECLs: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 xml:space="preserve">Commercial real estate </w:t>
      </w:r>
      <w:r>
        <w:rPr>
          <w:rFonts w:ascii="Times New Roman" w:cs="Times New Roman" w:eastAsia="Times New Roman" w:hAnsi="Times New Roman"/>
          <w:sz w:val="13"/>
          <w:szCs w:val="13"/>
          <w:color w:val="auto"/>
        </w:rPr>
        <w:t>– This category of loans consists of the following loan types:</w:t>
      </w:r>
    </w:p>
    <w:p>
      <w:pPr>
        <w:spacing w:after="0" w:line="31" w:lineRule="exact"/>
        <w:rPr>
          <w:sz w:val="20"/>
          <w:szCs w:val="20"/>
          <w:color w:val="auto"/>
        </w:rPr>
      </w:pPr>
    </w:p>
    <w:p>
      <w:pPr>
        <w:ind w:left="26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Construction and land development </w:t>
      </w:r>
      <w:r>
        <w:rPr>
          <w:rFonts w:ascii="Times New Roman" w:cs="Times New Roman" w:eastAsia="Times New Roman" w:hAnsi="Times New Roman"/>
          <w:sz w:val="13"/>
          <w:szCs w:val="13"/>
          <w:color w:val="auto"/>
        </w:rPr>
        <w:t>– These loans finance the ground up construction, improvement, carrying for sale and loans secured by raw or improved land. The repayment of construction loans is generally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dependent upon the successful completion of the improvements by the builder for the end user, or sale of the property to a third-party.</w:t>
      </w:r>
    </w:p>
    <w:p>
      <w:pPr>
        <w:spacing w:after="0" w:line="1"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Commercial real estate – owner and non-owner occupied </w:t>
      </w:r>
      <w:r>
        <w:rPr>
          <w:rFonts w:ascii="Times New Roman" w:cs="Times New Roman" w:eastAsia="Times New Roman" w:hAnsi="Times New Roman"/>
          <w:sz w:val="13"/>
          <w:szCs w:val="13"/>
          <w:color w:val="auto"/>
        </w:rPr>
        <w:t>– These loans include real estate loans for a variety of commercial property types and purposes, including those secured by commercial office or industrial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buildings, warehouses, retail buildings and various special purpose properties.</w:t>
      </w:r>
    </w:p>
    <w:p>
      <w:pPr>
        <w:ind w:left="26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Multifamily </w:t>
      </w:r>
      <w:r>
        <w:rPr>
          <w:rFonts w:ascii="Times New Roman" w:cs="Times New Roman" w:eastAsia="Times New Roman" w:hAnsi="Times New Roman"/>
          <w:sz w:val="13"/>
          <w:szCs w:val="13"/>
          <w:color w:val="auto"/>
        </w:rPr>
        <w:t>– These are investment real estate loans, primarily secured by non-owner occupied apartment or multifamily residential buildings. Generally, these types of loans are thought to involve a greater degree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credit risk than owner occupied commercial real estate as they are more sensitive to adverse economic conditions.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 xml:space="preserve">Commercial </w:t>
      </w:r>
      <w:r>
        <w:rPr>
          <w:rFonts w:ascii="Times New Roman" w:cs="Times New Roman" w:eastAsia="Times New Roman" w:hAnsi="Times New Roman"/>
          <w:sz w:val="13"/>
          <w:szCs w:val="13"/>
          <w:color w:val="auto"/>
        </w:rPr>
        <w:t>– This category of loans consists of the following loan types:</w:t>
      </w:r>
    </w:p>
    <w:p>
      <w:pPr>
        <w:spacing w:after="0" w:line="31" w:lineRule="exact"/>
        <w:rPr>
          <w:sz w:val="20"/>
          <w:szCs w:val="20"/>
          <w:color w:val="auto"/>
        </w:rPr>
      </w:pPr>
    </w:p>
    <w:p>
      <w:pPr>
        <w:ind w:left="260"/>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Commercial and industrial </w:t>
      </w:r>
      <w:r>
        <w:rPr>
          <w:rFonts w:ascii="Times New Roman" w:cs="Times New Roman" w:eastAsia="Times New Roman" w:hAnsi="Times New Roman"/>
          <w:sz w:val="13"/>
          <w:szCs w:val="13"/>
          <w:color w:val="auto"/>
        </w:rPr>
        <w:t>– These loans are for commercial, corporate and business purposes across a variety of industries. These loans include general commercial and industrial loans, loans to purchase capital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equipment and other business loans for working capital and operational purposes. These loans are generally secured by accounts receivable, inventory and other business assets.</w:t>
      </w:r>
    </w:p>
    <w:p>
      <w:pPr>
        <w:ind w:left="26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Equipment finance </w:t>
      </w:r>
      <w:r>
        <w:rPr>
          <w:rFonts w:ascii="Times New Roman" w:cs="Times New Roman" w:eastAsia="Times New Roman" w:hAnsi="Times New Roman"/>
          <w:sz w:val="13"/>
          <w:szCs w:val="13"/>
          <w:color w:val="auto"/>
        </w:rPr>
        <w:t>– These loans are primarily made up of commercial finance agreements and commercial leases provided by our Equipment Finance line of business, primarily for transportation, construction,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and manufacturing equipment. These loans have average terms of five years or less and are secured by the financed equipment.</w:t>
      </w:r>
    </w:p>
    <w:p>
      <w:pPr>
        <w:spacing w:after="0" w:line="1" w:lineRule="exact"/>
        <w:rPr>
          <w:sz w:val="20"/>
          <w:szCs w:val="20"/>
          <w:color w:val="auto"/>
        </w:rPr>
      </w:pPr>
    </w:p>
    <w:p>
      <w:pPr>
        <w:ind w:left="260"/>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Municipal leases </w:t>
      </w:r>
      <w:r>
        <w:rPr>
          <w:rFonts w:ascii="Times New Roman" w:cs="Times New Roman" w:eastAsia="Times New Roman" w:hAnsi="Times New Roman"/>
          <w:sz w:val="13"/>
          <w:szCs w:val="13"/>
          <w:color w:val="auto"/>
        </w:rPr>
        <w:t>– These loans are primarily made to fire departments and depend on the tax revenues received from the applicable county or municipality. These leases are mainly secured by vehicles, fire stations,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land or equipment.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 xml:space="preserve">Residential real estate </w:t>
      </w:r>
      <w:r>
        <w:rPr>
          <w:rFonts w:ascii="Times New Roman" w:cs="Times New Roman" w:eastAsia="Times New Roman" w:hAnsi="Times New Roman"/>
          <w:sz w:val="13"/>
          <w:szCs w:val="13"/>
          <w:color w:val="auto"/>
        </w:rPr>
        <w:t>– This category of loans consists of the following loan types:</w:t>
      </w:r>
    </w:p>
    <w:p>
      <w:pPr>
        <w:spacing w:after="0" w:line="31" w:lineRule="exact"/>
        <w:rPr>
          <w:sz w:val="20"/>
          <w:szCs w:val="20"/>
          <w:color w:val="auto"/>
        </w:rPr>
      </w:pPr>
    </w:p>
    <w:p>
      <w:pPr>
        <w:ind w:left="26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Construction and land development </w:t>
      </w:r>
      <w:r>
        <w:rPr>
          <w:rFonts w:ascii="Times New Roman" w:cs="Times New Roman" w:eastAsia="Times New Roman" w:hAnsi="Times New Roman"/>
          <w:sz w:val="13"/>
          <w:szCs w:val="13"/>
          <w:color w:val="auto"/>
        </w:rPr>
        <w:t>– These loans are to individuals and are typically secured by a one-to-four family residential property under construction or undeveloped or partially developed land in anticipation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construction of a personal residence.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 xml:space="preserve">One-to-four family </w:t>
      </w:r>
      <w:r>
        <w:rPr>
          <w:rFonts w:ascii="Times New Roman" w:cs="Times New Roman" w:eastAsia="Times New Roman" w:hAnsi="Times New Roman"/>
          <w:sz w:val="13"/>
          <w:szCs w:val="13"/>
          <w:color w:val="auto"/>
        </w:rPr>
        <w:t>– These loans are to individuals and are typically secured by one-to-four family residential property.</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i w:val="1"/>
          <w:iCs w:val="1"/>
          <w:color w:val="auto"/>
        </w:rPr>
        <w:t xml:space="preserve">HELOCs </w:t>
      </w:r>
      <w:r>
        <w:rPr>
          <w:rFonts w:ascii="Times New Roman" w:cs="Times New Roman" w:eastAsia="Times New Roman" w:hAnsi="Times New Roman"/>
          <w:sz w:val="13"/>
          <w:szCs w:val="13"/>
          <w:color w:val="auto"/>
        </w:rPr>
        <w:t>– These loans include both loans originated by the Company and those purchased from a third-party and are often secured by second liens on residential real estate.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i w:val="1"/>
          <w:iCs w:val="1"/>
          <w:color w:val="auto"/>
        </w:rPr>
        <w:t xml:space="preserve">Consumer </w:t>
      </w:r>
      <w:r>
        <w:rPr>
          <w:rFonts w:ascii="Times New Roman" w:cs="Times New Roman" w:eastAsia="Times New Roman" w:hAnsi="Times New Roman"/>
          <w:sz w:val="13"/>
          <w:szCs w:val="13"/>
          <w:color w:val="auto"/>
        </w:rPr>
        <w:t>– Consumer loans include loans secured by deposit accounts or personal property such as automobiles, boats and motorcycles, as well as unsecured consumer debt.</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 collectively evaluated loans, the Company uses a DCF method for each loan in a pool, and the results are aggregated at the pool level. A periodic tendency to default and absolute loss given default are applied to a projective model of the pool’s cash flows while considering prepayment and principal curtailment effects. The analysis produces expected cash flows for each instrument in the pool by pairing loan-level term information (maturity date, payment amount, interest rate, etc.) with top-down pool assumptions (default rates and prepayment speeds).</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Management considers the historical loss experience of both the Company and its peers in its assessment of ECLs to determine the ACL. The Company utilized peer call report data to measure historical credit loss experience with similar risk characteristics within the segments over an economic cycle. Management reviewed the historical loss information to appropriately adjust for differences in current asset specific risk characteristics. Management also considered further adjustments to historical loss information for current conditions and reasonable and supportable forecasts that differ from the conditions that existed for the period over which historical information was evaluated. For collectively evaluated loans, the Company has incorporated a combination of three macroeconomic drivers using a statistical regression modeling methodology: the national unemployment rate, one-year change in the national home price index and one-year change in national real gross domestic product. The macroeconomic drivers utilized vary by loan segment, although the national unemployment rate is incorporated for the majority of the segments. Due to the low loss rates of municipal leases and the expectation of them remaining low, management has elected to separately pool these loans. Management has elected to use readily available municipal default rates and loss given defaults in order to calculate ECLs.</w:t>
      </w:r>
    </w:p>
    <w:p>
      <w:pPr>
        <w:spacing w:after="0" w:line="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Management considers forward-looking information in estimating ECLs. The Company uses both Fannie Mae and Federal Reserve Bank quarterly economic forecast data which are baseline outlooks for the United States economy. For the contractual term that extends beyond the reasonable and supportable forecast period, the Company reverts to historical loss information within four quarters using a straight-line approach. Management may apply different reversion techniques depending on the economic environment for the financial asset portfolio and as of the current period has utilized a linear reversion technique.</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Included in its systematic methodology to determine its ACL for loans held for investment and certain off-balance sheet credit exposures, management considers the need to qualitatively adjust ECLs for risks not already captured in the loss estimation process. These qualitative adjustments can either increase or decrease the quantitative model estimation (i.e. formulaic model results). Each period the Company considers qualitative factors that are relevant within the qualitative framework consistent with the regulatory interagency policy statement on the ACL.</w:t>
      </w:r>
    </w:p>
    <w:p>
      <w:pPr>
        <w:spacing w:after="0" w:line="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When a loan no longer shares similar risk characteristics with its segment, the asset is assessed to determine whether it should be included in another pool or should be individually evaluated, which includes consideration of the materiality of the loan. Generally, individually evaluated loans are on nonaccrual status. The ECLs on individually evaluated loans will be estimated based on a DCF analysis unless the loan meets the criteria for use of the fair value of collateral, either by virtue of an expected foreclosure or through meeting the definition of collateral dependent. Financial assets that have been individually evaluated can be returned to a pool for purposes of estimating the ECL insofar as their credit profile improves and that the repayment terms are not considered to be unique to the asset.</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Management identifies loans as modifications to borrowers experiencing financial difficulty when a borrower is experiencing financial difficulties and the Company has altered the cash flow of the loan as part of a modification or in the loan renewal process. In order to determine whether a borrower is experiencing financial difficulty, an evaluation is performed of the probability that the borrower will be in payment default on any of the borrower's debt in the foreseeable future without the modification. This evaluation is performed in accordance with the Company’s internal underwriting policy.</w:t>
      </w:r>
    </w:p>
    <w:p>
      <w:pPr>
        <w:spacing w:after="0" w:line="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starting point for the estimate of the ACL is historical loss information, which includes losses from modifications of loans to borrowers experiencing financial difficulty. As a result, the effect of most modifications made to borrowers experiencing financial difficulty is already included in the ACL and a change to the ACL is generally not recorded upon modification. When principal forgiveness is provided, however, the amount of forgiveness is charged off against the ACL.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Acquired Loans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Acquired loans are recorded at fair value at the date of acquisition based on a DCF methodology that considers various factors including the type of loan and related collateral, classification status, fixed or variable interest rate, term of loan and whether or not the loan was amortizing, and a discount rate reflecting the Company’s assessment of risk inherent in the cash flow estimates. Certain larger purchased loans are individually evaluated while certain purchased loans are grouped together according to similar risk characteristics and are treated in the aggregate when applying various valuation techniques. These cash flow evaluations are inherently subjective as they require material estimates, all of which may be susceptible to significant change.</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Prior to July 1, 2020, loans acquired in a business combination that had evidence of deterioration of credit quality since origination and for which it was probable, at acquisition, that the Company would be unable to collect all contractually required payments receivable were considered PCI loans. PCI loans were individually evaluated and recorded at fair value at the date of acquisition with no initial valuation allowance based on a DCF methodology that considered various factors including the type of loan and related collateral, classification status, fixed or variable interest rate, term of loan and whether or not the loan was amortizing and a discount rate reflecting the Company’s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assessment of risk inherent in the cash flow estimates. The difference between the undiscounted cash flows expected at acquisition and the investment in the loan, or the “accretable yield,” was recognized as interest income on a level-yield method over the life of the loan. Contractually required payments for interest and principal that exceed the undiscounted cash flows expected at acquisition, or the “nonaccretable difference,” were not recognized on the balance sheet and did not result in any yield adjustments, loss accruals or valuation allowances. Increases in expected cash flows, including prepayments, subsequent to the initial investment were recognized prospectively through adjustment of the yield on the loan over its remaining life. Decreases in expected cash flows were recognized as impairment. Valuation allowances on PCI loans reflected only losses incurred after the acquisition (meaning the present value of all cash flows expected at acquisition that ultimately were not to be received).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Subsequent to July 1, 2020, loans acquired in a business combination that have experienced more-than-insignificant deterioration in credit quality since origination are considered PCD loans. At the acquisition date, an estimate of ECLs is made for groups of PCD loans with similar risk characteristics and individual PCD loans without similar risk characteristics. This initial ACL is allocated to individual PCD loans and added to the purchase price or acquisition date fair values to establish the initial amortized cost basis of the PCD loans. As the initial ACL is added to the purchase price, there is no credit loss expense recognized upon acquisition of a PCD loan. Any difference between the unpaid principal balance of PCD loans and the amortized cost basis is considered to relate to noncredit factors and results in a discount or premium. Discounts and premiums are recognized through interest income on a level-yield method over the life of the loans. All loans considered to be PCI prior to July 1, 2020 were converted to PCD on that date.</w:t>
      </w:r>
    </w:p>
    <w:p>
      <w:pPr>
        <w:spacing w:after="0" w:line="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acquired loans not deemed purchased credit deteriorated at acquisition, the differences between the initial fair value and the unpaid principal balance are recognized as interest income on a level-yield basis over the lives of the related loans. At the acquisition date, an initial ACL is estimated and recorded as credit loss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subsequent measurement of ECLs for all acquired loans is the same as the subsequent measurement of ECLs for originated loans.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Loan Commitments and ACL on Off-Balance Sheet Credit Exposures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Financial instruments include off-balance sheet credit instruments, such as undisbursed portions of construction loans, commitments to originate loans, unused lines of credit and standby letters of credit. The Company’s exposure to credit loss in the event of nonperformance by the other party to the financial instrument for off-balance sheet loan commitments is represented by the contractual amount of those instruments. Such financial instruments are recorded when they are funded.</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records an ACL on off-balance sheet credit exposures, unless the commitments to extend credit are unconditionally cancellable, through a provision for credit losses charged against earnings. The ACL on these exposures is estimated by loan segment at each balance sheet date under the CECL model using the same methodologies as portfolio loans, taking into consideration the likelihood that funding will occur, and is included in other liabilities on the Company’s consolidated balance sheets.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Premises and Equipment</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Premises and equipment are stated at cost less accumulated depreciation. Depreciation is computed using the straight-line method over the estimated useful lives. Leasehold improvements are amortized over the lives of the respective leases or the estimated useful life of the leasehold improvement, whichever is less. Maintenance and repair costs are expensed as incurred. Obligations under capital leases are amortized using the interest method to allocate payments between principal reduction and interest expense.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Real Estate Owned</w:t>
      </w:r>
    </w:p>
    <w:p>
      <w:pPr>
        <w:spacing w:after="0" w:line="3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Foreclosed assets are initially recorded at fair value less costs to sell when acquired, establishing a new cost basis. Physical possession of real property collateralizing a loan occurs when legal title is obtained upon completion of foreclosure or when the borrower conveys all interest in the property to satisfy the loan through completion of a deed in lieu of foreclosure or through a similar legal agreement. These assets are subsequently accounted for at lower of cost or fair value less estimated costs to sell. If the fair value declines subsequent to foreclosure, a valuation allowance is recorded through expense. Operating costs after acquisition are expensed.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Bank Owned Life Insurance</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has purchased life insurance policies on certain key officers. BOLI is recorded at the amount that can be realized under the insurance contract at the balance sheet date, which is the cash surrender value adjusted for other charges or other amounts due that are probable at settlement.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Combinations</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uses the acquisition method of accounting for all business combinations. An acquirer must be identified for each business combination, and the acquisition date is the date the acquirer achieves control. The acquisition method of accounting requires the Company as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Goodwill</w:t>
      </w:r>
    </w:p>
    <w:p>
      <w:pPr>
        <w:spacing w:after="0" w:line="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2"/>
          <w:szCs w:val="12"/>
          <w:color w:val="auto"/>
        </w:rPr>
        <w:t>Goodwill represents the excess of the purchase price over the sum of the estimated fair values of the tangible and identifiable intangible assets acquired less the estimated fair value of the liabilities assumed in a business combination. Goodwill has an indefinite useful life and is evaluated for impairment annually in the fourth quarter of our fiscal year or more frequently if events and circumstances indicate that the asset might be impaired.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first assesses qualitative factors to determine whether it is more likely than not that the fair value of a reporting unit is less than its carrying amount as a basis for determining the need to perform the test for goodwill impairment (the qualitative method). If the qualitative method cannot be used or if the Company determines, based on the qualitative method, that the fair value is more likely than not less than the carrying amount, the Company compares the estimated fair value of a reporting unit with its carrying amount, including goodwill. If the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estimated fair value of a reporting unit exceeds its carrying amount, goodwill of the reporting unit is not considered impaired. If the carrying amount of a reporting unit exceeds its estimated fair value, the Company will record an impairment charge based on that difference. Our annual goodwill impairment test, the timing of which was adjusted to occur within the six-month transition period, did not identify any impairment for the six months ended December 31, 2023 or the years ended June 30, 2023 and June 30,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Core Deposit Intangibles</w:t>
      </w:r>
    </w:p>
    <w:p>
      <w:pPr>
        <w:spacing w:after="0" w:line="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Core deposit intangibles represent the estimated value of long-term deposit relationships acquired in business combinations. These core deposit premiums are amortized using an accelerated method over the estimated useful lives of the related deposits, typically between five and 10 years. The estimated useful lives are periodically reviewed for reasonableness.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Servicing Rights</w:t>
      </w:r>
    </w:p>
    <w:p>
      <w:pPr>
        <w:spacing w:after="0" w:line="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When loans are sold with servicing retained, servicing rights are initially recorded at fair value with the income statement effect recorded in gains on sales of loans. Fair value is based on market prices for comparable mortgage servicing contracts, when available or alternatively, is based on a valuation model that calculates the present value of estimated future net servicing income. All classes of servicing assets are subsequently measured using the amortization method which requires servicing rights to be amortized into noninterest income in proportion to, and over the period of, the estimated future net servicing income of the underlying loans.</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Servicing rights are evaluated for impairment based upon the fair value of the rights as compared to carrying amount. Impairment is determined by stratifying rights into groupings based on predominant risk characteristics, such as interest rate, loan type and investor type. Impairment is recognized through a valuation allowance for an individual grouping, to the extent that fair value is less than the carrying amount. If the Company later determines that all or a portion of the impairment no longer exists for a particular grouping, a reduction of the allowance may be recorded as an increase to income. Changes in valuation allowances are reported within loan income and fees on the income statement. The fair values of servicing rights are subject to significant fluctuations as a result of changes in estimated and actual prepayment speeds and default rates and losses.</w:t>
      </w:r>
    </w:p>
    <w:p>
      <w:pPr>
        <w:spacing w:after="0" w:line="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Servicing fee income, which is reported on the income statement as loan income and fees, is recorded for fees earned for servicing loans. The fees are based on a contractual percentage of the outstanding principal or a fixed amount per loan and are recorded as income when earned. The amortization of servicing rights is netted against loan servicing fee income. Late fees and ancillary fees related to loan servicing are not material.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from Contracts with Customers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records revenue from contracts with customers in accordance with ASC Topic 606, “Revenue from Contracts with Customers”. Under Topic 606, the Company must identify the contract with a customer, identify the performance obligations in the contract, determine the transaction price, allocate the transaction price to the performance obligations in the contract and recognize revenue when (or as) the Company satisfies a performance obligation. Significant revenue has not been recognized in the current reporting period that results from performance obligations satisfied in previous periods.</w:t>
      </w:r>
    </w:p>
    <w:p>
      <w:pPr>
        <w:spacing w:after="0" w:line="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primary sources of revenue are derived from interest and dividends earned on loans, investment securities and other financial instruments that are not within the scope of Topic 606. The Company has evaluated the nature of its contracts with customers and determined that further disaggregation of revenue from contracts with customers into more granular categories beyond what is presented in the Consolidated Statements of Income was not necessary. The Company generally fully satisfies its performance obligations on its contracts with customers as services are rendered and the transaction prices are typically fixed, charged either on a periodic basis or based on activity. Since performance obligations are satisfied as services are rendered and the transaction prices are fixed, the Company has made no significant judgments in applying the revenue guidance prescribed in ASC 606 that affect the determination of the amount and timing of revenue from contracts with customers.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Stock-Based Compensation</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issues restricted stock, restricted stock units and stock options under the HomeTrust Bancshares, Inc. 2022 Omnibus Incentive Plan (“2022 Omnibus Incentive Plan”) to key officers and outside directors. In accordance with the requirements of the FASB ASC 718, "Compensation – Stock Compensation," the Company has adopted a fair value based method of accounting for employee stock compensation plans, whereby compensation cost is measured based on the fair value of the award as of the grant date and recognized over the vesting period. The Company accounts for forfeitures as they occur.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income consists of net income and net unrealized gains (losses) on debt securities available for sale and is presented in the Consolidated Statements of Comprehensive Income.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if necessary, by the amount of such benefits that are not expected to be realized based upon available evidence. See "Note 12 – Income Taxes" for additional information.</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recognizes interest and penalties accrued relative to unrecognized tax benefits in its respective federal or state income taxes accounts. As of December 31, 2023, June 30, 2023 and June 30, 2022, there were no accruals for uncertain tax positions. As of December 31, 2023 and June 30, 2023, no interest or penalties were accrued compared to an accrual of $28 as of June 30, 2022.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Derivative Instruments and Hedging</w:t>
      </w:r>
    </w:p>
    <w:p>
      <w:pPr>
        <w:spacing w:after="0" w:line="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holds and issues derivative financial instruments such as IRLCs and other forward sale commitments. IRLCs are subject to pricing risk primarily related to fluctuations in market interest rates. To hedge the interest rate risk on certain IRLCs, the Company uses forward sale commitments such as TBAs or mandatory delivery commitments with investors. Management expects these forward sale commitments to experience changes in fair value opposite to the changes in fair value of the IRLCs, thereby reducing earnings volatility. Forward sale commitments are also used to hedge the interest rate risk on mortgage loans held for sale that are not committed to investors and still subject to price risk. If the mandatory delivery commitments are not fulfilled, the Company pays a pair-off fee. Best effort forward sale commitments are also executed with investors, whereby certain loans are locked with a borrower and simultaneously committed to an investor at a fixed price. If the best effort IRLC does not fund, there is no obligation to fulfill the investor commitment.</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considers various factors and strategies in determining what portion of the IRLCs and uncommitted mortgage loans held for sale to economically hedge. All derivative instruments are recognized as other assets or other liabilities on the consolidated statements of financial condition at their fair value. Changes in the fair value of the derivative instruments and gains and losses resulting from the pairing-out of forward sale commitments are recognized in the gain on sale of loans held for sale on the consolidated statements of income in the period in which they occur. The Company accounts for all derivative instruments as free-standing derivative instruments and does not designate any for hedge accounting.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per Share</w:t>
      </w:r>
    </w:p>
    <w:p>
      <w:pPr>
        <w:spacing w:after="0" w:line="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Basic EPS is computed by dividing net income by the weighted-average number of common shares outstanding for the year, less the average number of nonvested restricted stock awards. Diluted EPS reflects the potential dilution from the issuance of additional shares of common stock caused by the exercise of stock options and restricted stock awards. In addition, nonvested share-based payment awards that contain nonforfeitable rights to dividends or dividend equivalents are considered participating securities and are included in the computation of EPS pursuant to the two-class method. The two-class method is an earnings allocation formula that determines EPS for each class of common stock and participating security according to dividends declared (or accumulated) and participation rights in undistributed earnings. ESOP shares are considered outstanding for basic and diluted EPS when the shares are committed to be released. Net income is allocated between the common stock and participating securities pursuant to the two-class method, based on their rights to receive dividends, participate in earnings, or absorb losses. See "Note 16 – Net Income per Share" for further discussion on the Company’s EPS.</w:t>
      </w:r>
    </w:p>
    <w:p>
      <w:pPr>
        <w:spacing w:after="0" w:line="93" w:lineRule="exact"/>
        <w:rPr>
          <w:sz w:val="20"/>
          <w:szCs w:val="20"/>
          <w:color w:val="auto"/>
        </w:rPr>
      </w:pPr>
    </w:p>
    <w:p>
      <w:pPr>
        <w:jc w:val="both"/>
        <w:ind w:right="9180" w:firstLine="5"/>
        <w:spacing w:after="0" w:line="313" w:lineRule="auto"/>
        <w:tabs>
          <w:tab w:leader="none" w:pos="127"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Recent Accounting Pronouncements </w:t>
      </w:r>
      <w:r>
        <w:rPr>
          <w:rFonts w:ascii="Times New Roman" w:cs="Times New Roman" w:eastAsia="Times New Roman" w:hAnsi="Times New Roman"/>
          <w:sz w:val="12"/>
          <w:szCs w:val="12"/>
          <w:b w:val="1"/>
          <w:bCs w:val="1"/>
          <w:i w:val="1"/>
          <w:iCs w:val="1"/>
          <w:color w:val="auto"/>
        </w:rPr>
        <w:t>Adoption of New Accounting Standards</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i w:val="1"/>
          <w:iCs w:val="1"/>
          <w:color w:val="auto"/>
        </w:rPr>
        <w:t xml:space="preserve">ASU 2016-13, "Financial Instruments—Credit Losses (Topic 326): Measurement of Credit Losses on Financial Instruments." </w:t>
      </w:r>
      <w:r>
        <w:rPr>
          <w:rFonts w:ascii="Times New Roman" w:cs="Times New Roman" w:eastAsia="Times New Roman" w:hAnsi="Times New Roman"/>
          <w:sz w:val="13"/>
          <w:szCs w:val="13"/>
          <w:color w:val="auto"/>
        </w:rPr>
        <w:t>In June 2016, the FASB issued ASU 2016-13 which made significant changes to the ACL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financial instruments presented on an amortized cost basis and disclosures about them. The CECL impairment model requires an estimate of ECLs, measured over the contractual life of an instrument, which considers reasonable and supportable forecasts of future economic conditions in addition to information about past events and current conditions. The standard provides significant flexibility and requires a high degree of judgment with regards to pooling financial assets with similar risk characteristics and adjusting the relevant historical loss information in order to develop an estimate of expected lifetime losses. ASU 2016-13 permits the use of estimation techniques that are practical and relevant to the Company’s circumstances, as long as they are applied consistently over time and faithfully estimate ECLs in accordance with the standard. The ASU lists several common credit loss methods that are acceptable such as a DCF method, loss-rate method and roll-rate method. In addition, ASU 2016-13 amended the ACL on debt securities and purchased financial assets with credit deterioration.</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adopted ASU 2016-13 on July 1, 2020 using the modified retrospective approach. Results for the periods beginning after July 1, 2020 are presented under ASC 326 while prior period amounts continue to be reported in accordance with previously applicable US GAAP. The Company recorded a net reduction of retained earnings of $13,358 upon adoption. The transition adjustment included an increase in the ACL on loans of $14,809, an increase in the ACL on off-balance sheet credit exposures of $2,288, and the establishment of an ACL on commercial paper of $250, net of the corresponding increases in deferred tax assets of $3,989. The adoption of this ASU did not have an effect on AFS debt securities.</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adopted ASU 2016-13 using the prospective transition approach for PCD financial assets that were previously classified as PCI and accounted for under ASC 310-30. In accordance with the standard, the Company did not reassess whether PCI assets met the criteria of PCD assets as of the date of adoption. The remaining discount on the PCD assets was determined to be related to noncredit factors and will be accreted into interest income on a level-yield method over the life of the loans.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ASU 2022-02, "Financial Instruments—Credit Losses (Topic 326): Troubled Debt Restructurings and Vintage Disclosures." </w:t>
      </w:r>
      <w:r>
        <w:rPr>
          <w:rFonts w:ascii="Times New Roman" w:cs="Times New Roman" w:eastAsia="Times New Roman" w:hAnsi="Times New Roman"/>
          <w:sz w:val="12"/>
          <w:szCs w:val="12"/>
          <w:color w:val="auto"/>
        </w:rPr>
        <w:t>This ASU eliminates the TDR recognition and measurement guidance and requires that an entity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adopted the standard using the modified retrospective transition method on July 1, 2023. The adoption of this ASU did not have a material impact on the Company's ACL, but as a result of the elimination of the concept of troubled debt restructurings, the balance of individually evaluated loans decreased by $1.9 million. The changes to financial statement disclosures have been reflected in this filing, specifically "Note 6 – Loans and Allowance for Credit Losses on Loans".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Newly Issued but Not Yet Effective Accounting Standards</w:t>
      </w:r>
    </w:p>
    <w:p>
      <w:pPr>
        <w:spacing w:after="0" w:line="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i w:val="1"/>
          <w:iCs w:val="1"/>
          <w:color w:val="auto"/>
        </w:rPr>
        <w:t xml:space="preserve">ASU 2023-07, "Segment Reporting (Topic 280): Improvements to Reportable Segment Disclosures." </w:t>
      </w:r>
      <w:r>
        <w:rPr>
          <w:rFonts w:ascii="Times New Roman" w:cs="Times New Roman" w:eastAsia="Times New Roman" w:hAnsi="Times New Roman"/>
          <w:sz w:val="13"/>
          <w:szCs w:val="13"/>
          <w:color w:val="auto"/>
        </w:rPr>
        <w:t>In November 2023, the FASB issued ASU 2023-07 which will require public entities to disclose information about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reportable segments' significant expenses on an interim and annual basis. Public entities will be required to disclose other segment items for each reportable segment and provide a description of its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composition. Significant expense categories are derived from expenses that are regularly reported to an entity's chief operating decision-makers and included in a segments' reported measures of profit or loss. The ASU will also require for an entity to disclose the title and position of the chief operating decision-maker and explain how the chief operating decision-maker uses the reported measures of profit or loss to assess segment performance. Lastly, ASU 2023-07 also requires interim disclosures of certain segment-related disclosures that previously were required only on an annual basis and clarifies that entities with a single reportable segment are subject to both new and existing segment reporting requirements under Topic 280.</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ASU 2023-07 is effective for fiscal years beginning after December 15, 2023 and interim periods within fiscal years beginning after December 15, 2024. The ASU requires entities to adopt the changes to the segment reporting guidance on a retrospective basis and early adoption is permitted. The adoption of the provisions of ASU 2023-07 is not expected to have an impact on the Company's financial results, but will impact disclosures.</w:t>
      </w:r>
    </w:p>
    <w:p>
      <w:pPr>
        <w:spacing w:after="0" w:line="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ASU 2023-09, "Income Taxes (Topic 740): Improvements to Income Tax Disclosures." </w:t>
      </w:r>
      <w:r>
        <w:rPr>
          <w:rFonts w:ascii="Times New Roman" w:cs="Times New Roman" w:eastAsia="Times New Roman" w:hAnsi="Times New Roman"/>
          <w:sz w:val="13"/>
          <w:szCs w:val="13"/>
          <w:color w:val="auto"/>
        </w:rPr>
        <w:t>In December 2023, the FASB issued ASU 2023-09 which requires entities to disclose more detailed information in the reconciliation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their statutory tax rate to their effective tax rate. The ASU also requires entities to disclose more detailed information about income taxes paid, including by jurisdiction. This ASU is effective for public business entities for annual reporting periods beginning after December 15, 2024 and interim periods beginning after December 15, 2025. The adoption of the provisions of ASU 2023-09 is not expected to have an impact on the Company's financial results, but will impact disclosures.</w:t>
      </w:r>
    </w:p>
    <w:p>
      <w:pPr>
        <w:spacing w:after="0" w:line="91"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Merger with Quantum</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February 12, 2023, the Company merged with Quantum which operated two locations in the Atlanta metro area. The aggregate amount of consideration to be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spacing w:after="0" w:line="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The following table provides a summary of the assets acquired, liabilities assumed, associated preliminary fair value adjustments and provisional period adjustments by the Company as of the merger date. As provided for under US GAAP, management has up to 12 months following the date of merger to finalize the fair value adjustments.</w:t>
      </w:r>
    </w:p>
    <w:tbl>
      <w:tblPr>
        <w:tblLayout w:type="fixed"/>
        <w:tblInd w:w="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Quantum</w:t>
            </w:r>
          </w:p>
        </w:tc>
        <w:tc>
          <w:tcPr>
            <w:tcW w:w="20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120" w:type="dxa"/>
            <w:vAlign w:val="bottom"/>
          </w:tcPr>
          <w:p>
            <w:pPr>
              <w:spacing w:after="0"/>
              <w:rPr>
                <w:sz w:val="11"/>
                <w:szCs w:val="11"/>
                <w:color w:val="auto"/>
              </w:rPr>
            </w:pPr>
          </w:p>
        </w:tc>
        <w:tc>
          <w:tcPr>
            <w:tcW w:w="128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3"/>
                <w:szCs w:val="13"/>
                <w:b w:val="1"/>
                <w:bCs w:val="1"/>
                <w:color w:val="auto"/>
                <w:w w:val="97"/>
              </w:rPr>
              <w:t>Provisional Period</w:t>
            </w:r>
          </w:p>
        </w:tc>
        <w:tc>
          <w:tcPr>
            <w:tcW w:w="160" w:type="dxa"/>
            <w:vAlign w:val="bottom"/>
          </w:tcPr>
          <w:p>
            <w:pPr>
              <w:spacing w:after="0"/>
              <w:rPr>
                <w:sz w:val="11"/>
                <w:szCs w:val="11"/>
                <w:color w:val="auto"/>
              </w:rPr>
            </w:pPr>
          </w:p>
        </w:tc>
        <w:tc>
          <w:tcPr>
            <w:tcW w:w="1160" w:type="dxa"/>
            <w:vAlign w:val="bottom"/>
          </w:tcPr>
          <w:p>
            <w:pPr>
              <w:jc w:val="right"/>
              <w:ind w:right="156"/>
              <w:spacing w:after="0" w:line="131" w:lineRule="exact"/>
              <w:rPr>
                <w:sz w:val="20"/>
                <w:szCs w:val="20"/>
                <w:color w:val="auto"/>
              </w:rPr>
            </w:pPr>
            <w:r>
              <w:rPr>
                <w:rFonts w:ascii="Times New Roman" w:cs="Times New Roman" w:eastAsia="Times New Roman" w:hAnsi="Times New Roman"/>
                <w:sz w:val="13"/>
                <w:szCs w:val="13"/>
                <w:b w:val="1"/>
                <w:bCs w:val="1"/>
                <w:color w:val="auto"/>
              </w:rPr>
              <w:t>As Recorded by</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6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HomeTrust</w:t>
            </w:r>
          </w:p>
        </w:tc>
        <w:tc>
          <w:tcPr>
            <w:tcW w:w="0" w:type="dxa"/>
            <w:vAlign w:val="bottom"/>
          </w:tcPr>
          <w:p>
            <w:pPr>
              <w:spacing w:after="0"/>
              <w:rPr>
                <w:sz w:val="1"/>
                <w:szCs w:val="1"/>
                <w:color w:val="auto"/>
              </w:rPr>
            </w:pPr>
          </w:p>
        </w:tc>
      </w:tr>
      <w:tr>
        <w:trPr>
          <w:trHeight w:val="15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 acquired</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47,769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47,769</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3"/>
                <w:szCs w:val="13"/>
                <w:color w:val="auto"/>
              </w:rPr>
              <w:t>Loans</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561,933</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Premises and equipment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BOLI</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9,066</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Core deposit intangibles</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12,210</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3,117</w:t>
            </w:r>
          </w:p>
        </w:tc>
        <w:tc>
          <w:tcPr>
            <w:tcW w:w="0" w:type="dxa"/>
            <w:vAlign w:val="bottom"/>
          </w:tcPr>
          <w:p>
            <w:pPr>
              <w:spacing w:after="0"/>
              <w:rPr>
                <w:sz w:val="1"/>
                <w:szCs w:val="1"/>
                <w:color w:val="auto"/>
              </w:rPr>
            </w:pPr>
          </w:p>
        </w:tc>
      </w:tr>
      <w:tr>
        <w:trPr>
          <w:trHeight w:val="188"/>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 acquired</w:t>
            </w: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644,556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656,617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assumed</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Deposits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570,419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570,602</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borrowings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0" w:type="dxa"/>
            <w:vAlign w:val="bottom"/>
          </w:tcPr>
          <w:p>
            <w:pPr>
              <w:spacing w:after="0"/>
              <w:rPr>
                <w:sz w:val="1"/>
                <w:szCs w:val="1"/>
                <w:color w:val="auto"/>
              </w:rPr>
            </w:pPr>
          </w:p>
        </w:tc>
      </w:tr>
      <w:tr>
        <w:trPr>
          <w:trHeight w:val="170"/>
        </w:trPr>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0" w:type="dxa"/>
            <w:vAlign w:val="bottom"/>
          </w:tcPr>
          <w:p>
            <w:pPr>
              <w:spacing w:after="0"/>
              <w:rPr>
                <w:sz w:val="1"/>
                <w:szCs w:val="1"/>
                <w:color w:val="auto"/>
              </w:rPr>
            </w:pPr>
          </w:p>
        </w:tc>
      </w:tr>
      <w:tr>
        <w:trPr>
          <w:trHeight w:val="163"/>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 assumed</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609,822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610,188</w:t>
            </w:r>
          </w:p>
        </w:tc>
        <w:tc>
          <w:tcPr>
            <w:tcW w:w="0" w:type="dxa"/>
            <w:vAlign w:val="bottom"/>
          </w:tcPr>
          <w:p>
            <w:pPr>
              <w:spacing w:after="0"/>
              <w:rPr>
                <w:sz w:val="1"/>
                <w:szCs w:val="1"/>
                <w:color w:val="auto"/>
              </w:rPr>
            </w:pPr>
          </w:p>
        </w:tc>
      </w:tr>
      <w:tr>
        <w:trPr>
          <w:trHeight w:val="22"/>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 acquired</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Quantum</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560" w:type="dxa"/>
            <w:vAlign w:val="bottom"/>
            <w:gridSpan w:val="3"/>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Provisional Period</w:t>
            </w: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As Recorded by</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560" w:type="dxa"/>
            <w:vAlign w:val="bottom"/>
            <w:gridSpan w:val="3"/>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16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HomeTrust</w:t>
            </w:r>
          </w:p>
        </w:tc>
        <w:tc>
          <w:tcPr>
            <w:tcW w:w="0" w:type="dxa"/>
            <w:vAlign w:val="bottom"/>
          </w:tcPr>
          <w:p>
            <w:pPr>
              <w:spacing w:after="0"/>
              <w:rPr>
                <w:sz w:val="1"/>
                <w:szCs w:val="1"/>
                <w:color w:val="auto"/>
              </w:rPr>
            </w:pPr>
          </w:p>
        </w:tc>
      </w:tr>
      <w:tr>
        <w:trPr>
          <w:trHeight w:val="151"/>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Consideration paid</w:t>
            </w: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6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Common stock consideration</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of Quantum</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574,157</w:t>
            </w:r>
          </w:p>
        </w:tc>
        <w:tc>
          <w:tcPr>
            <w:tcW w:w="0" w:type="dxa"/>
            <w:vAlign w:val="bottom"/>
          </w:tcPr>
          <w:p>
            <w:pPr>
              <w:spacing w:after="0"/>
              <w:rPr>
                <w:sz w:val="1"/>
                <w:szCs w:val="1"/>
                <w:color w:val="auto"/>
              </w:rPr>
            </w:pPr>
          </w:p>
        </w:tc>
      </w:tr>
      <w:tr>
        <w:trPr>
          <w:trHeight w:val="168"/>
        </w:trPr>
        <w:tc>
          <w:tcPr>
            <w:tcW w:w="71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3"/>
                <w:szCs w:val="13"/>
                <w:color w:val="auto"/>
              </w:rPr>
              <w:t>Exchange ratio</w:t>
            </w: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2.3942</w:t>
            </w:r>
          </w:p>
        </w:tc>
        <w:tc>
          <w:tcPr>
            <w:tcW w:w="0" w:type="dxa"/>
            <w:vAlign w:val="bottom"/>
          </w:tcPr>
          <w:p>
            <w:pPr>
              <w:spacing w:after="0"/>
              <w:rPr>
                <w:sz w:val="1"/>
                <w:szCs w:val="1"/>
                <w:color w:val="auto"/>
              </w:rPr>
            </w:pPr>
          </w:p>
        </w:tc>
      </w:tr>
      <w:tr>
        <w:trPr>
          <w:trHeight w:val="163"/>
        </w:trPr>
        <w:tc>
          <w:tcPr>
            <w:tcW w:w="7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HomeTrust common stock issued</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1,374,647</w:t>
            </w:r>
          </w:p>
        </w:tc>
        <w:tc>
          <w:tcPr>
            <w:tcW w:w="0" w:type="dxa"/>
            <w:vAlign w:val="bottom"/>
          </w:tcPr>
          <w:p>
            <w:pPr>
              <w:spacing w:after="0"/>
              <w:rPr>
                <w:sz w:val="1"/>
                <w:szCs w:val="1"/>
                <w:color w:val="auto"/>
              </w:rPr>
            </w:pPr>
          </w:p>
        </w:tc>
      </w:tr>
      <w:tr>
        <w:trPr>
          <w:trHeight w:val="168"/>
        </w:trPr>
        <w:tc>
          <w:tcPr>
            <w:tcW w:w="71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Price per share of HomeTrust common stock on February 10, 2023</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0" w:type="dxa"/>
            <w:vAlign w:val="bottom"/>
          </w:tcPr>
          <w:p>
            <w:pPr>
              <w:spacing w:after="0"/>
              <w:rPr>
                <w:sz w:val="1"/>
                <w:szCs w:val="1"/>
                <w:color w:val="auto"/>
              </w:rPr>
            </w:pPr>
          </w:p>
        </w:tc>
      </w:tr>
      <w:tr>
        <w:trPr>
          <w:trHeight w:val="163"/>
        </w:trPr>
        <w:tc>
          <w:tcPr>
            <w:tcW w:w="716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HomeTrust common stock consideration</w:t>
            </w:r>
          </w:p>
        </w:tc>
        <w:tc>
          <w:tcPr>
            <w:tcW w:w="1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37,734</w:t>
            </w:r>
          </w:p>
        </w:tc>
        <w:tc>
          <w:tcPr>
            <w:tcW w:w="0" w:type="dxa"/>
            <w:vAlign w:val="bottom"/>
          </w:tcPr>
          <w:p>
            <w:pPr>
              <w:spacing w:after="0"/>
              <w:rPr>
                <w:sz w:val="1"/>
                <w:szCs w:val="1"/>
                <w:color w:val="auto"/>
              </w:rPr>
            </w:pPr>
          </w:p>
        </w:tc>
      </w:tr>
      <w:tr>
        <w:trPr>
          <w:trHeight w:val="170"/>
        </w:trPr>
        <w:tc>
          <w:tcPr>
            <w:tcW w:w="7160" w:type="dxa"/>
            <w:vAlign w:val="bottom"/>
            <w:tcBorders>
              <w:bottom w:val="single" w:sz="8" w:color="CCEEFF"/>
            </w:tcBorders>
            <w:gridSpan w:val="3"/>
          </w:tcPr>
          <w:p>
            <w:pPr>
              <w:ind w:left="80"/>
              <w:spacing w:after="0" w:line="170" w:lineRule="exact"/>
              <w:rPr>
                <w:sz w:val="20"/>
                <w:szCs w:val="20"/>
                <w:color w:val="auto"/>
              </w:rPr>
            </w:pPr>
            <w:r>
              <w:rPr>
                <w:rFonts w:ascii="Times New Roman" w:cs="Times New Roman" w:eastAsia="Times New Roman" w:hAnsi="Times New Roman"/>
                <w:sz w:val="13"/>
                <w:szCs w:val="13"/>
                <w:color w:val="auto"/>
              </w:rPr>
              <w:t>Cash consideration</w:t>
            </w:r>
            <w:r>
              <w:rPr>
                <w:rFonts w:ascii="Times New Roman" w:cs="Times New Roman" w:eastAsia="Times New Roman" w:hAnsi="Times New Roman"/>
                <w:sz w:val="16"/>
                <w:szCs w:val="16"/>
                <w:color w:val="auto"/>
                <w:vertAlign w:val="superscript"/>
              </w:rPr>
              <w:t>(2)</w:t>
            </w: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17,168</w:t>
            </w:r>
          </w:p>
        </w:tc>
        <w:tc>
          <w:tcPr>
            <w:tcW w:w="0" w:type="dxa"/>
            <w:vAlign w:val="bottom"/>
          </w:tcPr>
          <w:p>
            <w:pPr>
              <w:spacing w:after="0"/>
              <w:rPr>
                <w:sz w:val="1"/>
                <w:szCs w:val="1"/>
                <w:color w:val="auto"/>
              </w:rPr>
            </w:pPr>
          </w:p>
        </w:tc>
      </w:tr>
      <w:tr>
        <w:trPr>
          <w:trHeight w:val="185"/>
        </w:trPr>
        <w:tc>
          <w:tcPr>
            <w:tcW w:w="71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54,902</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260" w:hanging="255"/>
        <w:spacing w:after="0" w:line="287" w:lineRule="auto"/>
        <w:tabs>
          <w:tab w:leader="none" w:pos="259"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jc w:val="both"/>
        <w:ind w:left="260" w:hanging="255"/>
        <w:spacing w:after="0" w:line="257" w:lineRule="auto"/>
        <w:tabs>
          <w:tab w:leader="none" w:pos="259" w:val="left"/>
        </w:tabs>
        <w:numPr>
          <w:ilvl w:val="0"/>
          <w:numId w:val="2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Goodwill of $8,473 arising from the merger consisted largely of synergies and the cost saves resulting from the combining of operations of the companies, and is not expected to be deductible for income tax purposes.</w:t>
      </w:r>
    </w:p>
    <w:p>
      <w:pPr>
        <w:spacing w:after="0" w:line="50"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Debt Securities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Debt securities available for sale consist of the following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14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Losses</w:t>
            </w:r>
          </w:p>
        </w:tc>
        <w:tc>
          <w:tcPr>
            <w:tcW w:w="340" w:type="dxa"/>
            <w:vAlign w:val="bottom"/>
          </w:tcPr>
          <w:p>
            <w:pPr>
              <w:spacing w:after="0"/>
              <w:rPr>
                <w:sz w:val="10"/>
                <w:szCs w:val="10"/>
                <w:color w:val="auto"/>
              </w:rPr>
            </w:pPr>
          </w:p>
        </w:tc>
        <w:tc>
          <w:tcPr>
            <w:tcW w:w="1420" w:type="dxa"/>
            <w:vAlign w:val="bottom"/>
          </w:tcPr>
          <w:p>
            <w:pPr>
              <w:jc w:val="right"/>
              <w:ind w:right="53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105,477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104,499</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0" w:type="dxa"/>
            <w:vAlign w:val="bottom"/>
          </w:tcPr>
          <w:p>
            <w:pPr>
              <w:spacing w:after="0"/>
              <w:rPr>
                <w:sz w:val="1"/>
                <w:szCs w:val="1"/>
                <w:color w:val="auto"/>
              </w:rPr>
            </w:pPr>
          </w:p>
        </w:tc>
      </w:tr>
      <w:tr>
        <w:trPr>
          <w:trHeight w:val="160"/>
        </w:trPr>
        <w:tc>
          <w:tcPr>
            <w:tcW w:w="39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128,964</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14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Losses</w:t>
            </w:r>
          </w:p>
        </w:tc>
        <w:tc>
          <w:tcPr>
            <w:tcW w:w="340" w:type="dxa"/>
            <w:vAlign w:val="bottom"/>
          </w:tcPr>
          <w:p>
            <w:pPr>
              <w:spacing w:after="0"/>
              <w:rPr>
                <w:sz w:val="10"/>
                <w:szCs w:val="10"/>
                <w:color w:val="auto"/>
              </w:rPr>
            </w:pPr>
          </w:p>
        </w:tc>
        <w:tc>
          <w:tcPr>
            <w:tcW w:w="1420" w:type="dxa"/>
            <w:vAlign w:val="bottom"/>
          </w:tcPr>
          <w:p>
            <w:pPr>
              <w:jc w:val="right"/>
              <w:ind w:right="53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107,414</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26,410</w:t>
            </w: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6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Gains</w:t>
            </w:r>
          </w:p>
        </w:tc>
        <w:tc>
          <w:tcPr>
            <w:tcW w:w="140" w:type="dxa"/>
            <w:vAlign w:val="bottom"/>
          </w:tcPr>
          <w:p>
            <w:pPr>
              <w:spacing w:after="0"/>
              <w:rPr>
                <w:sz w:val="10"/>
                <w:szCs w:val="10"/>
                <w:color w:val="auto"/>
              </w:rPr>
            </w:pPr>
          </w:p>
        </w:tc>
        <w:tc>
          <w:tcPr>
            <w:tcW w:w="1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Gross Unrealized Losses</w:t>
            </w:r>
          </w:p>
        </w:tc>
        <w:tc>
          <w:tcPr>
            <w:tcW w:w="340" w:type="dxa"/>
            <w:vAlign w:val="bottom"/>
          </w:tcPr>
          <w:p>
            <w:pPr>
              <w:spacing w:after="0"/>
              <w:rPr>
                <w:sz w:val="10"/>
                <w:szCs w:val="10"/>
                <w:color w:val="auto"/>
              </w:rPr>
            </w:pPr>
          </w:p>
        </w:tc>
        <w:tc>
          <w:tcPr>
            <w:tcW w:w="1420" w:type="dxa"/>
            <w:vAlign w:val="bottom"/>
          </w:tcPr>
          <w:p>
            <w:pPr>
              <w:jc w:val="right"/>
              <w:ind w:right="536"/>
              <w:spacing w:after="0" w:line="120"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0" w:type="dxa"/>
            <w:vAlign w:val="bottom"/>
          </w:tcPr>
          <w:p>
            <w:pPr>
              <w:spacing w:after="0"/>
              <w:rPr>
                <w:sz w:val="1"/>
                <w:szCs w:val="1"/>
                <w:color w:val="auto"/>
              </w:rPr>
            </w:pPr>
          </w:p>
        </w:tc>
      </w:tr>
      <w:tr>
        <w:trPr>
          <w:trHeight w:val="168"/>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57,184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0" w:type="dxa"/>
            <w:vAlign w:val="bottom"/>
          </w:tcPr>
          <w:p>
            <w:pPr>
              <w:spacing w:after="0"/>
              <w:rPr>
                <w:sz w:val="1"/>
                <w:szCs w:val="1"/>
                <w:color w:val="auto"/>
              </w:rPr>
            </w:pPr>
          </w:p>
        </w:tc>
      </w:tr>
      <w:tr>
        <w:trPr>
          <w:trHeight w:val="188"/>
        </w:trPr>
        <w:tc>
          <w:tcPr>
            <w:tcW w:w="3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130,099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Debt securities available for sale by contractual maturity at December 31, 2023, June 30, 2023 and June 30, 2022 are shown below. MBS are not included in the maturity categories because the borrowers in the underlying pools may prepay without penalty; therefore, it is unlikely that the securities will pay at their stated maturity schedule.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436"/>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r>
      <w:tr>
        <w:trPr>
          <w:trHeight w:val="161"/>
        </w:trPr>
        <w:tc>
          <w:tcPr>
            <w:tcW w:w="72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Estimated Fair Value</w:t>
            </w:r>
          </w:p>
        </w:tc>
      </w:tr>
      <w:tr>
        <w:trPr>
          <w:trHeight w:val="16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1460" w:type="dxa"/>
            <w:vAlign w:val="bottom"/>
            <w:shd w:val="clear" w:color="auto" w:fill="CCEEFF"/>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14,848</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14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14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104,499</w:t>
            </w:r>
          </w:p>
        </w:tc>
      </w:tr>
      <w:tr>
        <w:trPr>
          <w:trHeight w:val="163"/>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60" w:type="dxa"/>
            <w:vAlign w:val="bottom"/>
            <w:tcBorders>
              <w:bottom w:val="single" w:sz="8" w:color="auto"/>
            </w:tcBorders>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128,964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126,950</w:t>
            </w:r>
          </w:p>
        </w:tc>
      </w:tr>
      <w:tr>
        <w:trPr>
          <w:trHeight w:val="20"/>
        </w:trPr>
        <w:tc>
          <w:tcPr>
            <w:tcW w:w="7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600" w:type="dxa"/>
            <w:vAlign w:val="bottom"/>
            <w:tcBorders>
              <w:bottom w:val="single" w:sz="8" w:color="auto"/>
            </w:tcBorders>
          </w:tcPr>
          <w:p>
            <w:pPr>
              <w:spacing w:after="0"/>
              <w:rPr>
                <w:sz w:val="14"/>
                <w:szCs w:val="14"/>
                <w:color w:val="auto"/>
              </w:rPr>
            </w:pPr>
          </w:p>
        </w:tc>
      </w:tr>
      <w:tr>
        <w:trPr>
          <w:trHeight w:val="161"/>
        </w:trPr>
        <w:tc>
          <w:tcPr>
            <w:tcW w:w="72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8"/>
              </w:rPr>
              <w:t>Estimated Fair Value</w:t>
            </w:r>
          </w:p>
        </w:tc>
      </w:tr>
      <w:tr>
        <w:trPr>
          <w:trHeight w:val="16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1460" w:type="dxa"/>
            <w:vAlign w:val="bottom"/>
            <w:shd w:val="clear" w:color="auto" w:fill="CCEEFF"/>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37,060</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2,903</w:t>
            </w: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4,549</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14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14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110,865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107,414</w:t>
            </w:r>
          </w:p>
        </w:tc>
      </w:tr>
      <w:tr>
        <w:trPr>
          <w:trHeight w:val="163"/>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60" w:type="dxa"/>
            <w:vAlign w:val="bottom"/>
            <w:tcBorders>
              <w:bottom w:val="single" w:sz="8" w:color="auto"/>
            </w:tcBorders>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157,251</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151,926</w:t>
            </w:r>
          </w:p>
        </w:tc>
      </w:tr>
      <w:tr>
        <w:trPr>
          <w:trHeight w:val="20"/>
        </w:trPr>
        <w:tc>
          <w:tcPr>
            <w:tcW w:w="7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0" w:type="dxa"/>
            <w:vAlign w:val="bottom"/>
            <w:tcBorders>
              <w:bottom w:val="single" w:sz="8" w:color="auto"/>
            </w:tcBorders>
          </w:tcPr>
          <w:p>
            <w:pPr>
              <w:spacing w:after="0"/>
              <w:rPr>
                <w:sz w:val="14"/>
                <w:szCs w:val="14"/>
                <w:color w:val="auto"/>
              </w:rPr>
            </w:pPr>
          </w:p>
        </w:tc>
      </w:tr>
      <w:tr>
        <w:trPr>
          <w:trHeight w:val="161"/>
        </w:trPr>
        <w:tc>
          <w:tcPr>
            <w:tcW w:w="72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8"/>
              </w:rPr>
              <w:t>Estimated Fair Value</w:t>
            </w:r>
          </w:p>
        </w:tc>
      </w:tr>
      <w:tr>
        <w:trPr>
          <w:trHeight w:val="16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within one year</w:t>
            </w:r>
          </w:p>
        </w:tc>
        <w:tc>
          <w:tcPr>
            <w:tcW w:w="1460" w:type="dxa"/>
            <w:vAlign w:val="bottom"/>
            <w:shd w:val="clear" w:color="auto" w:fill="CCEEFF"/>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34,956</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one year through five years</w:t>
            </w:r>
          </w:p>
        </w:tc>
        <w:tc>
          <w:tcPr>
            <w:tcW w:w="1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39,018</w:t>
            </w: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after five years through ten years</w:t>
            </w:r>
          </w:p>
        </w:tc>
        <w:tc>
          <w:tcPr>
            <w:tcW w:w="14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5,771</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after ten years</w:t>
            </w:r>
          </w:p>
        </w:tc>
        <w:tc>
          <w:tcPr>
            <w:tcW w:w="14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14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48,377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47,233</w:t>
            </w:r>
          </w:p>
        </w:tc>
      </w:tr>
      <w:tr>
        <w:trPr>
          <w:trHeight w:val="163"/>
        </w:trPr>
        <w:tc>
          <w:tcPr>
            <w:tcW w:w="7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60" w:type="dxa"/>
            <w:vAlign w:val="bottom"/>
            <w:tcBorders>
              <w:bottom w:val="single" w:sz="8" w:color="auto"/>
            </w:tcBorders>
          </w:tcPr>
          <w:p>
            <w:pPr>
              <w:jc w:val="right"/>
              <w:ind w:right="134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130,099</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126,978</w:t>
            </w:r>
          </w:p>
        </w:tc>
      </w:tr>
      <w:tr>
        <w:trPr>
          <w:trHeight w:val="20"/>
        </w:trPr>
        <w:tc>
          <w:tcPr>
            <w:tcW w:w="7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During the year ended June 30, 2022, the Company received proceeds of $1,895 from the sale of seven trust preferred securities, recognizing gross gains of $1,895. These securities had previously been written down to zero through purchase accounting adjustments from a merger in a prior period and continued to be carried at this amount as there was no active market, therefore the full amount of the proceeds received were recognized as a gain. The Company had no sales of debt securities available for sale and no gross realized gains or losses were recognized during the six months ended December 31, 2023 or the fiscal years ended June 30, 2023 and June 30, 2022.</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Debt securities available for sale with amortized costs totaling $43,846, $42,329 and $43,187 and market values of $43,144, $40,475 and $41,876 at December 31, 2023, June 30, 2023 and June 30, 2022, respectively, were pledged as collateral to secure various public deposits and other borrowings.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gross unrealized losses and the fair value of debt securities available for sale aggregated by the length of time that individual securities have been in a continuous unrealized loss position as of December 31,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June 30, 2023 and June 30, 2022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12 Months or More</w:t>
            </w:r>
          </w:p>
        </w:tc>
        <w:tc>
          <w:tcPr>
            <w:tcW w:w="220" w:type="dxa"/>
            <w:vAlign w:val="bottom"/>
          </w:tcPr>
          <w:p>
            <w:pPr>
              <w:spacing w:after="0"/>
              <w:rPr>
                <w:sz w:val="14"/>
                <w:szCs w:val="14"/>
                <w:color w:val="auto"/>
              </w:rPr>
            </w:pPr>
          </w:p>
        </w:tc>
        <w:tc>
          <w:tcPr>
            <w:tcW w:w="110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4"/>
                <w:szCs w:val="14"/>
                <w:color w:val="auto"/>
              </w:rPr>
            </w:pPr>
          </w:p>
        </w:tc>
      </w:tr>
      <w:tr>
        <w:trPr>
          <w:trHeight w:val="119"/>
        </w:trPr>
        <w:tc>
          <w:tcPr>
            <w:tcW w:w="4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4"/>
              </w:rPr>
              <w:t>Losses</w:t>
            </w:r>
          </w:p>
        </w:tc>
      </w:tr>
      <w:tr>
        <w:trPr>
          <w:trHeight w:val="16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46,978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82,178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(2,172)</w:t>
            </w: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17,674</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r>
      <w:tr>
        <w:trPr>
          <w:trHeight w:val="163"/>
        </w:trPr>
        <w:tc>
          <w:tcPr>
            <w:tcW w:w="44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47,596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56,283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103,879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(3,208)</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5"/>
        </w:trPr>
        <w:tc>
          <w:tcPr>
            <w:tcW w:w="4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2023</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12 Months or More</w:t>
            </w:r>
          </w:p>
        </w:tc>
        <w:tc>
          <w:tcPr>
            <w:tcW w:w="220" w:type="dxa"/>
            <w:vAlign w:val="bottom"/>
          </w:tcPr>
          <w:p>
            <w:pPr>
              <w:spacing w:after="0"/>
              <w:rPr>
                <w:sz w:val="14"/>
                <w:szCs w:val="14"/>
                <w:color w:val="auto"/>
              </w:rPr>
            </w:pPr>
          </w:p>
        </w:tc>
        <w:tc>
          <w:tcPr>
            <w:tcW w:w="110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4"/>
                <w:szCs w:val="14"/>
                <w:color w:val="auto"/>
              </w:rPr>
            </w:pPr>
          </w:p>
        </w:tc>
      </w:tr>
      <w:tr>
        <w:trPr>
          <w:trHeight w:val="119"/>
        </w:trPr>
        <w:tc>
          <w:tcPr>
            <w:tcW w:w="4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4"/>
              </w:rPr>
              <w:t>Losses</w:t>
            </w:r>
          </w:p>
        </w:tc>
      </w:tr>
      <w:tr>
        <w:trPr>
          <w:trHeight w:val="16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w:t>
            </w: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168"/>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(1,471)</w:t>
            </w:r>
          </w:p>
        </w:tc>
      </w:tr>
      <w:tr>
        <w:trPr>
          <w:trHeight w:val="188"/>
        </w:trPr>
        <w:tc>
          <w:tcPr>
            <w:tcW w:w="4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86,308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64,868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151,176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16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12 Months or More</w:t>
            </w:r>
          </w:p>
        </w:tc>
        <w:tc>
          <w:tcPr>
            <w:tcW w:w="220" w:type="dxa"/>
            <w:vAlign w:val="bottom"/>
          </w:tcPr>
          <w:p>
            <w:pPr>
              <w:spacing w:after="0"/>
              <w:rPr>
                <w:sz w:val="14"/>
                <w:szCs w:val="14"/>
                <w:color w:val="auto"/>
              </w:rPr>
            </w:pPr>
          </w:p>
        </w:tc>
        <w:tc>
          <w:tcPr>
            <w:tcW w:w="110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4"/>
                <w:szCs w:val="14"/>
                <w:color w:val="auto"/>
              </w:rPr>
            </w:pPr>
          </w:p>
        </w:tc>
      </w:tr>
      <w:tr>
        <w:trPr>
          <w:trHeight w:val="119"/>
        </w:trPr>
        <w:tc>
          <w:tcPr>
            <w:tcW w:w="4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0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9" w:lineRule="exact"/>
              <w:rPr>
                <w:sz w:val="20"/>
                <w:szCs w:val="20"/>
                <w:color w:val="auto"/>
              </w:rPr>
            </w:pPr>
            <w:r>
              <w:rPr>
                <w:rFonts w:ascii="Times New Roman" w:cs="Times New Roman" w:eastAsia="Times New Roman" w:hAnsi="Times New Roman"/>
                <w:sz w:val="13"/>
                <w:szCs w:val="13"/>
                <w:b w:val="1"/>
                <w:bCs w:val="1"/>
                <w:color w:val="auto"/>
                <w:w w:val="95"/>
              </w:rPr>
              <w:t>Unrealized</w:t>
            </w:r>
          </w:p>
        </w:tc>
      </w:tr>
      <w:tr>
        <w:trPr>
          <w:trHeight w:val="169"/>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4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60" w:type="dxa"/>
            <w:vAlign w:val="bottom"/>
          </w:tcPr>
          <w:p>
            <w:pPr>
              <w:spacing w:after="0"/>
              <w:rPr>
                <w:sz w:val="14"/>
                <w:szCs w:val="14"/>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4"/>
              </w:rPr>
              <w:t>Losses</w:t>
            </w:r>
          </w:p>
        </w:tc>
      </w:tr>
      <w:tr>
        <w:trPr>
          <w:trHeight w:val="16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government agencies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r>
      <w:tr>
        <w:trPr>
          <w:trHeight w:val="168"/>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MBS, residential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w:t>
            </w:r>
          </w:p>
        </w:tc>
      </w:tr>
      <w:tr>
        <w:trPr>
          <w:trHeight w:val="17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14,273</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53,727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(1,457)</w:t>
            </w:r>
          </w:p>
        </w:tc>
      </w:tr>
      <w:tr>
        <w:trPr>
          <w:trHeight w:val="188"/>
        </w:trPr>
        <w:tc>
          <w:tcPr>
            <w:tcW w:w="4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97,543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117,085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total number of securities with unrealized losses at December 31, 2023, June 30, 2023 and June 30, 2022 were 187, 205 and 177, respectively.</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December 31, 2023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 Policies" for further discussion.</w:t>
      </w:r>
    </w:p>
    <w:p>
      <w:pPr>
        <w:spacing w:after="0" w:line="3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Management excludes the accrued interest receivable balance from the amortized cost basis in measuring ECLs on investment securities and does not record an ACL on accrued interest receivable. As of December 31, 2023, June 30, 2023 and June 30, 2022, the accrued interest receivable for debt securities available for sale was $469, $532 and $533,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5. Loans Held For Sale</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8"/>
        </w:trPr>
        <w:tc>
          <w:tcPr>
            <w:tcW w:w="6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Loans held for sale, at the lower of cost or fair value, consist of the following as of the dates indicated:</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40" w:type="dxa"/>
            <w:vAlign w:val="bottom"/>
          </w:tcPr>
          <w:p>
            <w:pPr>
              <w:spacing w:after="0"/>
              <w:rPr>
                <w:sz w:val="15"/>
                <w:szCs w:val="15"/>
                <w:color w:val="auto"/>
              </w:rPr>
            </w:pPr>
          </w:p>
        </w:tc>
        <w:tc>
          <w:tcPr>
            <w:tcW w:w="12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63"/>
        </w:trPr>
        <w:tc>
          <w:tcPr>
            <w:tcW w:w="64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One-to-four family</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r>
      <w:tr>
        <w:trPr>
          <w:trHeight w:val="168"/>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SBA</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14,774</w:t>
            </w:r>
          </w:p>
        </w:tc>
      </w:tr>
      <w:tr>
        <w:trPr>
          <w:trHeight w:val="17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HELOCs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167,783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132,899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60,357</w:t>
            </w:r>
          </w:p>
        </w:tc>
      </w:tr>
      <w:tr>
        <w:trPr>
          <w:trHeight w:val="163"/>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 loans held for sale, at the lower of cost or fair value</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198,433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161,703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79,307</w:t>
            </w:r>
          </w:p>
        </w:tc>
      </w:tr>
      <w:tr>
        <w:trPr>
          <w:trHeight w:val="20"/>
        </w:trPr>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carrying balance of loans held for sale, at fair value, was $3,359, $6,947 and $0 at December 31, 2023, June 30, 2023 and June 30, 2022, respectively, while the amortized cost of these loans was $3,286, $6,902 and $0 at the same dates.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jc w:val="both"/>
        <w:ind w:right="8480" w:firstLine="5"/>
        <w:spacing w:after="0" w:line="278" w:lineRule="auto"/>
        <w:tabs>
          <w:tab w:leader="none" w:pos="127"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Loans and Allowance for Credit Losses on Loans </w:t>
      </w:r>
      <w:r>
        <w:rPr>
          <w:rFonts w:ascii="Times New Roman" w:cs="Times New Roman" w:eastAsia="Times New Roman" w:hAnsi="Times New Roman"/>
          <w:sz w:val="12"/>
          <w:szCs w:val="12"/>
          <w:color w:val="auto"/>
        </w:rPr>
        <w:t>Loans consist of the following at the dates indicated</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40" w:type="dxa"/>
            <w:vAlign w:val="bottom"/>
          </w:tcPr>
          <w:p>
            <w:pPr>
              <w:spacing w:after="0"/>
              <w:rPr>
                <w:sz w:val="13"/>
                <w:szCs w:val="13"/>
                <w:color w:val="auto"/>
              </w:rPr>
            </w:pPr>
          </w:p>
        </w:tc>
        <w:tc>
          <w:tcPr>
            <w:tcW w:w="12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50"/>
        </w:trPr>
        <w:tc>
          <w:tcPr>
            <w:tcW w:w="6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r>
      <w:tr>
        <w:trPr>
          <w:trHeight w:val="168"/>
        </w:trPr>
        <w:tc>
          <w:tcPr>
            <w:tcW w:w="6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356,674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r>
      <w:tr>
        <w:trPr>
          <w:trHeight w:val="172"/>
        </w:trPr>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r>
      <w:tr>
        <w:trPr>
          <w:trHeight w:val="168"/>
        </w:trPr>
        <w:tc>
          <w:tcPr>
            <w:tcW w:w="6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901,685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r>
      <w:tr>
        <w:trPr>
          <w:trHeight w:val="172"/>
        </w:trPr>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r>
      <w:tr>
        <w:trPr>
          <w:trHeight w:val="158"/>
        </w:trPr>
        <w:tc>
          <w:tcPr>
            <w:tcW w:w="6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 loans</w:t>
            </w: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1,806,131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1,869,907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1,370,105</w:t>
            </w:r>
          </w:p>
        </w:tc>
      </w:tr>
      <w:tr>
        <w:trPr>
          <w:trHeight w:val="17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245,428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193,313</w:t>
            </w:r>
          </w:p>
        </w:tc>
      </w:tr>
      <w:tr>
        <w:trPr>
          <w:trHeight w:val="172"/>
        </w:trPr>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r>
      <w:tr>
        <w:trPr>
          <w:trHeight w:val="168"/>
        </w:trPr>
        <w:tc>
          <w:tcPr>
            <w:tcW w:w="64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142,212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129,766</w:t>
            </w:r>
          </w:p>
        </w:tc>
      </w:tr>
      <w:tr>
        <w:trPr>
          <w:trHeight w:val="163"/>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loans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849,851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717,620</w:t>
            </w: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r>
      <w:tr>
        <w:trPr>
          <w:trHeight w:val="168"/>
        </w:trPr>
        <w:tc>
          <w:tcPr>
            <w:tcW w:w="6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354,203</w:t>
            </w:r>
          </w:p>
        </w:tc>
      </w:tr>
      <w:tr>
        <w:trPr>
          <w:trHeight w:val="172"/>
        </w:trPr>
        <w:tc>
          <w:tcPr>
            <w:tcW w:w="6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187,193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r>
      <w:tr>
        <w:trPr>
          <w:trHeight w:val="158"/>
        </w:trPr>
        <w:tc>
          <w:tcPr>
            <w:tcW w:w="6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 loans</w:t>
            </w: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826,970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596,187</w:t>
            </w:r>
          </w:p>
        </w:tc>
      </w:tr>
      <w:tr>
        <w:trPr>
          <w:trHeight w:val="17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loans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r>
      <w:tr>
        <w:trPr>
          <w:trHeight w:val="15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 net of deferred loan fees and costs</w:t>
            </w: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3,658,823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2,769,295</w:t>
            </w:r>
          </w:p>
        </w:tc>
      </w:tr>
      <w:tr>
        <w:trPr>
          <w:trHeight w:val="17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Allowance for credit losses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loans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(34,690)</w:t>
            </w:r>
          </w:p>
        </w:tc>
      </w:tr>
      <w:tr>
        <w:trPr>
          <w:trHeight w:val="162"/>
        </w:trPr>
        <w:tc>
          <w:tcPr>
            <w:tcW w:w="64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Loans, net</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3,611,630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2,734,605</w:t>
            </w: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220" w:hanging="215"/>
        <w:spacing w:after="0"/>
        <w:tabs>
          <w:tab w:leader="none" w:pos="22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December 31, 2023, June 30, 2023 and June 30, 2022 accrued interest receivable of $16,218, $14,101 and $7,969 was accounted for separately from the amortized cost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result of HomeTrust's merger with Quantum on February 12, 2023, $561,933 in loans (net of purchase accounting adjustments) were added to the portfolio.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by a blanket pledge to secure outstanding FHLB advances.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Loans are made to the Company's executive officers, directors and their associates during the ordinary course of business. The aggregate amount of loans to related parties totaled approximately $209, $215 and $231 at December 31, 2023, June 30, 2023 and June 30, 2022, respectively. In relation to these loans are unfunded commitments that totaled approximately $3, $14 and $14 at December 31, 2023, June 30, 2023 and June 30, 2022, respectively.</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u w:val="single" w:color="auto"/>
          <w:color w:val="auto"/>
        </w:rPr>
        <w:t>Pass</w:t>
      </w:r>
      <w:r>
        <w:rPr>
          <w:rFonts w:ascii="Times New Roman" w:cs="Times New Roman" w:eastAsia="Times New Roman" w:hAnsi="Times New Roman"/>
          <w:sz w:val="13"/>
          <w:szCs w:val="13"/>
          <w:color w:val="auto"/>
        </w:rPr>
        <w:t xml:space="preserve"> – A pass rated loan is not adversely classified because it does not display any of the characteristics for adverse classification.</w:t>
      </w:r>
    </w:p>
    <w:p>
      <w:pPr>
        <w:spacing w:after="0" w:line="31" w:lineRule="exact"/>
        <w:rPr>
          <w:sz w:val="20"/>
          <w:szCs w:val="20"/>
          <w:color w:val="auto"/>
        </w:rPr>
      </w:pPr>
    </w:p>
    <w:p>
      <w:pPr>
        <w:ind w:left="140"/>
        <w:spacing w:after="0" w:line="272" w:lineRule="auto"/>
        <w:rPr>
          <w:sz w:val="20"/>
          <w:szCs w:val="20"/>
          <w:color w:val="auto"/>
        </w:rPr>
      </w:pPr>
      <w:r>
        <w:rPr>
          <w:rFonts w:ascii="Times New Roman" w:cs="Times New Roman" w:eastAsia="Times New Roman" w:hAnsi="Times New Roman"/>
          <w:sz w:val="13"/>
          <w:szCs w:val="13"/>
          <w:u w:val="single" w:color="auto"/>
          <w:color w:val="auto"/>
        </w:rPr>
        <w:t>Special Mention</w:t>
      </w:r>
      <w:r>
        <w:rPr>
          <w:rFonts w:ascii="Times New Roman" w:cs="Times New Roman" w:eastAsia="Times New Roman" w:hAnsi="Times New Roman"/>
          <w:sz w:val="13"/>
          <w:szCs w:val="13"/>
          <w:color w:val="auto"/>
        </w:rPr>
        <w:t xml:space="preserve"> –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spacing w:after="0" w:line="1" w:lineRule="exact"/>
        <w:rPr>
          <w:sz w:val="20"/>
          <w:szCs w:val="20"/>
          <w:color w:val="auto"/>
        </w:rPr>
      </w:pPr>
    </w:p>
    <w:p>
      <w:pPr>
        <w:ind w:left="140"/>
        <w:spacing w:after="0" w:line="264" w:lineRule="auto"/>
        <w:rPr>
          <w:sz w:val="20"/>
          <w:szCs w:val="20"/>
          <w:color w:val="auto"/>
        </w:rPr>
      </w:pPr>
      <w:r>
        <w:rPr>
          <w:rFonts w:ascii="Times New Roman" w:cs="Times New Roman" w:eastAsia="Times New Roman" w:hAnsi="Times New Roman"/>
          <w:sz w:val="13"/>
          <w:szCs w:val="13"/>
          <w:u w:val="single" w:color="auto"/>
          <w:color w:val="auto"/>
        </w:rPr>
        <w:t>Substandard</w:t>
      </w:r>
      <w:r>
        <w:rPr>
          <w:rFonts w:ascii="Times New Roman" w:cs="Times New Roman" w:eastAsia="Times New Roman" w:hAnsi="Times New Roman"/>
          <w:sz w:val="13"/>
          <w:szCs w:val="13"/>
          <w:color w:val="auto"/>
        </w:rPr>
        <w:t xml:space="preserve"> –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ind w:left="140"/>
        <w:spacing w:after="0" w:line="272" w:lineRule="auto"/>
        <w:rPr>
          <w:sz w:val="20"/>
          <w:szCs w:val="20"/>
          <w:color w:val="auto"/>
        </w:rPr>
      </w:pPr>
      <w:r>
        <w:rPr>
          <w:rFonts w:ascii="Times New Roman" w:cs="Times New Roman" w:eastAsia="Times New Roman" w:hAnsi="Times New Roman"/>
          <w:sz w:val="13"/>
          <w:szCs w:val="13"/>
          <w:u w:val="single" w:color="auto"/>
          <w:color w:val="auto"/>
        </w:rPr>
        <w:t>Doubtful</w:t>
      </w:r>
      <w:r>
        <w:rPr>
          <w:rFonts w:ascii="Times New Roman" w:cs="Times New Roman" w:eastAsia="Times New Roman" w:hAnsi="Times New Roman"/>
          <w:sz w:val="13"/>
          <w:szCs w:val="13"/>
          <w:color w:val="auto"/>
        </w:rPr>
        <w:t xml:space="preserve"> –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ind w:left="140"/>
        <w:spacing w:after="0" w:line="264" w:lineRule="auto"/>
        <w:rPr>
          <w:sz w:val="20"/>
          <w:szCs w:val="20"/>
          <w:color w:val="auto"/>
        </w:rPr>
      </w:pPr>
      <w:r>
        <w:rPr>
          <w:rFonts w:ascii="Times New Roman" w:cs="Times New Roman" w:eastAsia="Times New Roman" w:hAnsi="Times New Roman"/>
          <w:sz w:val="13"/>
          <w:szCs w:val="13"/>
          <w:u w:val="single" w:color="auto"/>
          <w:color w:val="auto"/>
        </w:rPr>
        <w:t>Loss</w:t>
      </w:r>
      <w:r>
        <w:rPr>
          <w:rFonts w:ascii="Times New Roman" w:cs="Times New Roman" w:eastAsia="Times New Roman" w:hAnsi="Times New Roman"/>
          <w:sz w:val="13"/>
          <w:szCs w:val="13"/>
          <w:color w:val="auto"/>
        </w:rPr>
        <w:t xml:space="preserve"> –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credit risk profile by risk grade for commercial real estate, commercial, residential real estate and consumer loans by origination year as of December 31,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7"/>
                <w:szCs w:val="7"/>
                <w:b w:val="1"/>
                <w:bCs w:val="1"/>
                <w:color w:val="auto"/>
              </w:rPr>
              <w:t>(1)</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47,501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304,990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18,226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47,501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47,644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9,039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7,581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175,077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305,269</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33,918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61,090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104,005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86,789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157,790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525,964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33,918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61,239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104,532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87,237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71,844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164,587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13,188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536,545</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91,328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155,676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179,950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302,216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862,193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11,715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94,406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155,676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179,950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101,929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306,459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25,559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875,694</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86,672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multifamily</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5,515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3,799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20,180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21,411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25,768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88,623</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69,374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203,718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325,643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297,189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176,055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492,987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214,853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1,779,819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8,442</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17,369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69,374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206,945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328,032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297,637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184,895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504,395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214,853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1,806,131</w:t>
            </w:r>
          </w:p>
        </w:tc>
      </w:tr>
      <w:tr>
        <w:trPr>
          <w:trHeight w:val="22"/>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previously announced, on July 24, 2023, the Board of Directors approved a change in the Company's fiscal year end from June 30 to December 31. "2023-S" represents the six-month transition period ended December 31, 2023.</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57,206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228,641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18,711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54,140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57,774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14,333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13,752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23,342</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55,203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237,255</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3,115</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83,332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172,704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457,100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equipment finance</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83,332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175,893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116,527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58,304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26,277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465,573</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33,513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28,005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150,292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municipal leases</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13,693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33,513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28,005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13,516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7,358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47,376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150,292</w:t>
            </w:r>
          </w:p>
        </w:tc>
      </w:tr>
      <w:tr>
        <w:trPr>
          <w:trHeight w:val="29"/>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115,736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258,644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198,574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836,033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1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7,352</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115,736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263,546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202,306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86,153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47,387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75,958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62,034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853,120</w:t>
            </w:r>
          </w:p>
        </w:tc>
      </w:tr>
      <w:tr>
        <w:trPr>
          <w:trHeight w:val="22"/>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9"/>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14"/>
                <w:szCs w:val="14"/>
                <w:b w:val="1"/>
                <w:bCs w:val="1"/>
                <w:color w:val="auto"/>
                <w:vertAlign w:val="superscript"/>
              </w:rPr>
              <w:t>(1)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2,189</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17,261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96,509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17,261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3,035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72,247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96,646</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18,938</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98,059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153,418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110,440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139,020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578,760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one-to-four family</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18,938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98,442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153,676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110,440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49,173</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143,822</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9,914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584,405</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1,195</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165,302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183,815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HELOCs</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1,591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8,533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7,959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165,423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185,878</w:t>
            </w:r>
          </w:p>
        </w:tc>
      </w:tr>
      <w:tr>
        <w:trPr>
          <w:trHeight w:val="29"/>
        </w:trPr>
        <w:tc>
          <w:tcPr>
            <w:tcW w:w="3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period gross charge-offs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22,322</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157,309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147,656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247,463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859,084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7,282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160" w:type="dxa"/>
            <w:vAlign w:val="bottom"/>
            <w:tcBorders>
              <w:top w:val="single" w:sz="8" w:color="auto"/>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22,718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124,236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157,814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111,723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49,699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153,155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247,584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866,929</w:t>
            </w:r>
          </w:p>
        </w:tc>
      </w:tr>
      <w:tr>
        <w:trPr>
          <w:trHeight w:val="22"/>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tcBorders>
              <w:bottom w:val="single" w:sz="8" w:color="auto"/>
            </w:tcBorders>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20"/>
        </w:trPr>
        <w:tc>
          <w:tcPr>
            <w:tcW w:w="3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3"/>
        </w:trPr>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2023-S</w:t>
            </w:r>
            <w:r>
              <w:rPr>
                <w:rFonts w:ascii="Times New Roman" w:cs="Times New Roman" w:eastAsia="Times New Roman" w:hAnsi="Times New Roman"/>
                <w:sz w:val="7"/>
                <w:szCs w:val="7"/>
                <w:b w:val="1"/>
                <w:bCs w:val="1"/>
                <w:color w:val="auto"/>
              </w:rPr>
              <w:t>(1)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26,569</w:t>
            </w:r>
          </w:p>
        </w:tc>
        <w:tc>
          <w:tcPr>
            <w:tcW w:w="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112,690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0"/>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consumer</w:t>
            </w: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26,569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51,730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9,889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113,842</w:t>
            </w:r>
          </w:p>
        </w:tc>
      </w:tr>
      <w:tr>
        <w:trPr>
          <w:trHeight w:val="22"/>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period gross charge-offs</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credit risk profile by risk grade for commercial real estate, commercial, residential real estate and consumer loans by origination year as of June 30,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287,615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356,097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27,234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26,711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287,615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356,674</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106,738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91,575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518,623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106,915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92,560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70,414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54,936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122,241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23,984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529,721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156,244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137,659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99,442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265,099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889,320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85,574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156,244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137,659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99,442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68,794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272,163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81,809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901,685</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81,443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multifamily</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3,850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16,410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21,867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10,172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22,677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81,827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175,329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305,549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256,570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130,373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408,681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389,087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1,845,483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8,013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175,329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306,280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257,555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182,254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131,161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422,940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394,388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1,869,907</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57,377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72,662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238,728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57,377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73,011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19,348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14,633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21,667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51,843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245,428</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200,054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136,226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456,666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equipment finance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201,201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138,317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74,555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37,241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462,211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142,212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municipal leases</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31,462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27,910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14,292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8,212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43,251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7,247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142,212</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288,893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236,798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837,606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3,059</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290,040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239,238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108,195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60,086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28,028</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65,174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59,090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849,851</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109,934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107,096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110,074</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122,091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109,669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524,205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one-to-four family</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78,759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122,216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109,669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52,131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31,546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125,260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10,122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529,703</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168,311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186,526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HELOCs</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7,774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168,445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187,193</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123,502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109,789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128,852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285,529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820,665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88,396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123,637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109,789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52,549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32,492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134,444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285,663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826,970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110,847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63,163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18,124</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12,869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9,201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510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112,095</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credit risk profile by risk grade for commercial real estate, commercial, residential real estate and consumer loans by origination year as of June 30,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21,988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5,686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4,774</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22,859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5,686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5,983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252,866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291,202</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71,429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329,226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55,167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71,429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46,061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44,204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22,297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79,245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17,255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335,658</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97,885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122,975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182,664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643,889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18,265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 - non-owner occupied</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97,885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122,975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95,268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94,881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187,090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7,214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662,159</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80,493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multifamily</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10,135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19,985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15,881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21,151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81,086</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185,175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220,075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157,441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111,335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283,672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274,755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1,339,098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26,515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 real estate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186,046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220,075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157,837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111,782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121,066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293,469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279,830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1,370,105</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70,863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183,634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commercial and industrial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70,863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22,648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10,893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20,908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49,413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193,313</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186,139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64,400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392,124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equipment finance</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186,371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113,817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65,420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27,178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394,541</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24,480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129,729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municipal leases</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19,425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24,517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8,962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11,034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13,584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39,529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129,766</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276,427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159,277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85,009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60,385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705,487</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5,044</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6,954</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commercial</w:t>
            </w: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276,659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160,982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86,632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49,105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21,677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60,437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62,128</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717,620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Construction and land development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78,775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81,475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construction and land development</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78,775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81,847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One-to-four family</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74,035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47,364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346,523</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one-to-four family</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74,035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48,366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29,615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23,680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118,887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354,203</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HELOCs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148,526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159,181</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 HELOCs</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8,348</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148,575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160,137</w:t>
            </w:r>
          </w:p>
        </w:tc>
      </w:tr>
      <w:tr>
        <w:trPr>
          <w:trHeight w:val="14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residential real estate</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74,493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47,699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122,531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231,378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587,179</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7,990</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residential real estate</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57,873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74,493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48,701</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30,516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23,787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129,390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231,427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596,187</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1"/>
                <w:szCs w:val="11"/>
                <w:b w:val="1"/>
                <w:bCs w:val="1"/>
                <w:color w:val="auto"/>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220" w:type="dxa"/>
            <w:vAlign w:val="bottom"/>
          </w:tcPr>
          <w:p>
            <w:pPr>
              <w:spacing w:after="0"/>
              <w:rPr>
                <w:sz w:val="13"/>
                <w:szCs w:val="13"/>
                <w:color w:val="auto"/>
              </w:rPr>
            </w:pPr>
          </w:p>
        </w:tc>
        <w:tc>
          <w:tcPr>
            <w:tcW w:w="7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consumer</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3"/>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84,466</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w:t>
            </w:r>
          </w:p>
        </w:tc>
      </w:tr>
      <w:tr>
        <w:trPr>
          <w:trHeight w:val="153"/>
        </w:trPr>
        <w:tc>
          <w:tcPr>
            <w:tcW w:w="3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Loss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32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26,007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20,612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16,123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11,416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8,417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85,383</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The following tables present aging analyses of past due loans (including nonaccrual loans) by segment and class for the periods indicated: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5"/>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3"/>
                <w:szCs w:val="13"/>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5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305,269</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535,387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536,545</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871,662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875,694</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88,623</w:t>
            </w:r>
          </w:p>
        </w:tc>
      </w:tr>
      <w:tr>
        <w:trPr>
          <w:trHeight w:val="16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1,800,941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1,806,131</w:t>
            </w: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237,255</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456,143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465,573</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150,292</w:t>
            </w:r>
          </w:p>
        </w:tc>
      </w:tr>
      <w:tr>
        <w:trPr>
          <w:trHeight w:val="15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6,385</w:t>
            </w:r>
          </w:p>
        </w:tc>
        <w:tc>
          <w:tcPr>
            <w:tcW w:w="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6,686</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13,071</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840,049</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853,120</w:t>
            </w:r>
          </w:p>
        </w:tc>
      </w:tr>
      <w:tr>
        <w:trPr>
          <w:trHeight w:val="15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96,646</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582,379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584,405</w:t>
            </w:r>
          </w:p>
        </w:tc>
      </w:tr>
      <w:tr>
        <w:trPr>
          <w:trHeight w:val="168"/>
        </w:trPr>
        <w:tc>
          <w:tcPr>
            <w:tcW w:w="5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183,016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185,878</w:t>
            </w:r>
          </w:p>
        </w:tc>
      </w:tr>
      <w:tr>
        <w:trPr>
          <w:trHeight w:val="16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861,909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866,929</w:t>
            </w: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113,006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113,842</w:t>
            </w:r>
          </w:p>
        </w:tc>
      </w:tr>
      <w:tr>
        <w:trPr>
          <w:trHeight w:val="18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3,615,905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3,640,022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3"/>
                <w:szCs w:val="13"/>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5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356,674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356,674</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528,131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529,721</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901,685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901,685</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81,827</w:t>
            </w:r>
          </w:p>
        </w:tc>
      </w:tr>
      <w:tr>
        <w:trPr>
          <w:trHeight w:val="16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1,868,317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1,869,907</w:t>
            </w: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245,428</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462,211</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142,212</w:t>
            </w:r>
          </w:p>
        </w:tc>
      </w:tr>
      <w:tr>
        <w:trPr>
          <w:trHeight w:val="158"/>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845,912</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849,851</w:t>
            </w: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110,074</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526,945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529,703</w:t>
            </w:r>
          </w:p>
        </w:tc>
      </w:tr>
      <w:tr>
        <w:trPr>
          <w:trHeight w:val="168"/>
        </w:trPr>
        <w:tc>
          <w:tcPr>
            <w:tcW w:w="5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186,045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187,193</w:t>
            </w:r>
          </w:p>
        </w:tc>
      </w:tr>
      <w:tr>
        <w:trPr>
          <w:trHeight w:val="16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822,932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826,970</w:t>
            </w: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111,487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112,095</w:t>
            </w:r>
          </w:p>
        </w:tc>
      </w:tr>
      <w:tr>
        <w:trPr>
          <w:trHeight w:val="18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3,648,648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3,658,823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Past Due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9"/>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30-89 Days</w:t>
            </w:r>
          </w:p>
        </w:tc>
        <w:tc>
          <w:tcPr>
            <w:tcW w:w="20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90 Days+</w:t>
            </w:r>
          </w:p>
        </w:tc>
        <w:tc>
          <w:tcPr>
            <w:tcW w:w="2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3"/>
                <w:szCs w:val="13"/>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Loans</w:t>
            </w:r>
          </w:p>
        </w:tc>
      </w:tr>
      <w:tr>
        <w:trPr>
          <w:trHeight w:val="151"/>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291,202</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335,658</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662,159</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81,086</w:t>
            </w:r>
          </w:p>
        </w:tc>
      </w:tr>
      <w:tr>
        <w:trPr>
          <w:trHeight w:val="16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1,370,053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1,370,105</w:t>
            </w:r>
          </w:p>
        </w:tc>
      </w:tr>
      <w:tr>
        <w:trPr>
          <w:trHeight w:val="16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193,313</w:t>
            </w: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394,299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394,541</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129,766</w:t>
            </w:r>
          </w:p>
        </w:tc>
      </w:tr>
      <w:tr>
        <w:trPr>
          <w:trHeight w:val="158"/>
        </w:trPr>
        <w:tc>
          <w:tcPr>
            <w:tcW w:w="5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717,123</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717,620</w:t>
            </w: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81,847</w:t>
            </w:r>
          </w:p>
        </w:tc>
      </w:tr>
      <w:tr>
        <w:trPr>
          <w:trHeight w:val="172"/>
        </w:trPr>
        <w:tc>
          <w:tcPr>
            <w:tcW w:w="5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354,203</w:t>
            </w:r>
          </w:p>
        </w:tc>
      </w:tr>
      <w:tr>
        <w:trPr>
          <w:trHeight w:val="168"/>
        </w:trPr>
        <w:tc>
          <w:tcPr>
            <w:tcW w:w="5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159,732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160,137</w:t>
            </w:r>
          </w:p>
        </w:tc>
      </w:tr>
      <w:tr>
        <w:trPr>
          <w:trHeight w:val="16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593,341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596,187</w:t>
            </w:r>
          </w:p>
        </w:tc>
      </w:tr>
      <w:tr>
        <w:trPr>
          <w:trHeight w:val="16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84,876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85,383</w:t>
            </w:r>
          </w:p>
        </w:tc>
      </w:tr>
      <w:tr>
        <w:trPr>
          <w:trHeight w:val="18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2,765,393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2,769,295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following table presents recorded investment in loans on nonaccrual status, by segment and class, including restructured loans. It also includes interest income recognized on nonaccrual loans for the six months ended December 31, 2023.</w:t>
      </w: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left="141"/>
              <w:spacing w:after="0"/>
              <w:rPr>
                <w:sz w:val="20"/>
                <w:szCs w:val="20"/>
                <w:color w:val="auto"/>
              </w:rPr>
            </w:pPr>
            <w:r>
              <w:rPr>
                <w:rFonts w:ascii="Times New Roman" w:cs="Times New Roman" w:eastAsia="Times New Roman" w:hAnsi="Times New Roman"/>
                <w:sz w:val="13"/>
                <w:szCs w:val="13"/>
                <w:b w:val="1"/>
                <w:bCs w:val="1"/>
                <w:color w:val="auto"/>
                <w:w w:val="96"/>
              </w:rPr>
              <w:t>90 Days + &amp;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Nonaccrual with No ACL</w:t>
            </w:r>
          </w:p>
        </w:tc>
        <w:tc>
          <w:tcPr>
            <w:tcW w:w="120" w:type="dxa"/>
            <w:vAlign w:val="bottom"/>
          </w:tcPr>
          <w:p>
            <w:pPr>
              <w:spacing w:after="0"/>
              <w:rPr>
                <w:sz w:val="12"/>
                <w:szCs w:val="12"/>
                <w:color w:val="auto"/>
              </w:rPr>
            </w:pPr>
          </w:p>
        </w:tc>
        <w:tc>
          <w:tcPr>
            <w:tcW w:w="10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Interest Income</w:t>
            </w: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300" w:type="dxa"/>
            <w:vAlign w:val="bottom"/>
          </w:tcPr>
          <w:p>
            <w:pPr>
              <w:jc w:val="center"/>
              <w:ind w:left="161"/>
              <w:spacing w:after="0" w:line="128" w:lineRule="exact"/>
              <w:rPr>
                <w:sz w:val="20"/>
                <w:szCs w:val="20"/>
                <w:color w:val="auto"/>
              </w:rPr>
            </w:pPr>
            <w:r>
              <w:rPr>
                <w:rFonts w:ascii="Times New Roman" w:cs="Times New Roman" w:eastAsia="Times New Roman" w:hAnsi="Times New Roman"/>
                <w:sz w:val="13"/>
                <w:szCs w:val="13"/>
                <w:b w:val="1"/>
                <w:bCs w:val="1"/>
                <w:color w:val="auto"/>
                <w:w w:val="98"/>
              </w:rPr>
              <w:t>Still Accruing as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00" w:type="dxa"/>
            <w:vAlign w:val="bottom"/>
          </w:tcPr>
          <w:p>
            <w:pPr>
              <w:jc w:val="center"/>
              <w:ind w:left="141"/>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120" w:type="dxa"/>
            <w:vAlign w:val="bottom"/>
          </w:tcPr>
          <w:p>
            <w:pPr>
              <w:spacing w:after="0"/>
              <w:rPr>
                <w:sz w:val="14"/>
                <w:szCs w:val="14"/>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0" w:type="dxa"/>
            <w:vAlign w:val="bottom"/>
          </w:tcPr>
          <w:p>
            <w:pPr>
              <w:spacing w:after="0"/>
              <w:rPr>
                <w:sz w:val="1"/>
                <w:szCs w:val="1"/>
                <w:color w:val="auto"/>
              </w:rPr>
            </w:pPr>
          </w:p>
        </w:tc>
      </w:tr>
      <w:tr>
        <w:trPr>
          <w:trHeight w:val="15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1300" w:type="dxa"/>
            <w:vAlign w:val="bottom"/>
          </w:tcPr>
          <w:p>
            <w:pPr>
              <w:jc w:val="right"/>
              <w:ind w:right="1181"/>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3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Multifamily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3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Equipment finance</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3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Municipal leases</w:t>
            </w: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1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commercial</w:t>
            </w: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1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HELOCs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8"/>
        </w:trPr>
        <w:tc>
          <w:tcPr>
            <w:tcW w:w="3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2,634</w:t>
            </w: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7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0"/>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19,333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10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2"/>
          <w:szCs w:val="12"/>
          <w:color w:val="auto"/>
        </w:rPr>
        <w:t>The following tables present analyses of the ACL on loans by segment for the period indicated below. In addition to the provision (benefit) for credit losses on loans presented below, provisions (benefits) of $(970), $253, $981 and $35 for off-balance sheet credit exposures and $0, $(250), $(100) and $100 for commercial paper were recorded during the six months ended December 31, 2023, and years ended June 30, 2023, 2022 and 2021, respectively. For the year ended June 30, 2023, $4,921 and $369 of the provision for credit losses were recognized to establish ACLs on Quantum's loan portfolio and off-balance-sheet credit exposure,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December 31, 2023</w:t>
            </w: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34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6,900</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(6,060)</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0" w:type="dxa"/>
            <w:vAlign w:val="bottom"/>
          </w:tcPr>
          <w:p>
            <w:pPr>
              <w:spacing w:after="0"/>
              <w:rPr>
                <w:sz w:val="1"/>
                <w:szCs w:val="1"/>
                <w:color w:val="auto"/>
              </w:rPr>
            </w:pPr>
          </w:p>
        </w:tc>
      </w:tr>
      <w:tr>
        <w:trPr>
          <w:trHeight w:val="16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(charge-offs) recoveries</w:t>
            </w:r>
          </w:p>
        </w:tc>
        <w:tc>
          <w:tcPr>
            <w:tcW w:w="1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(4,817)</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0" w:type="dxa"/>
            <w:vAlign w:val="bottom"/>
          </w:tcPr>
          <w:p>
            <w:pPr>
              <w:spacing w:after="0"/>
              <w:rPr>
                <w:sz w:val="1"/>
                <w:szCs w:val="1"/>
                <w:color w:val="auto"/>
              </w:rPr>
            </w:pPr>
          </w:p>
        </w:tc>
      </w:tr>
      <w:tr>
        <w:trPr>
          <w:trHeight w:val="163"/>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20,323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17,026</w:t>
            </w:r>
          </w:p>
        </w:tc>
        <w:tc>
          <w:tcPr>
            <w:tcW w:w="8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48,641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June 30, 2023</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15,389</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Initial ACL on PCD loans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58"/>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(charge-offs) recoveries</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(3,255)</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15,216</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47,193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June 30, 2022</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Provision (benefit) for credit losses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3,206</w:t>
            </w:r>
          </w:p>
        </w:tc>
        <w:tc>
          <w:tcPr>
            <w:tcW w:w="0" w:type="dxa"/>
            <w:vAlign w:val="bottom"/>
          </w:tcPr>
          <w:p>
            <w:pPr>
              <w:spacing w:after="0"/>
              <w:rPr>
                <w:sz w:val="1"/>
                <w:szCs w:val="1"/>
                <w:color w:val="auto"/>
              </w:rPr>
            </w:pPr>
          </w:p>
        </w:tc>
      </w:tr>
      <w:tr>
        <w:trPr>
          <w:trHeight w:val="16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(charge-offs) recoveries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0" w:type="dxa"/>
            <w:vAlign w:val="bottom"/>
          </w:tcPr>
          <w:p>
            <w:pPr>
              <w:spacing w:after="0"/>
              <w:rPr>
                <w:sz w:val="1"/>
                <w:szCs w:val="1"/>
                <w:color w:val="auto"/>
              </w:rPr>
            </w:pPr>
          </w:p>
        </w:tc>
      </w:tr>
      <w:tr>
        <w:trPr>
          <w:trHeight w:val="160"/>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12,036</w:t>
            </w:r>
          </w:p>
        </w:tc>
        <w:tc>
          <w:tcPr>
            <w:tcW w:w="80" w:type="dxa"/>
            <w:vAlign w:val="bottom"/>
          </w:tcPr>
          <w:p>
            <w:pPr>
              <w:spacing w:after="0"/>
              <w:rPr>
                <w:sz w:val="13"/>
                <w:szCs w:val="13"/>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Year Ended June 30, 2021</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Commercial Real</w:t>
            </w:r>
          </w:p>
        </w:tc>
        <w:tc>
          <w:tcPr>
            <w:tcW w:w="200" w:type="dxa"/>
            <w:vAlign w:val="bottom"/>
          </w:tcPr>
          <w:p>
            <w:pPr>
              <w:spacing w:after="0"/>
              <w:rPr>
                <w:sz w:val="10"/>
                <w:szCs w:val="10"/>
                <w:color w:val="auto"/>
              </w:rPr>
            </w:pPr>
          </w:p>
        </w:tc>
        <w:tc>
          <w:tcPr>
            <w:tcW w:w="112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80" w:type="dxa"/>
            <w:vAlign w:val="bottom"/>
          </w:tcPr>
          <w:p>
            <w:pPr>
              <w:spacing w:after="0"/>
              <w:rPr>
                <w:sz w:val="10"/>
                <w:szCs w:val="10"/>
                <w:color w:val="auto"/>
              </w:rPr>
            </w:pP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2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Estate</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28,072</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Impact of adoption ASU 2016-13</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14,809</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Benefit for credit losses</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(7,270)</w:t>
            </w:r>
          </w:p>
        </w:tc>
        <w:tc>
          <w:tcPr>
            <w:tcW w:w="0" w:type="dxa"/>
            <w:vAlign w:val="bottom"/>
          </w:tcPr>
          <w:p>
            <w:pPr>
              <w:spacing w:after="0"/>
              <w:rPr>
                <w:sz w:val="1"/>
                <w:szCs w:val="1"/>
                <w:color w:val="auto"/>
              </w:rPr>
            </w:pPr>
          </w:p>
        </w:tc>
      </w:tr>
      <w:tr>
        <w:trPr>
          <w:trHeight w:val="168"/>
        </w:trPr>
        <w:tc>
          <w:tcPr>
            <w:tcW w:w="4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Charge-offs</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0" w:type="dxa"/>
            <w:vAlign w:val="bottom"/>
          </w:tcPr>
          <w:p>
            <w:pPr>
              <w:spacing w:after="0"/>
              <w:rPr>
                <w:sz w:val="1"/>
                <w:szCs w:val="1"/>
                <w:color w:val="auto"/>
              </w:rPr>
            </w:pPr>
          </w:p>
        </w:tc>
      </w:tr>
      <w:tr>
        <w:trPr>
          <w:trHeight w:val="172"/>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Recoveries</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0" w:type="dxa"/>
            <w:vAlign w:val="bottom"/>
          </w:tcPr>
          <w:p>
            <w:pPr>
              <w:spacing w:after="0"/>
              <w:rPr>
                <w:sz w:val="1"/>
                <w:szCs w:val="1"/>
                <w:color w:val="auto"/>
              </w:rPr>
            </w:pPr>
          </w:p>
        </w:tc>
      </w:tr>
      <w:tr>
        <w:trPr>
          <w:trHeight w:val="158"/>
        </w:trPr>
        <w:tc>
          <w:tcPr>
            <w:tcW w:w="4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(charge-offs) recoveries</w:t>
            </w: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9,663</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estimating ECL, ASC 326 prescribes that if foreclosure is expected,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7"/>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Residential Property</w:t>
            </w: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Non-CDAs</w:t>
            </w:r>
          </w:p>
        </w:tc>
        <w:tc>
          <w:tcPr>
            <w:tcW w:w="24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5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305,269</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534,724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536,545</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871,384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875,694</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88,623</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1,806,131</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237,255</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465,573</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150,292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150,292</w:t>
            </w:r>
          </w:p>
        </w:tc>
      </w:tr>
      <w:tr>
        <w:trPr>
          <w:trHeight w:val="163"/>
        </w:trPr>
        <w:tc>
          <w:tcPr>
            <w:tcW w:w="4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5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850,494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853,120</w:t>
            </w: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96,646</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584,405</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185,878</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5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866,419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866,929</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113,842</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3,630,755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3,640,022</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collateral value</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7"/>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Residential Property</w:t>
            </w: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Non-CDAs</w:t>
            </w:r>
          </w:p>
        </w:tc>
        <w:tc>
          <w:tcPr>
            <w:tcW w:w="24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4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356,674</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356,674</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529,721</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898,667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901,685</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81,827</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1,865,844</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1,869,907</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245,428</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461,869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462,211</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142,212</w:t>
            </w:r>
          </w:p>
        </w:tc>
      </w:tr>
      <w:tr>
        <w:trPr>
          <w:trHeight w:val="163"/>
        </w:trPr>
        <w:tc>
          <w:tcPr>
            <w:tcW w:w="4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4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848,698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849,851</w:t>
            </w: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110,074</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528,951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529,703</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187,193</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826,218</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826,970</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112,095</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3,652,855</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3,658,823</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collateral value</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3"/>
                <w:szCs w:val="13"/>
                <w:b w:val="1"/>
                <w:bCs w:val="1"/>
                <w:color w:val="auto"/>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7"/>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Residential Property</w:t>
            </w: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Property</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Property</w:t>
            </w:r>
          </w:p>
        </w:tc>
        <w:tc>
          <w:tcPr>
            <w:tcW w:w="100" w:type="dxa"/>
            <w:vAlign w:val="bottom"/>
          </w:tcPr>
          <w:p>
            <w:pPr>
              <w:spacing w:after="0"/>
              <w:rPr>
                <w:sz w:val="24"/>
                <w:szCs w:val="24"/>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Business Assets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Non-CDAs</w:t>
            </w:r>
          </w:p>
        </w:tc>
        <w:tc>
          <w:tcPr>
            <w:tcW w:w="240" w:type="dxa"/>
            <w:vAlign w:val="bottom"/>
          </w:tcPr>
          <w:p>
            <w:pPr>
              <w:spacing w:after="0"/>
              <w:rPr>
                <w:sz w:val="24"/>
                <w:szCs w:val="24"/>
                <w:color w:val="auto"/>
              </w:rPr>
            </w:pPr>
          </w:p>
        </w:tc>
        <w:tc>
          <w:tcPr>
            <w:tcW w:w="8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real estate</w:t>
            </w:r>
          </w:p>
        </w:tc>
        <w:tc>
          <w:tcPr>
            <w:tcW w:w="4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291,202</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335,658</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real estate - non-owner occupied</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662,159</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Multifamily</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81,086</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commercial real estate</w:t>
            </w: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1,370,105</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1,370,105</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190,719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193,313</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Equipment finance</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394,541</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Municipal leases</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129,766</w:t>
            </w:r>
          </w:p>
        </w:tc>
      </w:tr>
      <w:tr>
        <w:trPr>
          <w:trHeight w:val="163"/>
        </w:trPr>
        <w:tc>
          <w:tcPr>
            <w:tcW w:w="4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4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715,026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717,620</w:t>
            </w:r>
          </w:p>
        </w:tc>
      </w:tr>
      <w:tr>
        <w:trPr>
          <w:trHeight w:val="16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Construction and land development</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81,847</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One-to-four family</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352,885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354,203</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HELOCs</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160,137</w:t>
            </w:r>
          </w:p>
        </w:tc>
      </w:tr>
      <w:tr>
        <w:trPr>
          <w:trHeight w:val="158"/>
        </w:trPr>
        <w:tc>
          <w:tcPr>
            <w:tcW w:w="4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residential real estate</w:t>
            </w: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594,869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596,187</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85,383</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2,765,383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2,769,295</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collateral value</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Modifications to Borrowers Experiencing Financial Difficulty</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pacing w:after="0" w:line="3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The following table presents the amortized cost basis of loans at December 31, 2023, that were both experiencing financial difficulty and modified during the six months ended December 31, 2023, by class and type of modification. The percentage of the amortized cost basis of loans that were modified to borrowers in financial difficulty as compared to the amortized cost basis of each class of financing receivable is also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 31, 2023</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80" w:type="dxa"/>
            <w:vAlign w:val="bottom"/>
            <w:vMerge w:val="restart"/>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122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Combination Term</w:t>
            </w:r>
          </w:p>
        </w:tc>
        <w:tc>
          <w:tcPr>
            <w:tcW w:w="80" w:type="dxa"/>
            <w:vAlign w:val="bottom"/>
          </w:tcPr>
          <w:p>
            <w:pPr>
              <w:spacing w:after="0"/>
              <w:rPr>
                <w:sz w:val="10"/>
                <w:szCs w:val="10"/>
                <w:color w:val="auto"/>
              </w:rPr>
            </w:pPr>
          </w:p>
        </w:tc>
        <w:tc>
          <w:tcPr>
            <w:tcW w:w="132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 of Total Class of</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Term Extension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Extension &amp;</w:t>
            </w:r>
          </w:p>
        </w:tc>
        <w:tc>
          <w:tcPr>
            <w:tcW w:w="1220" w:type="dxa"/>
            <w:vAlign w:val="bottom"/>
            <w:gridSpan w:val="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Extension &amp; Interest</w:t>
            </w:r>
          </w:p>
        </w:tc>
        <w:tc>
          <w:tcPr>
            <w:tcW w:w="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Principal Forgiveness</w:t>
            </w:r>
          </w:p>
        </w:tc>
        <w:tc>
          <w:tcPr>
            <w:tcW w:w="1020" w:type="dxa"/>
            <w:vAlign w:val="bottom"/>
            <w:gridSpan w:val="3"/>
          </w:tcPr>
          <w:p>
            <w:pPr>
              <w:jc w:val="center"/>
              <w:ind w:left="119"/>
              <w:spacing w:after="0"/>
              <w:rPr>
                <w:sz w:val="20"/>
                <w:szCs w:val="20"/>
                <w:color w:val="auto"/>
              </w:rPr>
            </w:pPr>
            <w:r>
              <w:rPr>
                <w:rFonts w:ascii="Times New Roman" w:cs="Times New Roman" w:eastAsia="Times New Roman" w:hAnsi="Times New Roman"/>
                <w:sz w:val="13"/>
                <w:szCs w:val="13"/>
                <w:b w:val="1"/>
                <w:bCs w:val="1"/>
                <w:color w:val="auto"/>
                <w:w w:val="97"/>
              </w:rPr>
              <w:t>Rate Reduction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Financing Receivable</w:t>
            </w:r>
          </w:p>
        </w:tc>
        <w:tc>
          <w:tcPr>
            <w:tcW w:w="0" w:type="dxa"/>
            <w:vAlign w:val="bottom"/>
          </w:tcPr>
          <w:p>
            <w:pPr>
              <w:spacing w:after="0"/>
              <w:rPr>
                <w:sz w:val="1"/>
                <w:szCs w:val="1"/>
                <w:color w:val="auto"/>
              </w:rPr>
            </w:pPr>
          </w:p>
        </w:tc>
      </w:tr>
      <w:tr>
        <w:trPr>
          <w:trHeight w:val="15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80" w:type="dxa"/>
            <w:vAlign w:val="bottom"/>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40" w:type="dxa"/>
            <w:vAlign w:val="bottom"/>
            <w:gridSpan w:val="4"/>
          </w:tcPr>
          <w:p>
            <w:pPr>
              <w:jc w:val="right"/>
              <w:ind w:right="77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8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gridSpan w:val="2"/>
            <w:shd w:val="clear" w:color="auto" w:fill="CCEEFF"/>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60" w:type="dxa"/>
            <w:vAlign w:val="bottom"/>
            <w:gridSpan w:val="19"/>
          </w:tcPr>
          <w:p>
            <w:pPr>
              <w:spacing w:after="0"/>
              <w:rPr>
                <w:sz w:val="20"/>
                <w:szCs w:val="20"/>
                <w:color w:val="auto"/>
              </w:rPr>
            </w:pPr>
            <w:r>
              <w:rPr>
                <w:rFonts w:ascii="Times New Roman" w:cs="Times New Roman" w:eastAsia="Times New Roman" w:hAnsi="Times New Roman"/>
                <w:sz w:val="13"/>
                <w:szCs w:val="13"/>
                <w:color w:val="auto"/>
                <w:w w:val="98"/>
              </w:rPr>
              <w:t>The following table presents the financial effect of the loan modifications presented above to borrowers experiencing financial difficulty for the period indicated below:</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 December 31, 2023</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Principal Forgiveness</w:t>
            </w:r>
          </w:p>
        </w:tc>
        <w:tc>
          <w:tcPr>
            <w:tcW w:w="2080" w:type="dxa"/>
            <w:vAlign w:val="bottom"/>
            <w:gridSpan w:val="5"/>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Weighted-Average Interest Rate</w:t>
            </w:r>
          </w:p>
        </w:tc>
        <w:tc>
          <w:tcPr>
            <w:tcW w:w="1600" w:type="dxa"/>
            <w:vAlign w:val="bottom"/>
            <w:gridSpan w:val="3"/>
          </w:tcPr>
          <w:p>
            <w:pPr>
              <w:jc w:val="right"/>
              <w:ind w:right="136"/>
              <w:spacing w:after="0" w:line="120" w:lineRule="exact"/>
              <w:rPr>
                <w:sz w:val="20"/>
                <w:szCs w:val="20"/>
                <w:color w:val="auto"/>
              </w:rPr>
            </w:pPr>
            <w:r>
              <w:rPr>
                <w:rFonts w:ascii="Times New Roman" w:cs="Times New Roman" w:eastAsia="Times New Roman" w:hAnsi="Times New Roman"/>
                <w:sz w:val="13"/>
                <w:szCs w:val="13"/>
                <w:b w:val="1"/>
                <w:bCs w:val="1"/>
                <w:color w:val="auto"/>
                <w:w w:val="99"/>
              </w:rPr>
              <w:t>Weighted-Average Term</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Reduction</w:t>
            </w:r>
          </w:p>
        </w:tc>
        <w:tc>
          <w:tcPr>
            <w:tcW w:w="200" w:type="dxa"/>
            <w:vAlign w:val="bottom"/>
          </w:tcPr>
          <w:p>
            <w:pPr>
              <w:spacing w:after="0"/>
              <w:rPr>
                <w:sz w:val="14"/>
                <w:szCs w:val="14"/>
                <w:color w:val="auto"/>
              </w:rPr>
            </w:pPr>
          </w:p>
        </w:tc>
        <w:tc>
          <w:tcPr>
            <w:tcW w:w="1400" w:type="dxa"/>
            <w:vAlign w:val="bottom"/>
            <w:gridSpan w:val="2"/>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8"/>
              </w:rPr>
              <w:t>Extension (Years)</w:t>
            </w:r>
          </w:p>
        </w:tc>
        <w:tc>
          <w:tcPr>
            <w:tcW w:w="0" w:type="dxa"/>
            <w:vAlign w:val="bottom"/>
          </w:tcPr>
          <w:p>
            <w:pPr>
              <w:spacing w:after="0"/>
              <w:rPr>
                <w:sz w:val="1"/>
                <w:szCs w:val="1"/>
                <w:color w:val="auto"/>
              </w:rPr>
            </w:pPr>
          </w:p>
        </w:tc>
      </w:tr>
      <w:tr>
        <w:trPr>
          <w:trHeight w:val="15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8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4"/>
          </w:tcPr>
          <w:p>
            <w:pPr>
              <w:jc w:val="right"/>
              <w:ind w:right="759"/>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real estate loans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One-to-four family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8"/>
        </w:trPr>
        <w:tc>
          <w:tcPr>
            <w:tcW w:w="2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w w:val="95"/>
              </w:rPr>
              <w:t>—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loans that had a payment default during the six months months ended December 31, 2023 that had previously been modified within the same period.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Off-Balance Sheet Credit Exposure</w:t>
      </w:r>
    </w:p>
    <w:p>
      <w:pPr>
        <w:spacing w:after="0" w:line="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December 31, 2023, June 30, 2023 and June 30, 2022, the ACL on off-balance sheet credit exposures included in other liabilities was $2,587, $3,557 and $3,304,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7. Premises and Equipment</w:t>
            </w: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8"/>
        </w:trPr>
        <w:tc>
          <w:tcPr>
            <w:tcW w:w="6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Premises and equipment as of the dates indicated consist of the following:</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5"/>
                <w:szCs w:val="15"/>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Pr>
          <w:p>
            <w:pPr>
              <w:spacing w:after="0"/>
              <w:rPr>
                <w:sz w:val="15"/>
                <w:szCs w:val="15"/>
                <w:color w:val="auto"/>
              </w:rPr>
            </w:pPr>
          </w:p>
        </w:tc>
        <w:tc>
          <w:tcPr>
            <w:tcW w:w="14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63"/>
        </w:trPr>
        <w:tc>
          <w:tcPr>
            <w:tcW w:w="61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24,332</w:t>
            </w:r>
          </w:p>
        </w:tc>
      </w:tr>
      <w:tr>
        <w:trPr>
          <w:trHeight w:val="168"/>
        </w:trPr>
        <w:tc>
          <w:tcPr>
            <w:tcW w:w="61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Office buildings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68,385</w:t>
            </w:r>
          </w:p>
        </w:tc>
      </w:tr>
      <w:tr>
        <w:trPr>
          <w:trHeight w:val="172"/>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fixtures and equipment</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16,550</w:t>
            </w:r>
          </w:p>
        </w:tc>
      </w:tr>
      <w:tr>
        <w:trPr>
          <w:trHeight w:val="158"/>
        </w:trPr>
        <w:tc>
          <w:tcPr>
            <w:tcW w:w="61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109,267</w:t>
            </w:r>
          </w:p>
        </w:tc>
      </w:tr>
      <w:tr>
        <w:trPr>
          <w:trHeight w:val="170"/>
        </w:trPr>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(49,897)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(48,581)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(40,173)</w:t>
            </w:r>
          </w:p>
        </w:tc>
      </w:tr>
      <w:tr>
        <w:trPr>
          <w:trHeight w:val="163"/>
        </w:trPr>
        <w:tc>
          <w:tcPr>
            <w:tcW w:w="6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Premises and equipment, net</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70,937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73,171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69,094</w:t>
            </w: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Depreciation expense associated with premises and equipment was $1,968 for the six months ended December 31, 2023 and $4,152, $3,986 and $3,634 for the years ended June 30, 2023, 2022 and 2021, respectively.</w:t>
      </w:r>
    </w:p>
    <w:p>
      <w:pPr>
        <w:spacing w:after="0" w:line="114" w:lineRule="exact"/>
        <w:rPr>
          <w:sz w:val="20"/>
          <w:szCs w:val="20"/>
          <w:color w:val="auto"/>
        </w:rPr>
      </w:pPr>
    </w:p>
    <w:p>
      <w:pPr>
        <w:ind w:left="140" w:hanging="135"/>
        <w:spacing w:after="0"/>
        <w:tabs>
          <w:tab w:leader="none" w:pos="140" w:val="left"/>
        </w:tabs>
        <w:numPr>
          <w:ilvl w:val="0"/>
          <w:numId w:val="3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Goodwill and Core Deposit Intangibles</w:t>
      </w:r>
    </w:p>
    <w:p>
      <w:pPr>
        <w:spacing w:after="0" w:line="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carrying amount of the Company's goodwill was $34,111 at both December 31, 2023 and June 30, 2023, and $25,638 as of June 30, 2022. The increase from June 30, 2022 to June 30, 2023 was a result of the $8,473 in goodwill associated with the Company's merger with Quantum, computed as shown in "Note 3 – Merger with Quantum". The Company also recorded $12,210 of core deposit intangibles associated with the merger with Quantum, to be amortized over the next 10 years on an accelerated basis. Amortization expense related to core deposit intangibles was $1,719 for the six months ended December 31, 2023 and $1,525, $250 and $735 for the years ended June 30, 2023, 2022 and 2021, respectively. As of December 31, 2023, the estimated amortization expense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6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0" w:type="dxa"/>
            <w:vAlign w:val="bottom"/>
          </w:tcPr>
          <w:p>
            <w:pPr>
              <w:spacing w:after="0"/>
              <w:rPr>
                <w:sz w:val="1"/>
                <w:szCs w:val="1"/>
                <w:color w:val="auto"/>
              </w:rPr>
            </w:pPr>
          </w:p>
        </w:tc>
      </w:tr>
      <w:tr>
        <w:trPr>
          <w:trHeight w:val="16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0" w:type="dxa"/>
            <w:vAlign w:val="bottom"/>
          </w:tcPr>
          <w:p>
            <w:pPr>
              <w:spacing w:after="0"/>
              <w:rPr>
                <w:sz w:val="1"/>
                <w:szCs w:val="1"/>
                <w:color w:val="auto"/>
              </w:rPr>
            </w:pPr>
          </w:p>
        </w:tc>
      </w:tr>
      <w:tr>
        <w:trPr>
          <w:trHeight w:val="174"/>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6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0" w:type="dxa"/>
            <w:vAlign w:val="bottom"/>
          </w:tcPr>
          <w:p>
            <w:pPr>
              <w:spacing w:after="0"/>
              <w:rPr>
                <w:sz w:val="1"/>
                <w:szCs w:val="1"/>
                <w:color w:val="auto"/>
              </w:rPr>
            </w:pPr>
          </w:p>
        </w:tc>
      </w:tr>
      <w:tr>
        <w:trPr>
          <w:trHeight w:val="16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0" w:type="dxa"/>
            <w:vAlign w:val="bottom"/>
          </w:tcPr>
          <w:p>
            <w:pPr>
              <w:spacing w:after="0"/>
              <w:rPr>
                <w:sz w:val="1"/>
                <w:szCs w:val="1"/>
                <w:color w:val="auto"/>
              </w:rPr>
            </w:pPr>
          </w:p>
        </w:tc>
      </w:tr>
      <w:tr>
        <w:trPr>
          <w:trHeight w:val="174"/>
        </w:trPr>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6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168"/>
        </w:trPr>
        <w:tc>
          <w:tcPr>
            <w:tcW w:w="6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0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0" w:type="dxa"/>
            <w:vAlign w:val="bottom"/>
          </w:tcPr>
          <w:p>
            <w:pPr>
              <w:spacing w:after="0"/>
              <w:rPr>
                <w:sz w:val="1"/>
                <w:szCs w:val="1"/>
                <w:color w:val="auto"/>
              </w:rPr>
            </w:pPr>
          </w:p>
        </w:tc>
      </w:tr>
      <w:tr>
        <w:trPr>
          <w:trHeight w:val="188"/>
        </w:trPr>
        <w:tc>
          <w:tcPr>
            <w:tcW w:w="67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9. Deposits</w:t>
            </w: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gridSpan w:val="3"/>
            <w:vMerge w:val="continue"/>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Deposit accounts at the dates indicated consist of the following:</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6"/>
                <w:szCs w:val="16"/>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0" w:type="dxa"/>
            <w:vAlign w:val="bottom"/>
          </w:tcPr>
          <w:p>
            <w:pPr>
              <w:spacing w:after="0"/>
              <w:rPr>
                <w:sz w:val="1"/>
                <w:szCs w:val="1"/>
                <w:color w:val="auto"/>
              </w:rPr>
            </w:pPr>
          </w:p>
        </w:tc>
      </w:tr>
      <w:tr>
        <w:trPr>
          <w:trHeight w:val="163"/>
        </w:trPr>
        <w:tc>
          <w:tcPr>
            <w:tcW w:w="67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Noninterest-bearing accounts</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784,950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825,481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745,746</w:t>
            </w:r>
          </w:p>
        </w:tc>
        <w:tc>
          <w:tcPr>
            <w:tcW w:w="0" w:type="dxa"/>
            <w:vAlign w:val="bottom"/>
          </w:tcPr>
          <w:p>
            <w:pPr>
              <w:spacing w:after="0"/>
              <w:rPr>
                <w:sz w:val="1"/>
                <w:szCs w:val="1"/>
                <w:color w:val="auto"/>
              </w:rPr>
            </w:pPr>
          </w:p>
        </w:tc>
      </w:tr>
      <w:tr>
        <w:trPr>
          <w:trHeight w:val="16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NOW accounts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654,981</w:t>
            </w:r>
          </w:p>
        </w:tc>
        <w:tc>
          <w:tcPr>
            <w:tcW w:w="0" w:type="dxa"/>
            <w:vAlign w:val="bottom"/>
          </w:tcPr>
          <w:p>
            <w:pPr>
              <w:spacing w:after="0"/>
              <w:rPr>
                <w:sz w:val="1"/>
                <w:szCs w:val="1"/>
                <w:color w:val="auto"/>
              </w:rPr>
            </w:pPr>
          </w:p>
        </w:tc>
      </w:tr>
      <w:tr>
        <w:trPr>
          <w:trHeight w:val="172"/>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market accounts</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1,241,840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0" w:type="dxa"/>
            <w:vAlign w:val="bottom"/>
          </w:tcPr>
          <w:p>
            <w:pPr>
              <w:spacing w:after="0"/>
              <w:rPr>
                <w:sz w:val="1"/>
                <w:szCs w:val="1"/>
                <w:color w:val="auto"/>
              </w:rPr>
            </w:pPr>
          </w:p>
        </w:tc>
      </w:tr>
      <w:tr>
        <w:trPr>
          <w:trHeight w:val="16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Savings accounts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0" w:type="dxa"/>
            <w:vAlign w:val="bottom"/>
          </w:tcPr>
          <w:p>
            <w:pPr>
              <w:spacing w:after="0"/>
              <w:rPr>
                <w:sz w:val="1"/>
                <w:szCs w:val="1"/>
                <w:color w:val="auto"/>
              </w:rPr>
            </w:pPr>
          </w:p>
        </w:tc>
      </w:tr>
      <w:tr>
        <w:trPr>
          <w:trHeight w:val="170"/>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Certificates of deposit</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710,522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0" w:type="dxa"/>
            <w:vAlign w:val="bottom"/>
          </w:tcPr>
          <w:p>
            <w:pPr>
              <w:spacing w:after="0"/>
              <w:rPr>
                <w:sz w:val="1"/>
                <w:szCs w:val="1"/>
                <w:color w:val="auto"/>
              </w:rPr>
            </w:pPr>
          </w:p>
        </w:tc>
      </w:tr>
      <w:tr>
        <w:trPr>
          <w:trHeight w:val="163"/>
        </w:trPr>
        <w:tc>
          <w:tcPr>
            <w:tcW w:w="6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3,661,373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3,601,168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3,099,761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a result of the Company's merger with Quantum on February 12, 2023, $570,602 in deposits were assumed, net of purchase accounting adjustments. Deposits received from executive officers, directors and their associates totaled approximately $1,555, $5,130 and $1,012 at December 31, 2023, June 30, 2023 and June 30, 2022,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7"/>
        </w:trPr>
        <w:tc>
          <w:tcPr>
            <w:tcW w:w="9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December 31, 2023, scheduled maturities of certificates of deposit were as follows: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9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812,987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9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Certificates of deposit with balances of $250 or greater totaled $118,035, $120,666 and $156,558 at December 31, 2023, June 30, 2023 and June 30, 2022, respectively. Generally, deposit amounts in excess of $250 are not federally insured.</w:t>
      </w:r>
    </w:p>
    <w:p>
      <w:pPr>
        <w:spacing w:after="0" w:line="83" w:lineRule="exact"/>
        <w:rPr>
          <w:sz w:val="20"/>
          <w:szCs w:val="20"/>
          <w:color w:val="auto"/>
        </w:rPr>
      </w:pPr>
    </w:p>
    <w:p>
      <w:pPr>
        <w:ind w:left="200" w:hanging="195"/>
        <w:spacing w:after="0"/>
        <w:tabs>
          <w:tab w:leader="none" w:pos="200" w:val="left"/>
        </w:tabs>
        <w:numPr>
          <w:ilvl w:val="0"/>
          <w:numId w:val="3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Borrowings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Junior Subordinated Debentures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trust preferred securities accrue and pay quarterly distributions at a floating rate of 3-month Term SOFR plus 2.20%, which was 7.53% at December 31, 2023.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Borrowings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Borrowings, other than junior subordinated debt, consist of the following at the dates indicated: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224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4"/>
                <w:szCs w:val="14"/>
                <w:color w:val="auto"/>
              </w:rPr>
            </w:pPr>
          </w:p>
        </w:tc>
        <w:tc>
          <w:tcPr>
            <w:tcW w:w="214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180" w:type="dxa"/>
            <w:vAlign w:val="bottom"/>
            <w:tcBorders>
              <w:top w:val="single" w:sz="8" w:color="auto"/>
            </w:tcBorders>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0" w:type="dxa"/>
            <w:vAlign w:val="bottom"/>
            <w:tcBorders>
              <w:top w:val="single" w:sz="8" w:color="auto"/>
            </w:tcBorders>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180" w:type="dxa"/>
            <w:vAlign w:val="bottom"/>
            <w:tcBorders>
              <w:top w:val="single" w:sz="8" w:color="auto"/>
            </w:tcBorders>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Average Rate</w:t>
            </w:r>
          </w:p>
        </w:tc>
        <w:tc>
          <w:tcPr>
            <w:tcW w:w="0" w:type="dxa"/>
            <w:vAlign w:val="bottom"/>
          </w:tcPr>
          <w:p>
            <w:pPr>
              <w:spacing w:after="0"/>
              <w:rPr>
                <w:sz w:val="1"/>
                <w:szCs w:val="1"/>
                <w:color w:val="auto"/>
              </w:rPr>
            </w:pPr>
          </w:p>
        </w:tc>
      </w:tr>
      <w:tr>
        <w:trPr>
          <w:trHeight w:val="16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FHLB advances (short-term)</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w:t>
            </w: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w w:val="97"/>
              </w:rPr>
              <w:t>5.44 %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7"/>
              </w:rPr>
              <w:t>5.19 %</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w w:val="95"/>
              </w:rPr>
              <w:t>— %</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FRB advances (short-term)</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tcPr>
          <w:p>
            <w:pPr>
              <w:spacing w:after="0"/>
              <w:rPr>
                <w:sz w:val="14"/>
                <w:szCs w:val="14"/>
                <w:color w:val="auto"/>
              </w:rPr>
            </w:pPr>
          </w:p>
        </w:tc>
        <w:tc>
          <w:tcPr>
            <w:tcW w:w="118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257,000</w:t>
            </w:r>
          </w:p>
        </w:tc>
        <w:tc>
          <w:tcPr>
            <w:tcW w:w="80" w:type="dxa"/>
            <w:vAlign w:val="bottom"/>
          </w:tcPr>
          <w:p>
            <w:pPr>
              <w:spacing w:after="0"/>
              <w:rPr>
                <w:sz w:val="14"/>
                <w:szCs w:val="14"/>
                <w:color w:val="auto"/>
              </w:rPr>
            </w:pPr>
          </w:p>
        </w:tc>
        <w:tc>
          <w:tcPr>
            <w:tcW w:w="12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Revolving lines of credit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4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 other borrowings</w:t>
            </w: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w w:val="97"/>
              </w:rPr>
              <w:t>5.64 %</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457,263</w:t>
            </w:r>
          </w:p>
        </w:tc>
        <w:tc>
          <w:tcPr>
            <w:tcW w:w="80" w:type="dxa"/>
            <w:vAlign w:val="bottom"/>
          </w:tcPr>
          <w:p>
            <w:pPr>
              <w:spacing w:after="0"/>
              <w:rPr>
                <w:sz w:val="13"/>
                <w:szCs w:val="13"/>
                <w:color w:val="auto"/>
              </w:rPr>
            </w:pPr>
          </w:p>
        </w:tc>
        <w:tc>
          <w:tcPr>
            <w:tcW w:w="12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w w:val="97"/>
              </w:rPr>
              <w:t>5.38 %</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w w:val="95"/>
              </w:rPr>
              <w:t>—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All qualifying one-to-four family loans, HELOCs, commercial real estate loans and FHLB of Atlanta stock are pledged as collateral to secure outstanding FHLB advances while commercial construction, indirect auto and municipal leases are pledged as collateral to secure outstanding FRB advances. At December 31, 2023, June 30, 2023 and June 30, 2022, the Company had the ability to borrow $72,766, $22,673 and $277,561, respectively, through FHLB advances and $55,254, $91,316 and $68,230, respectively, through the unused portion of a line of credit with the FRB. During the year ended June 30, 2021, the Company paid $22,690 in prepayment penalties on FHLB advances. No such penalties were incurred during the six months ended December 31, 2023 or years ended June 30, 2023 and June 30, 2022.</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 xml:space="preserve">At December 31, 2023, June 30, 2023 and June 30, 2022, the Company maintained revolving lines of credit with three unaffiliated banks, the unused portion of which totaled $146,237, $144,737 and $120,000, respectively. At December 31, 2023, HomeTrust had drawn $18,763 on a $40,000 revolving line of credit which bears interest at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prime rate plus 50 basis points, maturing on January 28, 2025, although the term may be extended for an additional year if no events of default have occurred.</w:t>
      </w:r>
    </w:p>
    <w:p>
      <w:pPr>
        <w:spacing w:after="0" w:line="87" w:lineRule="exact"/>
        <w:rPr>
          <w:sz w:val="20"/>
          <w:szCs w:val="20"/>
          <w:color w:val="auto"/>
        </w:rPr>
      </w:pPr>
    </w:p>
    <w:p>
      <w:pPr>
        <w:ind w:left="180" w:hanging="175"/>
        <w:spacing w:after="0"/>
        <w:tabs>
          <w:tab w:leader="none" w:pos="180" w:val="left"/>
        </w:tabs>
        <w:numPr>
          <w:ilvl w:val="0"/>
          <w:numId w:val="3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Operating Leases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Sheets. The Company recognizes lease expenses for these leases over the lease term.</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The following tables present supplemental balance sheet information related to operating leases. ROU assets are included in other assets and lease liabilities are included in other liabilities.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balance sheet information</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ROU assets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9,259</w:t>
            </w:r>
          </w:p>
        </w:tc>
        <w:tc>
          <w:tcPr>
            <w:tcW w:w="10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9,674</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Lease liabilities</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10,790</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6,641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Weighted-average remaining lease terms (years)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3.41 %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2.90 %</w:t>
            </w:r>
          </w:p>
        </w:tc>
        <w:tc>
          <w:tcPr>
            <w:tcW w:w="0" w:type="dxa"/>
            <w:vAlign w:val="bottom"/>
          </w:tcPr>
          <w:p>
            <w:pPr>
              <w:spacing w:after="0"/>
              <w:rPr>
                <w:sz w:val="1"/>
                <w:szCs w:val="1"/>
                <w:color w:val="auto"/>
              </w:rPr>
            </w:pPr>
          </w:p>
        </w:tc>
      </w:tr>
      <w:tr>
        <w:trPr>
          <w:trHeight w:val="261"/>
        </w:trPr>
        <w:tc>
          <w:tcPr>
            <w:tcW w:w="682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The following schedule summarizes aggregate future minimum lease payments under these operating leases at December 31, 2023:</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 undiscounted minimum lease payments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lease liability</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The following table presents components of operating lease expense for the periods indicated:</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cost (included in occupancy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Variable lease cost (included in occupancy expense, net)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Sublease income (included in other noninterest income)</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Total operating lease expense,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Lessee - Finance Lease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fiscal year ended June 30, 2023, the Company purchased the property associated with the finance lease reported historically. The Company purchased the property for $1,249, terminating the existing land lease.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 to the purchase, for the fiscal years ended June 30, 2023 and June 30, 2022, interest expense on the lease liability totaled $60 and $93, respectively.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6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lease cash flow information for the periods indicated:</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5"/>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880" w:type="dxa"/>
            <w:vAlign w:val="bottom"/>
            <w:tcBorders>
              <w:bottom w:val="single" w:sz="8" w:color="auto"/>
            </w:tcBorders>
          </w:tcPr>
          <w:p>
            <w:pPr>
              <w:spacing w:after="0"/>
              <w:rPr>
                <w:sz w:val="16"/>
                <w:szCs w:val="16"/>
                <w:color w:val="auto"/>
              </w:rPr>
            </w:pPr>
          </w:p>
        </w:tc>
      </w:tr>
      <w:tr>
        <w:trPr>
          <w:trHeight w:val="159"/>
        </w:trPr>
        <w:tc>
          <w:tcPr>
            <w:tcW w:w="6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ROU assets - noncash additions (operating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(operating leases)</w:t>
            </w: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w:t>
            </w:r>
          </w:p>
        </w:tc>
      </w:tr>
      <w:tr>
        <w:trPr>
          <w:trHeight w:val="17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 (finance leases)</w:t>
            </w: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General</w:t>
      </w:r>
    </w:p>
    <w:p>
      <w:pPr>
        <w:spacing w:after="0" w:line="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Operating Leases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$30,121, $21,749 and $20,075 with a residual value of $14,958, $13,267 and $12,874 as of December 31, 2023, June 30, 2023 and June 30, 2022, respectively.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total equipment finance operating lease income and depreciation expense for the periods indicated:</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5"/>
        </w:trPr>
        <w:tc>
          <w:tcPr>
            <w:tcW w:w="6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780" w:type="dxa"/>
            <w:vAlign w:val="bottom"/>
            <w:tcBorders>
              <w:bottom w:val="single" w:sz="8" w:color="auto"/>
            </w:tcBorders>
          </w:tcPr>
          <w:p>
            <w:pPr>
              <w:spacing w:after="0"/>
              <w:rPr>
                <w:sz w:val="16"/>
                <w:szCs w:val="16"/>
                <w:color w:val="auto"/>
              </w:rPr>
            </w:pPr>
          </w:p>
        </w:tc>
      </w:tr>
      <w:tr>
        <w:trPr>
          <w:trHeight w:val="159"/>
        </w:trPr>
        <w:tc>
          <w:tcPr>
            <w:tcW w:w="67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2"/>
              </w:rPr>
              <w:t>2022</w:t>
            </w:r>
          </w:p>
        </w:tc>
      </w:tr>
      <w:tr>
        <w:trPr>
          <w:trHeight w:val="16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6,392</w:t>
            </w:r>
          </w:p>
        </w:tc>
      </w:tr>
      <w:tr>
        <w:trPr>
          <w:trHeight w:val="165"/>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expense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4,873</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5,362</w:t>
            </w: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HOMETRUST BANCSHARES, INC. AND SUBSIDIARY</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Notes to Consolidated Financial Statements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jc w:val="center"/>
              <w:ind w:left="1256"/>
              <w:spacing w:after="0"/>
              <w:rPr>
                <w:sz w:val="20"/>
                <w:szCs w:val="20"/>
                <w:color w:val="auto"/>
              </w:rPr>
            </w:pPr>
            <w:r>
              <w:rPr>
                <w:rFonts w:ascii="Times New Roman" w:cs="Times New Roman" w:eastAsia="Times New Roman" w:hAnsi="Times New Roman"/>
                <w:sz w:val="13"/>
                <w:szCs w:val="13"/>
                <w:color w:val="auto"/>
                <w:w w:val="97"/>
              </w:rPr>
              <w:t>(Dollars in thousands, except per share data)</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7"/>
        </w:trPr>
        <w:tc>
          <w:tcPr>
            <w:tcW w:w="9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schedule summarizes aggregate future minimum lease payments to be received at December 31, 2023:</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99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9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 of future minimum payments</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As Lessor - Finance Leases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Finance lease income is recognized as a component of loan interest income over the lease term. The finance leases are included as a component of the equipment finance class of financing receivables under the commercial loans segment of the loan portfolio. For the six months ended December 31, 2023 and years ended June 30, 2023 and June 30, 2022, interest income on equipment finance leases totaled $2,019, $3,390 and $3,057, respectively.</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lease receivable component of finance lease net investment included within equipment finance class of financing receivables was $70,150</w:t>
      </w:r>
      <w:r>
        <w:rPr>
          <w:rFonts w:ascii="Times New Roman" w:cs="Times New Roman" w:eastAsia="Times New Roman" w:hAnsi="Times New Roman"/>
          <w:sz w:val="13"/>
          <w:szCs w:val="13"/>
          <w:color w:val="EE2724"/>
        </w:rPr>
        <w:t>,</w:t>
      </w:r>
      <w:r>
        <w:rPr>
          <w:rFonts w:ascii="Times New Roman" w:cs="Times New Roman" w:eastAsia="Times New Roman" w:hAnsi="Times New Roman"/>
          <w:sz w:val="13"/>
          <w:szCs w:val="13"/>
          <w:color w:val="auto"/>
        </w:rPr>
        <w:t xml:space="preserve"> $70,605 and $62,188 at December 31, 2023, June 30, 2023 and June 30, 2022,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schedule summarizes, as of December 31, 2023, aggregate future minimum finance lease payments to be received: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24,434</w:t>
            </w:r>
          </w:p>
        </w:tc>
        <w:tc>
          <w:tcPr>
            <w:tcW w:w="0" w:type="dxa"/>
            <w:vAlign w:val="bottom"/>
          </w:tcPr>
          <w:p>
            <w:pPr>
              <w:spacing w:after="0"/>
              <w:rPr>
                <w:sz w:val="1"/>
                <w:szCs w:val="1"/>
                <w:color w:val="auto"/>
              </w:rPr>
            </w:pPr>
          </w:p>
        </w:tc>
      </w:tr>
      <w:tr>
        <w:trPr>
          <w:trHeight w:val="16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19,724</w:t>
            </w:r>
          </w:p>
        </w:tc>
        <w:tc>
          <w:tcPr>
            <w:tcW w:w="0" w:type="dxa"/>
            <w:vAlign w:val="bottom"/>
          </w:tcPr>
          <w:p>
            <w:pPr>
              <w:spacing w:after="0"/>
              <w:rPr>
                <w:sz w:val="1"/>
                <w:szCs w:val="1"/>
                <w:color w:val="auto"/>
              </w:rPr>
            </w:pPr>
          </w:p>
        </w:tc>
      </w:tr>
      <w:tr>
        <w:trPr>
          <w:trHeight w:val="174"/>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15,515</w:t>
            </w:r>
          </w:p>
        </w:tc>
        <w:tc>
          <w:tcPr>
            <w:tcW w:w="0" w:type="dxa"/>
            <w:vAlign w:val="bottom"/>
          </w:tcPr>
          <w:p>
            <w:pPr>
              <w:spacing w:after="0"/>
              <w:rPr>
                <w:sz w:val="1"/>
                <w:szCs w:val="1"/>
                <w:color w:val="auto"/>
              </w:rPr>
            </w:pPr>
          </w:p>
        </w:tc>
      </w:tr>
      <w:tr>
        <w:trPr>
          <w:trHeight w:val="165"/>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10,930</w:t>
            </w:r>
          </w:p>
        </w:tc>
        <w:tc>
          <w:tcPr>
            <w:tcW w:w="0" w:type="dxa"/>
            <w:vAlign w:val="bottom"/>
          </w:tcPr>
          <w:p>
            <w:pPr>
              <w:spacing w:after="0"/>
              <w:rPr>
                <w:sz w:val="1"/>
                <w:szCs w:val="1"/>
                <w:color w:val="auto"/>
              </w:rPr>
            </w:pPr>
          </w:p>
        </w:tc>
      </w:tr>
      <w:tr>
        <w:trPr>
          <w:trHeight w:val="174"/>
        </w:trPr>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4,541</w:t>
            </w:r>
          </w:p>
        </w:tc>
        <w:tc>
          <w:tcPr>
            <w:tcW w:w="0" w:type="dxa"/>
            <w:vAlign w:val="bottom"/>
          </w:tcPr>
          <w:p>
            <w:pPr>
              <w:spacing w:after="0"/>
              <w:rPr>
                <w:sz w:val="1"/>
                <w:szCs w:val="1"/>
                <w:color w:val="auto"/>
              </w:rPr>
            </w:pPr>
          </w:p>
        </w:tc>
      </w:tr>
      <w:tr>
        <w:trPr>
          <w:trHeight w:val="168"/>
        </w:trPr>
        <w:tc>
          <w:tcPr>
            <w:tcW w:w="4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0" w:type="dxa"/>
            <w:vAlign w:val="bottom"/>
          </w:tcPr>
          <w:p>
            <w:pPr>
              <w:spacing w:after="0"/>
              <w:rPr>
                <w:sz w:val="1"/>
                <w:szCs w:val="1"/>
                <w:color w:val="auto"/>
              </w:rPr>
            </w:pPr>
          </w:p>
        </w:tc>
      </w:tr>
      <w:tr>
        <w:trPr>
          <w:trHeight w:val="163"/>
        </w:trPr>
        <w:tc>
          <w:tcPr>
            <w:tcW w:w="4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undiscounted minimum payments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79,159</w:t>
            </w:r>
          </w:p>
        </w:tc>
        <w:tc>
          <w:tcPr>
            <w:tcW w:w="0" w:type="dxa"/>
            <w:vAlign w:val="bottom"/>
          </w:tcPr>
          <w:p>
            <w:pPr>
              <w:spacing w:after="0"/>
              <w:rPr>
                <w:sz w:val="1"/>
                <w:szCs w:val="1"/>
                <w:color w:val="auto"/>
              </w:rPr>
            </w:pPr>
          </w:p>
        </w:tc>
      </w:tr>
      <w:tr>
        <w:trPr>
          <w:trHeight w:val="168"/>
        </w:trPr>
        <w:tc>
          <w:tcPr>
            <w:tcW w:w="4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Less: amount representing interest</w:t>
            </w:r>
          </w:p>
        </w:tc>
        <w:tc>
          <w:tcPr>
            <w:tcW w:w="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(9,009)</w:t>
            </w:r>
          </w:p>
        </w:tc>
        <w:tc>
          <w:tcPr>
            <w:tcW w:w="0" w:type="dxa"/>
            <w:vAlign w:val="bottom"/>
          </w:tcPr>
          <w:p>
            <w:pPr>
              <w:spacing w:after="0"/>
              <w:rPr>
                <w:sz w:val="1"/>
                <w:szCs w:val="1"/>
                <w:color w:val="auto"/>
              </w:rPr>
            </w:pPr>
          </w:p>
        </w:tc>
      </w:tr>
      <w:tr>
        <w:trPr>
          <w:trHeight w:val="188"/>
        </w:trPr>
        <w:tc>
          <w:tcPr>
            <w:tcW w:w="428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lease receivable</w:t>
            </w:r>
          </w:p>
        </w:tc>
        <w:tc>
          <w:tcPr>
            <w:tcW w:w="8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70,150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12. Income Taxes</w:t>
            </w: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gridSpan w:val="3"/>
            <w:vMerge w:val="continue"/>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Income tax expense as of the dates indicated consisted of:</w:t>
            </w: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3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7,910</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72"/>
        </w:trPr>
        <w:tc>
          <w:tcPr>
            <w:tcW w:w="4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State</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58"/>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Total current expense (benefit)</w:t>
            </w:r>
          </w:p>
        </w:tc>
        <w:tc>
          <w:tcPr>
            <w:tcW w:w="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72"/>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Federal</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3,374</w:t>
            </w:r>
          </w:p>
        </w:tc>
        <w:tc>
          <w:tcPr>
            <w:tcW w:w="0" w:type="dxa"/>
            <w:vAlign w:val="bottom"/>
          </w:tcPr>
          <w:p>
            <w:pPr>
              <w:spacing w:after="0"/>
              <w:rPr>
                <w:sz w:val="1"/>
                <w:szCs w:val="1"/>
                <w:color w:val="auto"/>
              </w:rPr>
            </w:pPr>
          </w:p>
        </w:tc>
      </w:tr>
      <w:tr>
        <w:trPr>
          <w:trHeight w:val="172"/>
        </w:trPr>
        <w:tc>
          <w:tcPr>
            <w:tcW w:w="4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State</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3"/>
                <w:szCs w:val="13"/>
                <w:color w:val="auto"/>
              </w:rPr>
              <w:t>Total deferred expense (benefit)</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0" w:type="dxa"/>
            <w:vAlign w:val="bottom"/>
          </w:tcPr>
          <w:p>
            <w:pPr>
              <w:spacing w:after="0"/>
              <w:rPr>
                <w:sz w:val="1"/>
                <w:szCs w:val="1"/>
                <w:color w:val="auto"/>
              </w:rPr>
            </w:pPr>
          </w:p>
        </w:tc>
      </w:tr>
      <w:tr>
        <w:trPr>
          <w:trHeight w:val="188"/>
        </w:trPr>
        <w:tc>
          <w:tcPr>
            <w:tcW w:w="4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provision for income taxes differs from the amount of income tax determined by applying the applicable U.S. statutory federal income tax rate to income before income taxes as a result of the following differences for the periods indicated: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Six Months Ended December 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Year Ended June 30,</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59"/>
        </w:trPr>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2021</w:t>
            </w:r>
          </w:p>
        </w:tc>
        <w:tc>
          <w:tcPr>
            <w:tcW w:w="780" w:type="dxa"/>
            <w:vAlign w:val="bottom"/>
            <w:tcBorders>
              <w:bottom w:val="single" w:sz="8" w:color="auto"/>
            </w:tcBorders>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Rate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Rate</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Rate</w:t>
            </w:r>
          </w:p>
        </w:tc>
      </w:tr>
      <w:tr>
        <w:trPr>
          <w:trHeight w:val="16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at federal income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68"/>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resulting from</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 exempt income</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2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State tax, net of federal benefit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7,386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12,560</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20"/>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9"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sources and tax effects of temporary differences that give rise to significant portions of the deferred tax assets (liabilities) at December 31, 2023, June 30, 2023 and June 30, 2022 are presented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Pr>
          <w:p>
            <w:pPr>
              <w:spacing w:after="0"/>
              <w:rPr>
                <w:sz w:val="14"/>
                <w:szCs w:val="14"/>
                <w:color w:val="auto"/>
              </w:rPr>
            </w:pPr>
          </w:p>
        </w:tc>
        <w:tc>
          <w:tcPr>
            <w:tcW w:w="14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52"/>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11,822</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8,796</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compensation and post-retirement benefits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8,407</w:t>
            </w: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operating loss carryforward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Discount from business combinations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Unrealized loss on debt securities held for sale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w:t>
            </w: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r>
      <w:tr>
        <w:trPr>
          <w:trHeight w:val="158"/>
        </w:trPr>
        <w:tc>
          <w:tcPr>
            <w:tcW w:w="6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27,075</w:t>
            </w:r>
          </w:p>
        </w:tc>
      </w:tr>
      <w:tr>
        <w:trPr>
          <w:trHeight w:val="18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Depreciable basis of fixed assets and operating lease equipment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(7,874)</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loan costs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stock, book basis in excess of tax</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BOLI available for redemption</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w:t>
            </w:r>
          </w:p>
        </w:tc>
      </w:tr>
      <w:tr>
        <w:trPr>
          <w:trHeight w:val="168"/>
        </w:trPr>
        <w:tc>
          <w:tcPr>
            <w:tcW w:w="60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ROU asset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w:t>
            </w:r>
          </w:p>
        </w:tc>
      </w:tr>
      <w:tr>
        <w:trPr>
          <w:trHeight w:val="172"/>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r>
      <w:tr>
        <w:trPr>
          <w:trHeight w:val="158"/>
        </w:trPr>
        <w:tc>
          <w:tcPr>
            <w:tcW w:w="6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(19,645)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(15,588)</w:t>
            </w:r>
          </w:p>
        </w:tc>
      </w:tr>
      <w:tr>
        <w:trPr>
          <w:trHeight w:val="18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11,487</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had federal NOL carry forwards of $10,446, $13,207 and $15,967 as of December 31, 2023, June 30, 2023 and June 30, 2022, respectively, with a recorded tax benefit of $2,259, $2,806 and $3,353 included in deferred tax assets. The majority of these NOLs will expire for federal tax purposes from 2031 through 2036, if not previously used.</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Retained earnings at December 31, 2023, June 30, 2023 and June 30, 2022 include $19,570 representing pre-1988 tax bad debt reserve base year amounts for which no deferred tax liability has been provided since these reserves are not expected to reverse and may never reverse. Circumstances that would require an accrual of a portion or all of this unrecorded tax liability are a failure to meet the definition of a bank, dividend payments in excess of current year or accumulated earnings and profits, or other distributions in dissolution or liquidation of the Bank. The Company is no longer subject to examination for federal and state purposes for tax years prior to 2020.</w:t>
      </w:r>
    </w:p>
    <w:p>
      <w:pPr>
        <w:spacing w:after="0" w:line="92" w:lineRule="exact"/>
        <w:rPr>
          <w:sz w:val="20"/>
          <w:szCs w:val="20"/>
          <w:color w:val="auto"/>
        </w:rPr>
      </w:pPr>
    </w:p>
    <w:p>
      <w:pPr>
        <w:ind w:left="200" w:hanging="195"/>
        <w:spacing w:after="0"/>
        <w:tabs>
          <w:tab w:leader="none" w:pos="200" w:val="left"/>
        </w:tabs>
        <w:numPr>
          <w:ilvl w:val="0"/>
          <w:numId w:val="3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Employee Benefit Plans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HomeTrust Bank KSOP Plan is comprised of two components, the 401(k) Plan and the ESOP. The KSOP benefits employees who have attained age 21 and who are employed on the last day of the plan year, or separated during the plan year due to death, disability, or after meeting normal retirement age. Under the 401(k), the Company matches employee contributions at 50% of employee deferrals up to 6% of each employee’s eligible compensation. The Company may also make discretionary profit sharing contributions for the benefit of all eligible participants as long as total contributions do not exceed applicable limitations. Employees become fully vested in the Company’s contributions after four years of service. Under the ESOP, the amount of the Bank's annual contribution is discretionary; however, it must be sufficient to pay the annual loan payment to the Company.</w:t>
      </w:r>
    </w:p>
    <w:p>
      <w:pPr>
        <w:spacing w:after="0" w:line="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Company’s expense for 401(k) contributions to this plan was $556, $987, $911 and $914 for the six months ended December 31, 2023 and years ended June 30, 2023, 2022 and 2021, respectively. The Company's expense related to the ESOP for the six months ended December 31, 2023 and years ended June 30, 2023, 2022 and 2021 was $640, $1,279, $1,502 and $1,125, respectively.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80" w:type="dxa"/>
            <w:vAlign w:val="bottom"/>
          </w:tcPr>
          <w:p>
            <w:pPr>
              <w:spacing w:after="0"/>
              <w:rPr>
                <w:sz w:val="20"/>
                <w:szCs w:val="20"/>
                <w:color w:val="auto"/>
              </w:rPr>
            </w:pPr>
            <w:r>
              <w:rPr>
                <w:rFonts w:ascii="Times New Roman" w:cs="Times New Roman" w:eastAsia="Times New Roman" w:hAnsi="Times New Roman"/>
                <w:sz w:val="13"/>
                <w:szCs w:val="13"/>
                <w:color w:val="auto"/>
              </w:rPr>
              <w:t>Shares held by the ESOP at the dates indicated include the following:</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3"/>
        </w:trPr>
        <w:tc>
          <w:tcPr>
            <w:tcW w:w="6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60" w:type="dxa"/>
            <w:vAlign w:val="bottom"/>
          </w:tcPr>
          <w:p>
            <w:pPr>
              <w:spacing w:after="0"/>
              <w:rPr>
                <w:sz w:val="15"/>
                <w:szCs w:val="15"/>
                <w:color w:val="auto"/>
              </w:rPr>
            </w:pPr>
          </w:p>
        </w:tc>
        <w:tc>
          <w:tcPr>
            <w:tcW w:w="14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6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Unallocated ESOP shares</w:t>
            </w:r>
          </w:p>
        </w:tc>
        <w:tc>
          <w:tcPr>
            <w:tcW w:w="2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449,650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476,100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529,000</w:t>
            </w: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Allocated ESOP shares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502,550</w:t>
            </w:r>
          </w:p>
        </w:tc>
      </w:tr>
      <w:tr>
        <w:trPr>
          <w:trHeight w:val="17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ESOP shares committed to be released</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52,900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26,450</w:t>
            </w:r>
          </w:p>
        </w:tc>
      </w:tr>
      <w:tr>
        <w:trPr>
          <w:trHeight w:val="158"/>
        </w:trPr>
        <w:tc>
          <w:tcPr>
            <w:tcW w:w="6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Total ESOP shares</w:t>
            </w: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1,058,000</w:t>
            </w:r>
          </w:p>
        </w:tc>
      </w:tr>
      <w:tr>
        <w:trPr>
          <w:trHeight w:val="18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unallocated ESOP shares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Post-retirement health care benefits are provided to certain key current and former officers under the Company’s Executive Medical Care Plan (“EMCP”). The EMCP is unfunded and is not qualified under the IRC. Plan expense for the six months ended December 31, 2023 and years ended June 30, 2023, 2022 and 2021 was $6, $50, $219 and $263, respectively. Total accrued expenses related to this plan included in other liabilities were $5,335, $5,425 and $5,533 as of December 31, 2023, June 30, 2023 and June 30, 2022, respectively.</w:t>
      </w:r>
    </w:p>
    <w:p>
      <w:pPr>
        <w:spacing w:after="0" w:line="87" w:lineRule="exact"/>
        <w:rPr>
          <w:sz w:val="20"/>
          <w:szCs w:val="20"/>
          <w:color w:val="auto"/>
        </w:rPr>
      </w:pPr>
    </w:p>
    <w:p>
      <w:pPr>
        <w:ind w:left="200" w:hanging="195"/>
        <w:spacing w:after="0"/>
        <w:tabs>
          <w:tab w:leader="none" w:pos="200" w:val="left"/>
        </w:tabs>
        <w:numPr>
          <w:ilvl w:val="0"/>
          <w:numId w:val="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Deferred Compensation Agreements</w:t>
      </w:r>
    </w:p>
    <w:p>
      <w:pPr>
        <w:spacing w:after="0" w:line="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Company’s Director Emeritus Plans (“Plans”) provide certain benefits to Emeritus Directors for providing current advisory services to the Company. The Plans are unfunded and are not qualified under the IRC. Plan benefits vary by participant and are payable to a designated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beneficiary in the event of death. The Company records an expense based on the present value of expected future benefits. Plan expenses for the six months ended December 31, 2023 and years ended June 30, 2023, 2022 and 2021 were $154, $305, $313 and $392, respectively. Total accrued expenses related to these plans included in other liabilities were $6,127, $6,881 and $7,224 as of December 31, 2023, June 30, 2023 and June 30, 2022, respectively.</w:t>
      </w:r>
    </w:p>
    <w:p>
      <w:pPr>
        <w:spacing w:after="0" w:line="3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Long term deferred compensation and supplemental retirement plans are provided to certain key current and former officers. These plans are unfunded and are not qualified under the IRC. The benefits vary by participant and are payable to a designated beneficiary in the event of death. Plan expenses for the six months ended December 31, 2023 and years ended June 30, 2023, 2022 and 2021 were $355, $581, $616 and $653, respectively. Total accrued expenses related to these plans included in other liabilities were $16,922, $16,749 and $17,048 as of December 31, 2023, June 30, 2023 and June 30, 2022, respectively.</w:t>
      </w:r>
    </w:p>
    <w:p>
      <w:pPr>
        <w:spacing w:after="0" w:line="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the Company has a deferred compensation plan provided to certain current and former officers and directors. The plan allows the participants to defer any of their annual compensation, including bonus payments, up to the maximum allowed for each participant. The plan is unfunded and is not qualified under the IRC. Plan expenses for the six months ended December 31, 2023 and years ended June 30, 2023, 2022 and 2021 were $118, $208, $150 and $164, respectively. The total deferred compensation plan payable included in other liabilities was $4,244, $4,299 and $4,435 as of December 31, 2023, June 30, 2023 and June 30, 2022, respectively.</w:t>
      </w:r>
    </w:p>
    <w:p>
      <w:pPr>
        <w:spacing w:after="0" w:line="92" w:lineRule="exact"/>
        <w:rPr>
          <w:sz w:val="20"/>
          <w:szCs w:val="20"/>
          <w:color w:val="auto"/>
        </w:rPr>
      </w:pPr>
    </w:p>
    <w:p>
      <w:pPr>
        <w:ind w:left="200" w:hanging="195"/>
        <w:spacing w:after="0"/>
        <w:tabs>
          <w:tab w:leader="none" w:pos="200" w:val="left"/>
        </w:tabs>
        <w:numPr>
          <w:ilvl w:val="0"/>
          <w:numId w:val="3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Equity Incentive Plan</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60" w:type="dxa"/>
            <w:vAlign w:val="bottom"/>
            <w:gridSpan w:val="13"/>
          </w:tcPr>
          <w:p>
            <w:pPr>
              <w:spacing w:after="0"/>
              <w:rPr>
                <w:sz w:val="20"/>
                <w:szCs w:val="20"/>
                <w:color w:val="auto"/>
              </w:rPr>
            </w:pPr>
            <w:r>
              <w:rPr>
                <w:rFonts w:ascii="Times New Roman" w:cs="Times New Roman" w:eastAsia="Times New Roman" w:hAnsi="Times New Roman"/>
                <w:sz w:val="13"/>
                <w:szCs w:val="13"/>
                <w:color w:val="auto"/>
              </w:rPr>
              <w:t>The table below presents share-based compensation expense and the estimated related tax benefit for stock options and restricted stock for the dates indicated below:</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4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755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0" w:type="dxa"/>
            <w:vAlign w:val="bottom"/>
          </w:tcPr>
          <w:p>
            <w:pPr>
              <w:spacing w:after="0"/>
              <w:rPr>
                <w:sz w:val="1"/>
                <w:szCs w:val="1"/>
                <w:color w:val="auto"/>
              </w:rPr>
            </w:pPr>
          </w:p>
        </w:tc>
      </w:tr>
      <w:tr>
        <w:trPr>
          <w:trHeight w:val="165"/>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benefit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265"/>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table below presents stock option activity and related information for the periods indicated below:</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ind w:left="356"/>
              <w:spacing w:after="0" w:line="143"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4"/>
          </w:tcPr>
          <w:p>
            <w:pPr>
              <w:jc w:val="center"/>
              <w:ind w:right="600"/>
              <w:spacing w:after="0" w:line="143"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6"/>
              <w:spacing w:after="0" w:line="143"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left="376"/>
              <w:spacing w:after="0" w:line="12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5"/>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9"/>
              </w:rPr>
              <w:t>Contractual Life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4"/>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June 30, 2021</w:t>
            </w:r>
          </w:p>
        </w:tc>
        <w:tc>
          <w:tcPr>
            <w:tcW w:w="10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1,319,456</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19.07</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3.9</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11,657</w:t>
            </w:r>
          </w:p>
        </w:tc>
        <w:tc>
          <w:tcPr>
            <w:tcW w:w="0" w:type="dxa"/>
            <w:vAlign w:val="bottom"/>
          </w:tcPr>
          <w:p>
            <w:pPr>
              <w:spacing w:after="0"/>
              <w:rPr>
                <w:sz w:val="1"/>
                <w:szCs w:val="1"/>
                <w:color w:val="auto"/>
              </w:rPr>
            </w:pPr>
          </w:p>
        </w:tc>
      </w:tr>
      <w:tr>
        <w:trPr>
          <w:trHeight w:val="168"/>
        </w:trPr>
        <w:tc>
          <w:tcPr>
            <w:tcW w:w="5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47,850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(413,636)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(24,800)</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23.96</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Options outstanding at June 30, 2022</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928,870</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4.1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Exercisable at June 30, 2022</w:t>
            </w: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756,720</w:t>
            </w:r>
          </w:p>
        </w:tc>
        <w:tc>
          <w:tcPr>
            <w:tcW w:w="80" w:type="dxa"/>
            <w:vAlign w:val="bottom"/>
          </w:tcPr>
          <w:p>
            <w:pPr>
              <w:spacing w:after="0"/>
              <w:rPr>
                <w:sz w:val="11"/>
                <w:szCs w:val="11"/>
                <w:color w:val="auto"/>
              </w:rPr>
            </w:pPr>
          </w:p>
        </w:tc>
        <w:tc>
          <w:tcPr>
            <w:tcW w:w="1220" w:type="dxa"/>
            <w:vAlign w:val="bottom"/>
          </w:tcPr>
          <w:p>
            <w:pPr>
              <w:jc w:val="right"/>
              <w:ind w:right="10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left="416"/>
              <w:spacing w:after="0" w:line="133" w:lineRule="exact"/>
              <w:rPr>
                <w:sz w:val="20"/>
                <w:szCs w:val="20"/>
                <w:color w:val="auto"/>
              </w:rPr>
            </w:pPr>
            <w:r>
              <w:rPr>
                <w:rFonts w:ascii="Times New Roman" w:cs="Times New Roman" w:eastAsia="Times New Roman" w:hAnsi="Times New Roman"/>
                <w:sz w:val="13"/>
                <w:szCs w:val="13"/>
                <w:color w:val="auto"/>
                <w:w w:val="98"/>
              </w:rPr>
              <w:t>3.3</w:t>
            </w:r>
          </w:p>
        </w:tc>
        <w:tc>
          <w:tcPr>
            <w:tcW w:w="80" w:type="dxa"/>
            <w:vAlign w:val="bottom"/>
          </w:tcPr>
          <w:p>
            <w:pPr>
              <w:spacing w:after="0"/>
              <w:rPr>
                <w:sz w:val="11"/>
                <w:szCs w:val="11"/>
                <w:color w:val="auto"/>
              </w:rPr>
            </w:pPr>
          </w:p>
        </w:tc>
        <w:tc>
          <w:tcPr>
            <w:tcW w:w="420" w:type="dxa"/>
            <w:vAlign w:val="bottom"/>
          </w:tcPr>
          <w:p>
            <w:pPr>
              <w:jc w:val="right"/>
              <w:ind w:right="2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3,971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2022</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172,150</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7.5</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June 30, 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928,870</w:t>
            </w:r>
          </w:p>
        </w:tc>
        <w:tc>
          <w:tcPr>
            <w:tcW w:w="80" w:type="dxa"/>
            <w:vAlign w:val="bottom"/>
          </w:tcPr>
          <w:p>
            <w:pPr>
              <w:spacing w:after="0"/>
              <w:rPr>
                <w:sz w:val="13"/>
                <w:szCs w:val="13"/>
                <w:color w:val="auto"/>
              </w:rPr>
            </w:pP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8"/>
              </w:rPr>
              <w:t>4.1</w:t>
            </w:r>
          </w:p>
        </w:tc>
        <w:tc>
          <w:tcPr>
            <w:tcW w:w="80" w:type="dxa"/>
            <w:vAlign w:val="bottom"/>
          </w:tcPr>
          <w:p>
            <w:pPr>
              <w:spacing w:after="0"/>
              <w:rPr>
                <w:sz w:val="13"/>
                <w:szCs w:val="13"/>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w:t>
            </w:r>
          </w:p>
        </w:tc>
        <w:tc>
          <w:tcPr>
            <w:tcW w:w="0" w:type="dxa"/>
            <w:vAlign w:val="bottom"/>
          </w:tcPr>
          <w:p>
            <w:pPr>
              <w:spacing w:after="0"/>
              <w:rPr>
                <w:sz w:val="1"/>
                <w:szCs w:val="1"/>
                <w:color w:val="auto"/>
              </w:rPr>
            </w:pPr>
          </w:p>
        </w:tc>
      </w:tr>
      <w:tr>
        <w:trPr>
          <w:trHeight w:val="172"/>
        </w:trPr>
        <w:tc>
          <w:tcPr>
            <w:tcW w:w="5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(352,096)</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(12,550)</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Options outstanding at June 30, 2023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569,224</w:t>
            </w:r>
          </w:p>
        </w:tc>
        <w:tc>
          <w:tcPr>
            <w:tcW w:w="80" w:type="dxa"/>
            <w:vAlign w:val="bottom"/>
          </w:tcPr>
          <w:p>
            <w:pPr>
              <w:spacing w:after="0"/>
              <w:rPr>
                <w:sz w:val="14"/>
                <w:szCs w:val="14"/>
                <w:color w:val="auto"/>
              </w:rPr>
            </w:pP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8"/>
              </w:rPr>
              <w:t>5.1</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Exercisable at June 30, 2023</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493,264</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25.40</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4.6</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Non-vested at June 30, 2023</w:t>
            </w: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75,960</w:t>
            </w:r>
          </w:p>
        </w:tc>
        <w:tc>
          <w:tcPr>
            <w:tcW w:w="80" w:type="dxa"/>
            <w:vAlign w:val="bottom"/>
          </w:tcPr>
          <w:p>
            <w:pPr>
              <w:spacing w:after="0"/>
              <w:rPr>
                <w:sz w:val="11"/>
                <w:szCs w:val="11"/>
                <w:color w:val="auto"/>
              </w:rPr>
            </w:pPr>
          </w:p>
        </w:tc>
        <w:tc>
          <w:tcPr>
            <w:tcW w:w="1220" w:type="dxa"/>
            <w:vAlign w:val="bottom"/>
          </w:tcPr>
          <w:p>
            <w:pPr>
              <w:jc w:val="right"/>
              <w:ind w:right="10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27.56</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left="416"/>
              <w:spacing w:after="0" w:line="133" w:lineRule="exact"/>
              <w:rPr>
                <w:sz w:val="20"/>
                <w:szCs w:val="20"/>
                <w:color w:val="auto"/>
              </w:rPr>
            </w:pPr>
            <w:r>
              <w:rPr>
                <w:rFonts w:ascii="Times New Roman" w:cs="Times New Roman" w:eastAsia="Times New Roman" w:hAnsi="Times New Roman"/>
                <w:sz w:val="13"/>
                <w:szCs w:val="13"/>
                <w:color w:val="auto"/>
                <w:w w:val="98"/>
              </w:rPr>
              <w:t>7.9</w:t>
            </w:r>
          </w:p>
        </w:tc>
        <w:tc>
          <w:tcPr>
            <w:tcW w:w="80" w:type="dxa"/>
            <w:vAlign w:val="bottom"/>
          </w:tcPr>
          <w:p>
            <w:pPr>
              <w:spacing w:after="0"/>
              <w:rPr>
                <w:sz w:val="11"/>
                <w:szCs w:val="11"/>
                <w:color w:val="auto"/>
              </w:rPr>
            </w:pPr>
          </w:p>
        </w:tc>
        <w:tc>
          <w:tcPr>
            <w:tcW w:w="420" w:type="dxa"/>
            <w:vAlign w:val="bottom"/>
          </w:tcPr>
          <w:p>
            <w:pPr>
              <w:jc w:val="right"/>
              <w:ind w:right="2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Options outstanding at June 30, 2023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569,224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5.1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8"/>
        </w:trPr>
        <w:tc>
          <w:tcPr>
            <w:tcW w:w="5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Exercised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15.96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(25,374)</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Options outstanding at December 31, 2023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534,350</w:t>
            </w:r>
          </w:p>
        </w:tc>
        <w:tc>
          <w:tcPr>
            <w:tcW w:w="80" w:type="dxa"/>
            <w:vAlign w:val="bottom"/>
          </w:tcPr>
          <w:p>
            <w:pPr>
              <w:spacing w:after="0"/>
              <w:rPr>
                <w:sz w:val="14"/>
                <w:szCs w:val="14"/>
                <w:color w:val="auto"/>
              </w:rPr>
            </w:pP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left="416"/>
              <w:spacing w:after="0"/>
              <w:rPr>
                <w:sz w:val="20"/>
                <w:szCs w:val="20"/>
                <w:color w:val="auto"/>
              </w:rPr>
            </w:pPr>
            <w:r>
              <w:rPr>
                <w:rFonts w:ascii="Times New Roman" w:cs="Times New Roman" w:eastAsia="Times New Roman" w:hAnsi="Times New Roman"/>
                <w:sz w:val="13"/>
                <w:szCs w:val="13"/>
                <w:color w:val="auto"/>
                <w:w w:val="98"/>
              </w:rPr>
              <w:t>4.6</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Exercisable at December 31, 2023</w:t>
            </w:r>
          </w:p>
        </w:tc>
        <w:tc>
          <w:tcPr>
            <w:tcW w:w="10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459,390</w:t>
            </w:r>
          </w:p>
        </w:tc>
        <w:tc>
          <w:tcPr>
            <w:tcW w:w="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w w:val="98"/>
              </w:rPr>
              <w:t>4.2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44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Non-vested at December 31, 2023</w:t>
            </w:r>
          </w:p>
        </w:tc>
        <w:tc>
          <w:tcPr>
            <w:tcW w:w="6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3"/>
                <w:szCs w:val="13"/>
                <w:color w:val="auto"/>
              </w:rPr>
              <w:t>74,960</w:t>
            </w:r>
          </w:p>
        </w:tc>
        <w:tc>
          <w:tcPr>
            <w:tcW w:w="80" w:type="dxa"/>
            <w:vAlign w:val="bottom"/>
          </w:tcPr>
          <w:p>
            <w:pPr>
              <w:spacing w:after="0"/>
              <w:rPr>
                <w:sz w:val="11"/>
                <w:szCs w:val="11"/>
                <w:color w:val="auto"/>
              </w:rPr>
            </w:pPr>
          </w:p>
        </w:tc>
        <w:tc>
          <w:tcPr>
            <w:tcW w:w="1220" w:type="dxa"/>
            <w:vAlign w:val="bottom"/>
          </w:tcPr>
          <w:p>
            <w:pPr>
              <w:jc w:val="right"/>
              <w:ind w:right="10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3"/>
                <w:szCs w:val="13"/>
                <w:color w:val="auto"/>
              </w:rPr>
              <w:t>27.58</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left="416"/>
              <w:spacing w:after="0" w:line="133" w:lineRule="exact"/>
              <w:rPr>
                <w:sz w:val="20"/>
                <w:szCs w:val="20"/>
                <w:color w:val="auto"/>
              </w:rPr>
            </w:pPr>
            <w:r>
              <w:rPr>
                <w:rFonts w:ascii="Times New Roman" w:cs="Times New Roman" w:eastAsia="Times New Roman" w:hAnsi="Times New Roman"/>
                <w:sz w:val="13"/>
                <w:szCs w:val="13"/>
                <w:color w:val="auto"/>
                <w:w w:val="98"/>
              </w:rPr>
              <w:t>7.4</w:t>
            </w:r>
          </w:p>
        </w:tc>
        <w:tc>
          <w:tcPr>
            <w:tcW w:w="80" w:type="dxa"/>
            <w:vAlign w:val="bottom"/>
          </w:tcPr>
          <w:p>
            <w:pPr>
              <w:spacing w:after="0"/>
              <w:rPr>
                <w:sz w:val="11"/>
                <w:szCs w:val="11"/>
                <w:color w:val="auto"/>
              </w:rPr>
            </w:pPr>
          </w:p>
        </w:tc>
        <w:tc>
          <w:tcPr>
            <w:tcW w:w="420" w:type="dxa"/>
            <w:vAlign w:val="bottom"/>
          </w:tcPr>
          <w:p>
            <w:pPr>
              <w:jc w:val="right"/>
              <w:ind w:right="2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3"/>
          <w:szCs w:val="13"/>
          <w:color w:val="auto"/>
        </w:rPr>
        <w:t>Assumptions used in estimating the fair value of options granted during the years ended June 30, 2023 and June 30, 2022 are detailed below. There were no options granted during the six months ended December 31,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1120" w:type="dxa"/>
            <w:vAlign w:val="bottom"/>
            <w:tcBorders>
              <w:bottom w:val="single" w:sz="8" w:color="auto"/>
            </w:tcBorders>
          </w:tcPr>
          <w:p>
            <w:pPr>
              <w:spacing w:after="0"/>
              <w:rPr>
                <w:sz w:val="14"/>
                <w:szCs w:val="14"/>
                <w:color w:val="auto"/>
              </w:rPr>
            </w:pPr>
          </w:p>
        </w:tc>
      </w:tr>
      <w:tr>
        <w:trPr>
          <w:trHeight w:val="161"/>
        </w:trPr>
        <w:tc>
          <w:tcPr>
            <w:tcW w:w="77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volatility</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27.79 %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28.01 %</w:t>
            </w: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dividend yield</w:t>
            </w:r>
          </w:p>
        </w:tc>
        <w:tc>
          <w:tcPr>
            <w:tcW w:w="1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1.13 %</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Risk-free interest rate</w:t>
            </w:r>
          </w:p>
        </w:tc>
        <w:tc>
          <w:tcPr>
            <w:tcW w:w="1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2.02 %</w:t>
            </w:r>
          </w:p>
        </w:tc>
      </w:tr>
      <w:tr>
        <w:trPr>
          <w:trHeight w:val="168"/>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life (years)</w:t>
            </w:r>
          </w:p>
        </w:tc>
        <w:tc>
          <w:tcPr>
            <w:tcW w:w="1120" w:type="dxa"/>
            <w:vAlign w:val="bottom"/>
          </w:tcPr>
          <w:p>
            <w:pPr>
              <w:spacing w:after="0"/>
              <w:rPr>
                <w:sz w:val="14"/>
                <w:szCs w:val="14"/>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6.5</w:t>
            </w:r>
          </w:p>
        </w:tc>
      </w:tr>
      <w:tr>
        <w:trPr>
          <w:trHeight w:val="17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fair value of options granted</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8.60</w:t>
            </w:r>
          </w:p>
        </w:tc>
      </w:tr>
    </w:tbl>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At December 31, 2023, the Company had $382 of unrecognized compensation expense related to 74,960 stock options originally scheduled to vest over a five-year period. The weighted average period over which compensation cost related to non-vested awards is expected to be recognized was 1.2 years at December 31, 2023. At June 30, 2023, the Company had $478 of unrecognized compensation expense related to 75,960 stock options originally scheduled to vest over a five-year period. The weighted average period over which compensation cost related to non-vested awards is expected to be recognized was 1.6 years at June 30, 2023. At June 30, 2022, the Company had $954 of unrecognized compensation expense related to 172,150 stock options originally scheduled to vest over a five-year period. The weighted average period over which compensation cost related to non-vested awards is expected to be recognized was 1.6 years at June 30,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The table below presents restricted stock award activity and related information:</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17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3"/>
                <w:szCs w:val="13"/>
                <w:b w:val="1"/>
                <w:bCs w:val="1"/>
                <w:color w:val="auto"/>
                <w:w w:val="96"/>
              </w:rPr>
              <w:t>Performance-Based</w:t>
            </w:r>
          </w:p>
        </w:tc>
        <w:tc>
          <w:tcPr>
            <w:tcW w:w="240" w:type="dxa"/>
            <w:vAlign w:val="bottom"/>
          </w:tcPr>
          <w:p>
            <w:pPr>
              <w:spacing w:after="0"/>
              <w:rPr>
                <w:sz w:val="12"/>
                <w:szCs w:val="12"/>
                <w:color w:val="auto"/>
              </w:rPr>
            </w:pPr>
          </w:p>
        </w:tc>
        <w:tc>
          <w:tcPr>
            <w:tcW w:w="150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320" w:type="dxa"/>
            <w:vAlign w:val="bottom"/>
          </w:tcPr>
          <w:p>
            <w:pPr>
              <w:spacing w:after="0"/>
              <w:rPr>
                <w:sz w:val="12"/>
                <w:szCs w:val="12"/>
                <w:color w:val="auto"/>
              </w:rPr>
            </w:pPr>
          </w:p>
        </w:tc>
        <w:tc>
          <w:tcPr>
            <w:tcW w:w="1340" w:type="dxa"/>
            <w:vAlign w:val="bottom"/>
          </w:tcPr>
          <w:p>
            <w:pPr>
              <w:jc w:val="center"/>
              <w:ind w:right="256"/>
              <w:spacing w:after="0" w:line="143"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Restricted</w:t>
            </w:r>
          </w:p>
        </w:tc>
        <w:tc>
          <w:tcPr>
            <w:tcW w:w="240" w:type="dxa"/>
            <w:vAlign w:val="bottom"/>
          </w:tcPr>
          <w:p>
            <w:pPr>
              <w:spacing w:after="0"/>
              <w:rPr>
                <w:sz w:val="11"/>
                <w:szCs w:val="11"/>
                <w:color w:val="auto"/>
              </w:rPr>
            </w:pPr>
          </w:p>
        </w:tc>
        <w:tc>
          <w:tcPr>
            <w:tcW w:w="150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Average Grant</w:t>
            </w:r>
          </w:p>
        </w:tc>
        <w:tc>
          <w:tcPr>
            <w:tcW w:w="320" w:type="dxa"/>
            <w:vAlign w:val="bottom"/>
          </w:tcPr>
          <w:p>
            <w:pPr>
              <w:spacing w:after="0"/>
              <w:rPr>
                <w:sz w:val="11"/>
                <w:szCs w:val="11"/>
                <w:color w:val="auto"/>
              </w:rPr>
            </w:pPr>
          </w:p>
        </w:tc>
        <w:tc>
          <w:tcPr>
            <w:tcW w:w="1340" w:type="dxa"/>
            <w:vAlign w:val="bottom"/>
          </w:tcPr>
          <w:p>
            <w:pPr>
              <w:jc w:val="center"/>
              <w:ind w:right="25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17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3"/>
                <w:szCs w:val="13"/>
                <w:b w:val="1"/>
                <w:bCs w:val="1"/>
                <w:color w:val="auto"/>
                <w:w w:val="93"/>
              </w:rPr>
              <w:t>Stock Awards</w:t>
            </w:r>
            <w:r>
              <w:rPr>
                <w:rFonts w:ascii="Times New Roman" w:cs="Times New Roman" w:eastAsia="Times New Roman" w:hAnsi="Times New Roman"/>
                <w:sz w:val="16"/>
                <w:szCs w:val="16"/>
                <w:b w:val="1"/>
                <w:bCs w:val="1"/>
                <w:color w:val="auto"/>
                <w:w w:val="93"/>
                <w:vertAlign w:val="superscript"/>
              </w:rPr>
              <w:t>(1)</w:t>
            </w:r>
          </w:p>
        </w:tc>
        <w:tc>
          <w:tcPr>
            <w:tcW w:w="1740" w:type="dxa"/>
            <w:vAlign w:val="bottom"/>
            <w:gridSpan w:val="2"/>
          </w:tcPr>
          <w:p>
            <w:pPr>
              <w:jc w:val="center"/>
              <w:ind w:right="80"/>
              <w:spacing w:after="0" w:line="170" w:lineRule="exact"/>
              <w:rPr>
                <w:sz w:val="20"/>
                <w:szCs w:val="20"/>
                <w:color w:val="auto"/>
              </w:rPr>
            </w:pPr>
            <w:r>
              <w:rPr>
                <w:rFonts w:ascii="Times New Roman" w:cs="Times New Roman" w:eastAsia="Times New Roman" w:hAnsi="Times New Roman"/>
                <w:sz w:val="13"/>
                <w:szCs w:val="13"/>
                <w:b w:val="1"/>
                <w:bCs w:val="1"/>
                <w:color w:val="auto"/>
                <w:w w:val="96"/>
              </w:rPr>
              <w:t>Stock Units</w:t>
            </w:r>
            <w:r>
              <w:rPr>
                <w:rFonts w:ascii="Times New Roman" w:cs="Times New Roman" w:eastAsia="Times New Roman" w:hAnsi="Times New Roman"/>
                <w:sz w:val="16"/>
                <w:szCs w:val="16"/>
                <w:b w:val="1"/>
                <w:bCs w:val="1"/>
                <w:color w:val="auto"/>
                <w:w w:val="96"/>
                <w:vertAlign w:val="superscript"/>
              </w:rPr>
              <w:t>(2)</w:t>
            </w:r>
          </w:p>
        </w:tc>
        <w:tc>
          <w:tcPr>
            <w:tcW w:w="24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Date Fair Value</w:t>
            </w:r>
          </w:p>
        </w:tc>
        <w:tc>
          <w:tcPr>
            <w:tcW w:w="320" w:type="dxa"/>
            <w:vAlign w:val="bottom"/>
          </w:tcPr>
          <w:p>
            <w:pPr>
              <w:spacing w:after="0"/>
              <w:rPr>
                <w:sz w:val="14"/>
                <w:szCs w:val="14"/>
                <w:color w:val="auto"/>
              </w:rPr>
            </w:pPr>
          </w:p>
        </w:tc>
        <w:tc>
          <w:tcPr>
            <w:tcW w:w="1340" w:type="dxa"/>
            <w:vAlign w:val="bottom"/>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6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120,795</w:t>
            </w:r>
          </w:p>
        </w:tc>
        <w:tc>
          <w:tcPr>
            <w:tcW w:w="8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0" w:type="dxa"/>
            <w:vAlign w:val="bottom"/>
          </w:tcPr>
          <w:p>
            <w:pPr>
              <w:spacing w:after="0"/>
              <w:rPr>
                <w:sz w:val="1"/>
                <w:szCs w:val="1"/>
                <w:color w:val="auto"/>
              </w:rPr>
            </w:pPr>
          </w:p>
        </w:tc>
      </w:tr>
      <w:tr>
        <w:trPr>
          <w:trHeight w:val="168"/>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42,123</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(46,626)</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(13,600)</w:t>
            </w:r>
          </w:p>
        </w:tc>
        <w:tc>
          <w:tcPr>
            <w:tcW w:w="80" w:type="dxa"/>
            <w:vAlign w:val="bottom"/>
          </w:tcPr>
          <w:p>
            <w:pPr>
              <w:spacing w:after="0"/>
              <w:rPr>
                <w:sz w:val="14"/>
                <w:szCs w:val="14"/>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102,692</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33,218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0" w:type="dxa"/>
            <w:vAlign w:val="bottom"/>
          </w:tcPr>
          <w:p>
            <w:pPr>
              <w:spacing w:after="0"/>
              <w:rPr>
                <w:sz w:val="1"/>
                <w:szCs w:val="1"/>
                <w:color w:val="auto"/>
              </w:rPr>
            </w:pPr>
          </w:p>
        </w:tc>
      </w:tr>
      <w:tr>
        <w:trPr>
          <w:trHeight w:val="168"/>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57,839</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(41,590)</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(10,090)</w:t>
            </w: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June 30, 2023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108,851</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0" w:type="dxa"/>
            <w:vAlign w:val="bottom"/>
          </w:tcPr>
          <w:p>
            <w:pPr>
              <w:spacing w:after="0"/>
              <w:rPr>
                <w:sz w:val="1"/>
                <w:szCs w:val="1"/>
                <w:color w:val="auto"/>
              </w:rPr>
            </w:pPr>
          </w:p>
        </w:tc>
      </w:tr>
      <w:tr>
        <w:trPr>
          <w:trHeight w:val="168"/>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Vested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80" w:type="dxa"/>
            <w:vAlign w:val="bottom"/>
          </w:tcPr>
          <w:p>
            <w:pPr>
              <w:spacing w:after="0"/>
              <w:rPr>
                <w:sz w:val="14"/>
                <w:szCs w:val="14"/>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Non-vested at December 31, 2023</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60" w:hanging="255"/>
        <w:spacing w:after="0"/>
        <w:tabs>
          <w:tab w:leader="none" w:pos="260" w:val="left"/>
        </w:tabs>
        <w:numPr>
          <w:ilvl w:val="0"/>
          <w:numId w:val="37"/>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Restricted stock awards are scheduled to vest over 1.0 year for director awards and 5.0 years for employee awards.</w:t>
      </w:r>
    </w:p>
    <w:p>
      <w:pPr>
        <w:spacing w:after="0" w:line="43" w:lineRule="exact"/>
        <w:rPr>
          <w:rFonts w:ascii="Times New Roman" w:cs="Times New Roman" w:eastAsia="Times New Roman" w:hAnsi="Times New Roman"/>
          <w:sz w:val="8"/>
          <w:szCs w:val="8"/>
          <w:color w:val="auto"/>
        </w:rPr>
      </w:pPr>
    </w:p>
    <w:p>
      <w:pPr>
        <w:ind w:left="260" w:hanging="255"/>
        <w:spacing w:after="0"/>
        <w:tabs>
          <w:tab w:leader="none" w:pos="260" w:val="left"/>
        </w:tabs>
        <w:numPr>
          <w:ilvl w:val="0"/>
          <w:numId w:val="37"/>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Performance-based restricted stock units are scheduled to vest over 3.0 years assuming the applicable financial goals are met.</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At December 31, 2023, unrecognized compensation expense was $2,389 related to 131,144 shares of restricted stock. The weighted average period over which compensation cost related to non-vested awards is expected to be recognized was 1.4 years at December 31, 2023. At June 30, 2023, unrecognized compensation expense was $3,154 related to 146,181 shares of restricted stock. The weighted average period over which compensation cost related to non-vested awards is expected to be recognized was 1.8 years at June 30, 2023. At June 30, 2022, unrecognized compensation expense was $2,771 related to 135,910 shares of restricted stock. The weighted average period over which compensation cost related to non-vested awards is expected to be recognized was 1.6 years at June 30, 2022.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ind w:left="200" w:hanging="195"/>
        <w:spacing w:after="0"/>
        <w:tabs>
          <w:tab w:leader="none" w:pos="200" w:val="left"/>
        </w:tabs>
        <w:numPr>
          <w:ilvl w:val="0"/>
          <w:numId w:val="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Net Income per Share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is a reconciliation of the numerator and denominator of basic and diluted net income per share of common stock as of the dates indicated: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9"/>
        </w:trPr>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172"/>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Allocation of earnings to participating securities</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39"/>
        </w:trPr>
        <w:tc>
          <w:tcPr>
            <w:tcW w:w="56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Numerator for basic EPS - net income available to common stockholders</w:t>
            </w:r>
          </w:p>
        </w:tc>
        <w:tc>
          <w:tcPr>
            <w:tcW w:w="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28,078</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44,193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35,343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15,530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0"/>
        </w:trPr>
        <w:tc>
          <w:tcPr>
            <w:tcW w:w="5640" w:type="dxa"/>
            <w:vAlign w:val="bottom"/>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color w:val="auto"/>
              </w:rPr>
              <w:t>Dilutive effect of participating securities</w:t>
            </w:r>
          </w:p>
        </w:tc>
        <w:tc>
          <w:tcPr>
            <w:tcW w:w="10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Numerator for diluted EPS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28,078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44,193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15,534</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564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Denominator</w:t>
            </w:r>
          </w:p>
        </w:tc>
        <w:tc>
          <w:tcPr>
            <w:tcW w:w="1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5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Weighted-average common shares outstanding - basic</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16,806,273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15,698,618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15,516,173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16,078,066</w:t>
            </w:r>
          </w:p>
        </w:tc>
      </w:tr>
      <w:tr>
        <w:trPr>
          <w:trHeight w:val="170"/>
        </w:trPr>
        <w:tc>
          <w:tcPr>
            <w:tcW w:w="5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Dilutive effect of assumed exercise of stock options</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294,236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417,049</w:t>
            </w:r>
          </w:p>
        </w:tc>
      </w:tr>
      <w:tr>
        <w:trPr>
          <w:trHeight w:val="163"/>
        </w:trPr>
        <w:tc>
          <w:tcPr>
            <w:tcW w:w="5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Weighted-average common shares outstanding - diluted</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16,814,176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15,781,506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15,810,409</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16,495,115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2"/>
        </w:trPr>
        <w:tc>
          <w:tcPr>
            <w:tcW w:w="5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income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r>
      <w:tr>
        <w:trPr>
          <w:trHeight w:val="167"/>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r>
    </w:tbl>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Potential dilutive shares are excluded from the computation of earnings per share if their effect is anti-dilutive. There were 512,150, 537,524 and 96,350 stock options that were anti-dilutive as of December 31, 2023, June 30, 2023 and June 30, 2022, respectively.</w:t>
      </w:r>
    </w:p>
    <w:p>
      <w:pPr>
        <w:spacing w:after="0" w:line="83" w:lineRule="exact"/>
        <w:rPr>
          <w:sz w:val="20"/>
          <w:szCs w:val="20"/>
          <w:color w:val="auto"/>
        </w:rPr>
      </w:pPr>
    </w:p>
    <w:p>
      <w:pPr>
        <w:ind w:left="200" w:hanging="195"/>
        <w:spacing w:after="0"/>
        <w:tabs>
          <w:tab w:leader="none" w:pos="200" w:val="left"/>
        </w:tabs>
        <w:numPr>
          <w:ilvl w:val="0"/>
          <w:numId w:val="3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Commitments and Contingencies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Loan Commitments</w:t>
      </w:r>
      <w:r>
        <w:rPr>
          <w:rFonts w:ascii="Times New Roman" w:cs="Times New Roman" w:eastAsia="Times New Roman" w:hAnsi="Times New Roman"/>
          <w:sz w:val="13"/>
          <w:szCs w:val="13"/>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20" w:type="dxa"/>
            <w:vAlign w:val="bottom"/>
          </w:tcPr>
          <w:p>
            <w:pPr>
              <w:spacing w:after="0"/>
              <w:rPr>
                <w:sz w:val="20"/>
                <w:szCs w:val="20"/>
                <w:color w:val="auto"/>
              </w:rPr>
            </w:pPr>
            <w:r>
              <w:rPr>
                <w:rFonts w:ascii="Times New Roman" w:cs="Times New Roman" w:eastAsia="Times New Roman" w:hAnsi="Times New Roman"/>
                <w:sz w:val="13"/>
                <w:szCs w:val="13"/>
                <w:color w:val="auto"/>
              </w:rPr>
              <w:t>The table below presents details of loan commitments outstanding as of the dates indicated:</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3"/>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80" w:type="dxa"/>
            <w:vAlign w:val="bottom"/>
          </w:tcPr>
          <w:p>
            <w:pPr>
              <w:spacing w:after="0"/>
              <w:rPr>
                <w:sz w:val="16"/>
                <w:szCs w:val="16"/>
                <w:color w:val="auto"/>
              </w:rPr>
            </w:pPr>
          </w:p>
        </w:tc>
        <w:tc>
          <w:tcPr>
            <w:tcW w:w="142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6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rate commitments</w:t>
            </w: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45,533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23,159</w:t>
            </w:r>
          </w:p>
        </w:tc>
      </w:tr>
      <w:tr>
        <w:trPr>
          <w:trHeight w:val="170"/>
        </w:trPr>
        <w:tc>
          <w:tcPr>
            <w:tcW w:w="60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Fixed rate commitments</w:t>
            </w:r>
            <w:r>
              <w:rPr>
                <w:rFonts w:ascii="Times New Roman" w:cs="Times New Roman" w:eastAsia="Times New Roman" w:hAnsi="Times New Roman"/>
                <w:sz w:val="16"/>
                <w:szCs w:val="16"/>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27,682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81,586</w:t>
            </w:r>
          </w:p>
        </w:tc>
      </w:tr>
      <w:tr>
        <w:trPr>
          <w:trHeight w:val="160"/>
        </w:trPr>
        <w:tc>
          <w:tcPr>
            <w:tcW w:w="6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loan commitments</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70,508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86,393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104,745</w:t>
            </w:r>
          </w:p>
        </w:tc>
      </w:tr>
      <w:tr>
        <w:trPr>
          <w:trHeight w:val="16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Range of fixed interest rates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 - 11.25%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 - 11.00%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 - 9.00%</w:t>
            </w:r>
          </w:p>
        </w:tc>
      </w:tr>
      <w:tr>
        <w:trPr>
          <w:trHeight w:val="47"/>
        </w:trPr>
        <w:tc>
          <w:tcPr>
            <w:tcW w:w="6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Undisbursed portions of construction loans</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170,425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312,893</w:t>
            </w:r>
          </w:p>
        </w:tc>
      </w:tr>
      <w:tr>
        <w:trPr>
          <w:trHeight w:val="219"/>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Pre-approved but unused lines of credit</w:t>
            </w:r>
            <w:r>
              <w:rPr>
                <w:rFonts w:ascii="Times New Roman" w:cs="Times New Roman" w:eastAsia="Times New Roman" w:hAnsi="Times New Roman"/>
                <w:sz w:val="16"/>
                <w:szCs w:val="16"/>
                <w:color w:val="auto"/>
                <w:vertAlign w:val="superscript"/>
              </w:rPr>
              <w:t>(2)</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690,566</w:t>
            </w:r>
          </w:p>
        </w:tc>
        <w:tc>
          <w:tcPr>
            <w:tcW w:w="80" w:type="dxa"/>
            <w:vAlign w:val="bottom"/>
          </w:tcPr>
          <w:p>
            <w:pPr>
              <w:spacing w:after="0"/>
              <w:rPr>
                <w:sz w:val="19"/>
                <w:szCs w:val="19"/>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608,169</w:t>
            </w:r>
          </w:p>
        </w:tc>
        <w:tc>
          <w:tcPr>
            <w:tcW w:w="80" w:type="dxa"/>
            <w:vAlign w:val="bottom"/>
          </w:tcPr>
          <w:p>
            <w:pPr>
              <w:spacing w:after="0"/>
              <w:rPr>
                <w:sz w:val="19"/>
                <w:szCs w:val="19"/>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485,239</w:t>
            </w:r>
          </w:p>
        </w:tc>
      </w:tr>
    </w:tbl>
    <w:p>
      <w:pPr>
        <w:spacing w:after="0" w:line="4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8"/>
          <w:szCs w:val="8"/>
          <w:color w:val="auto"/>
        </w:rPr>
        <w:t>(1)</w:t>
      </w:r>
      <w:r>
        <w:rPr>
          <w:sz w:val="20"/>
          <w:szCs w:val="20"/>
          <w:color w:val="auto"/>
        </w:rPr>
        <w:tab/>
      </w:r>
      <w:r>
        <w:rPr>
          <w:rFonts w:ascii="Times New Roman" w:cs="Times New Roman" w:eastAsia="Times New Roman" w:hAnsi="Times New Roman"/>
          <w:sz w:val="10"/>
          <w:szCs w:val="10"/>
          <w:color w:val="auto"/>
        </w:rPr>
        <w:t>Fixed rate commitments had terms ranging from three to 30 years as of each date presented.</w:t>
      </w:r>
    </w:p>
    <w:p>
      <w:pPr>
        <w:spacing w:after="0" w:line="2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8"/>
          <w:szCs w:val="8"/>
          <w:color w:val="auto"/>
        </w:rPr>
        <w:t>(2)</w:t>
      </w:r>
      <w:r>
        <w:rPr>
          <w:sz w:val="20"/>
          <w:szCs w:val="20"/>
          <w:color w:val="auto"/>
        </w:rPr>
        <w:tab/>
      </w:r>
      <w:r>
        <w:rPr>
          <w:rFonts w:ascii="Times New Roman" w:cs="Times New Roman" w:eastAsia="Times New Roman" w:hAnsi="Times New Roman"/>
          <w:sz w:val="10"/>
          <w:szCs w:val="10"/>
          <w:color w:val="auto"/>
        </w:rPr>
        <w:t>Principally second mortgage home equity loans and overdraft protection loans.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commitments presented in the above table represent the Company’s exposure to credit risk and, in the opinion of management, have no more than the normal lending risk that the Company commits to its borrowers.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December 31, 2023, June 30, 2023 or June 30, 2022.</w:t>
      </w:r>
    </w:p>
    <w:p>
      <w:pPr>
        <w:spacing w:after="0" w:line="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SBIC Commitments</w:t>
      </w:r>
      <w:r>
        <w:rPr>
          <w:rFonts w:ascii="Times New Roman" w:cs="Times New Roman" w:eastAsia="Times New Roman" w:hAnsi="Times New Roman"/>
          <w:sz w:val="13"/>
          <w:szCs w:val="13"/>
          <w:color w:val="auto"/>
        </w:rPr>
        <w:t xml:space="preserve"> - As of both December 31, 2023 and June 30, 2023, the Company had committed $24,000 across eight SBIC investments with $7,984 remaining to be drawn, while as of June 30, 2022, the Company had committed $21,000 across seven SBIC investments with $7,893 remaining to be drawn. Although the remaining capital commitments may or may not be called in the future, under the terms of the associated limited partnership agreements, the Company's exposure will not extend beyond the amount of the original commitments.</w:t>
      </w:r>
    </w:p>
    <w:p>
      <w:pPr>
        <w:spacing w:after="0" w:line="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u w:val="single" w:color="auto"/>
          <w:color w:val="auto"/>
        </w:rPr>
        <w:t>Restrictions on Cash</w:t>
      </w:r>
      <w:r>
        <w:rPr>
          <w:rFonts w:ascii="Times New Roman" w:cs="Times New Roman" w:eastAsia="Times New Roman" w:hAnsi="Times New Roman"/>
          <w:sz w:val="13"/>
          <w:szCs w:val="13"/>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u w:val="single" w:color="auto"/>
          <w:color w:val="auto"/>
        </w:rPr>
        <w:t>Guarantees</w:t>
      </w:r>
      <w:r>
        <w:rPr>
          <w:rFonts w:ascii="Times New Roman" w:cs="Times New Roman" w:eastAsia="Times New Roman" w:hAnsi="Times New Roman"/>
          <w:sz w:val="12"/>
          <w:szCs w:val="12"/>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December 31, 2023, June 30, 2023 and June 30, 2022 were $50,897, $35,007 and $18,362, respectively. There was no liability recorded for these letters of credit at December 31, 2023, June 30, 2023 or June 30, 2022.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Times New Roman" w:cs="Times New Roman" w:eastAsia="Times New Roman" w:hAnsi="Times New Roman"/>
          <w:sz w:val="13"/>
          <w:szCs w:val="13"/>
          <w:b w:val="1"/>
          <w:bCs w:val="1"/>
          <w:color w:val="auto"/>
        </w:rPr>
        <w:t>.</w:t>
      </w:r>
    </w:p>
    <w:p>
      <w:pPr>
        <w:spacing w:after="0" w:line="87" w:lineRule="exact"/>
        <w:rPr>
          <w:sz w:val="20"/>
          <w:szCs w:val="20"/>
          <w:color w:val="auto"/>
        </w:rPr>
      </w:pPr>
    </w:p>
    <w:p>
      <w:pPr>
        <w:ind w:left="200" w:hanging="195"/>
        <w:spacing w:after="0"/>
        <w:tabs>
          <w:tab w:leader="none" w:pos="200" w:val="left"/>
        </w:tabs>
        <w:numPr>
          <w:ilvl w:val="0"/>
          <w:numId w:val="4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Regulatory Capital Matters</w:t>
      </w:r>
    </w:p>
    <w:p>
      <w:pPr>
        <w:spacing w:after="0" w:line="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HomeTrust Bancshares, Inc. is a bank holding company subject to regulation by the Federal Reserve. As a bank holding company, it is subject to capital adequacy requirements of the Federal Reserve under the Bank Holding Company Act of 1956, as amended and the regulations of the Federal Reserve. The Company's subsidiary, the Bank, an FDIC-insured, North Carolina state-chartered bank and a member of the Federal Reserve System, is supervised and regulated by the Federal Reserve and the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additional discretionary actions by bank regulators that, if undertaken, could have a direct material effect on the Company's financial statements.</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Under capital adequacy guidelines and the regulatory framework for prompt corrective action, the Bank must meet specific capital guidelines that involve quantitative measures of the Bank’s assets, liabilities and certain off-balance sheet items as calculated under regulatory accounting practices. The Bank’s capital amounts and classification are also subject to qualitative judgments by the regulators about components, risk weightings and other factors.</w:t>
      </w:r>
    </w:p>
    <w:p>
      <w:pPr>
        <w:spacing w:after="0" w:line="3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At December 31, 2023, HomeTrust Bancshares, Inc. and the Bank each exceeded all regulatory capital requirements. Consistent with the Company's goals to operate a sound and profitable organization, its policy is for the Bank to maintain a “well-capitalized” status under the regulatory capital categories of the Federal Reserve. The Bank was categorized as "well-capitalized" at December 31, 2023 under applicable regulatory requirements.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20" w:type="dxa"/>
            <w:vAlign w:val="bottom"/>
            <w:gridSpan w:val="6"/>
          </w:tcPr>
          <w:p>
            <w:pPr>
              <w:spacing w:after="0"/>
              <w:rPr>
                <w:sz w:val="20"/>
                <w:szCs w:val="20"/>
                <w:color w:val="auto"/>
              </w:rPr>
            </w:pPr>
            <w:r>
              <w:rPr>
                <w:rFonts w:ascii="Times New Roman" w:cs="Times New Roman" w:eastAsia="Times New Roman" w:hAnsi="Times New Roman"/>
                <w:sz w:val="13"/>
                <w:szCs w:val="13"/>
                <w:color w:val="auto"/>
                <w:w w:val="97"/>
              </w:rPr>
              <w:t>HomeTrust Bancshares, Inc. and the Bank's actual and required minimum capital amounts and ratios are as follows: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3"/>
                <w:szCs w:val="13"/>
                <w:b w:val="1"/>
                <w:bCs w:val="1"/>
                <w:color w:val="auto"/>
              </w:rPr>
              <w:t>Regulatory Requirements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gridSpan w:val="4"/>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Minimum for Capital</w:t>
            </w:r>
          </w:p>
        </w:tc>
        <w:tc>
          <w:tcPr>
            <w:tcW w:w="200" w:type="dxa"/>
            <w:vAlign w:val="bottom"/>
          </w:tcPr>
          <w:p>
            <w:pPr>
              <w:spacing w:after="0"/>
              <w:rPr>
                <w:sz w:val="10"/>
                <w:szCs w:val="10"/>
                <w:color w:val="auto"/>
              </w:rPr>
            </w:pPr>
          </w:p>
        </w:tc>
        <w:tc>
          <w:tcPr>
            <w:tcW w:w="1360" w:type="dxa"/>
            <w:vAlign w:val="bottom"/>
            <w:gridSpan w:val="3"/>
          </w:tcPr>
          <w:p>
            <w:pPr>
              <w:ind w:left="500"/>
              <w:spacing w:after="0" w:line="120" w:lineRule="exact"/>
              <w:rPr>
                <w:sz w:val="20"/>
                <w:szCs w:val="20"/>
                <w:color w:val="auto"/>
              </w:rPr>
            </w:pPr>
            <w:r>
              <w:rPr>
                <w:rFonts w:ascii="Times New Roman" w:cs="Times New Roman" w:eastAsia="Times New Roman" w:hAnsi="Times New Roman"/>
                <w:sz w:val="13"/>
                <w:szCs w:val="13"/>
                <w:b w:val="1"/>
                <w:bCs w:val="1"/>
                <w:color w:val="auto"/>
                <w:w w:val="96"/>
              </w:rPr>
              <w:t>Minimum to Be</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Adequacy Purposes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Well Capitalized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Ratio</w:t>
            </w:r>
          </w:p>
        </w:tc>
        <w:tc>
          <w:tcPr>
            <w:tcW w:w="180" w:type="dxa"/>
            <w:vAlign w:val="bottom"/>
          </w:tcPr>
          <w:p>
            <w:pPr>
              <w:spacing w:after="0"/>
              <w:rPr>
                <w:sz w:val="16"/>
                <w:szCs w:val="16"/>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Ratio</w:t>
            </w:r>
          </w:p>
        </w:tc>
        <w:tc>
          <w:tcPr>
            <w:tcW w:w="20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2"/>
              </w:rPr>
              <w:t>Ratio</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463,946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6"/>
              </w:rPr>
              <w:t>11.33 %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184,256</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266,148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473,966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174,910</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218,638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473,966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245,675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327,567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327,567</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409,458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437,768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10.60 %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185,794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172,328</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215,411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447,738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247,726</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330,301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330,301</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10.76 %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155,844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142,028</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177,535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372,797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207,792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395,962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HomeTrust Bank</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6"/>
              </w:rPr>
              <w:t>11.83 %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184,249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266,137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11.08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174,849</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218,562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484,238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11.83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245,665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327,553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528,214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12.90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327,553</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409,442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459,871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6"/>
              </w:rPr>
              <w:t>11.14 %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185,791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459,871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10.68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172,221</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215,277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459,871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11.14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247,721</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330,295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12.10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330,295</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412,869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10.35 %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155,844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w w:val="97"/>
              </w:rPr>
              <w:t>4.50 %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Tier 1 Capital (to total adjusted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141,814</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Tier 1 Capital (to risk-weighted assets)</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358,600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207,792</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Risk-based Capital (to risk-weighted assets)</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381,765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277,057</w:t>
            </w:r>
          </w:p>
        </w:tc>
        <w:tc>
          <w:tcPr>
            <w:tcW w:w="80" w:type="dxa"/>
            <w:vAlign w:val="bottom"/>
          </w:tcPr>
          <w:p>
            <w:pPr>
              <w:spacing w:after="0"/>
              <w:rPr>
                <w:sz w:val="14"/>
                <w:szCs w:val="14"/>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346,321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permitted by the interim final rule issued on March 27, 2020 by the federal banking regulatory agencies, the Company has elected the option to delay the estimated impact on regulatory capital of ASU 2016-13, which was adopted on July 1, 2020. The initial adoption of ASU 2016-13 as well as 25% of the quarterly increases in the ACL subsequent to adoption (collectively the “transition adjustments”) will be delayed for two years. After two years, the cumulative amount of the transition adjustments will become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December 31, 2023, the Company's and Bank's risk-based capital exceeded the required capital contribution buffer.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Dividends paid by HomeTrust Bank are limited, without prior regulatory approval, to current year earnings and earnings less dividends paid during the preceding two years.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p>
      <w:pPr>
        <w:ind w:left="200" w:hanging="195"/>
        <w:spacing w:after="0"/>
        <w:tabs>
          <w:tab w:leader="none" w:pos="200" w:val="left"/>
        </w:tabs>
        <w:numPr>
          <w:ilvl w:val="0"/>
          <w:numId w:val="4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Parent Company Only Condensed Financial Information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present parent company only condensed financial information: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Balance Sheets</w:t>
            </w:r>
          </w:p>
        </w:tc>
        <w:tc>
          <w:tcPr>
            <w:tcW w:w="20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00" w:type="dxa"/>
            <w:vAlign w:val="bottom"/>
          </w:tcPr>
          <w:p>
            <w:pPr>
              <w:spacing w:after="0"/>
              <w:rPr>
                <w:sz w:val="14"/>
                <w:szCs w:val="14"/>
                <w:color w:val="auto"/>
              </w:rPr>
            </w:pPr>
          </w:p>
        </w:tc>
        <w:tc>
          <w:tcPr>
            <w:tcW w:w="11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June 30, 2022</w:t>
            </w:r>
          </w:p>
        </w:tc>
      </w:tr>
      <w:tr>
        <w:trPr>
          <w:trHeight w:val="152"/>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6,852</w:t>
            </w: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Investment in bank subsidiary</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520,185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493,289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374,648</w:t>
            </w: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ESOP loan receivable</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6,154</w:t>
            </w:r>
          </w:p>
        </w:tc>
      </w:tr>
      <w:tr>
        <w:trPr>
          <w:trHeight w:val="170"/>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w:t>
            </w:r>
          </w:p>
        </w:tc>
      </w:tr>
      <w:tr>
        <w:trPr>
          <w:trHeight w:val="163"/>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528,721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501,469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388,906</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67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Revolving line of credit</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0"/>
        </w:trPr>
        <w:tc>
          <w:tcPr>
            <w:tcW w:w="6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Stockholders’ equity</w:t>
            </w:r>
          </w:p>
        </w:tc>
        <w:tc>
          <w:tcPr>
            <w:tcW w:w="2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499,893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471,186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388,845</w:t>
            </w:r>
          </w:p>
        </w:tc>
      </w:tr>
      <w:tr>
        <w:trPr>
          <w:trHeight w:val="163"/>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528,721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501,469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388,906</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Statements of Income</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Equity in undistributed bank subsidiary income</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29,606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45,867</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36,281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16,246</w:t>
            </w:r>
          </w:p>
        </w:tc>
      </w:tr>
      <w:tr>
        <w:trPr>
          <w:trHeight w:val="158"/>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income</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29,672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46,004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36,430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16,404</w:t>
            </w:r>
          </w:p>
        </w:tc>
      </w:tr>
      <w:tr>
        <w:trPr>
          <w:trHeight w:val="15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 junior subordinated debt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 - revolving line of credit</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Management fee expense</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r>
      <w:tr>
        <w:trPr>
          <w:trHeight w:val="172"/>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58"/>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expense</w:t>
            </w: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w:t>
            </w:r>
          </w:p>
        </w:tc>
      </w:tr>
      <w:tr>
        <w:trPr>
          <w:trHeight w:val="16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168"/>
        </w:trPr>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Six Months Ended December</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Statement of Cash Flows</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44,604</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15,675</w:t>
            </w: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Gain on sale of OREO</w:t>
            </w:r>
          </w:p>
        </w:tc>
        <w:tc>
          <w:tcPr>
            <w:tcW w:w="10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 in other assets</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Equity in undistributed bank subsidiary income</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(16,246)</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ESOP compensation expense</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Increase (decrease) in other liabilities</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w:t>
            </w:r>
          </w:p>
        </w:tc>
      </w:tr>
      <w:tr>
        <w:trPr>
          <w:trHeight w:val="15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Increase in investment in bank subsidiary</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Dividends from bank subsidiary</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21,416</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ESOP principal payments received</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Proceeds from sale of OREO</w:t>
            </w: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cash paid in merger</w:t>
            </w:r>
          </w:p>
        </w:tc>
        <w:tc>
          <w:tcPr>
            <w:tcW w:w="10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20,339</w:t>
            </w:r>
          </w:p>
        </w:tc>
      </w:tr>
      <w:tr>
        <w:trPr>
          <w:trHeight w:val="149"/>
        </w:trPr>
        <w:tc>
          <w:tcPr>
            <w:tcW w:w="54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increase (decrease) in revolving line of credit</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10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repurchased</w:t>
            </w: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w:t>
            </w:r>
          </w:p>
        </w:tc>
      </w:tr>
      <w:tr>
        <w:trPr>
          <w:trHeight w:val="168"/>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dividends paid</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(5,018)</w:t>
            </w:r>
          </w:p>
        </w:tc>
      </w:tr>
      <w:tr>
        <w:trPr>
          <w:trHeight w:val="172"/>
        </w:trPr>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Retired stock</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68"/>
        </w:trPr>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Exercised stock options</w:t>
            </w: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4,592</w:t>
            </w:r>
          </w:p>
        </w:tc>
      </w:tr>
      <w:tr>
        <w:trPr>
          <w:trHeight w:val="16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(43,064)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(16,785)</w:t>
            </w:r>
          </w:p>
        </w:tc>
      </w:tr>
      <w:tr>
        <w:trPr>
          <w:trHeight w:val="15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5,714</w:t>
            </w:r>
          </w:p>
        </w:tc>
      </w:tr>
      <w:tr>
        <w:trPr>
          <w:trHeight w:val="17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beginning of period</w:t>
            </w:r>
          </w:p>
        </w:tc>
        <w:tc>
          <w:tcPr>
            <w:tcW w:w="1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r>
      <w:tr>
        <w:trPr>
          <w:trHeight w:val="162"/>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9,602</w:t>
            </w: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5"/>
        <w:spacing w:after="0"/>
        <w:tabs>
          <w:tab w:leader="none" w:pos="200" w:val="left"/>
        </w:tabs>
        <w:numPr>
          <w:ilvl w:val="0"/>
          <w:numId w:val="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u w:val="single" w:color="auto"/>
          <w:color w:val="auto"/>
        </w:rPr>
        <w:t>Fair Value of Financial Instruments</w:t>
      </w:r>
    </w:p>
    <w:p>
      <w:pPr>
        <w:spacing w:after="0" w:line="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ind w:left="140"/>
        <w:spacing w:after="0"/>
        <w:tabs>
          <w:tab w:leader="none" w:pos="66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2"/>
          <w:szCs w:val="12"/>
          <w:color w:val="auto"/>
        </w:rPr>
        <w:t>Quoted prices (unadjusted) for identical assets or liabilities in active markets that the entity has the ability to access as of the measurement date.</w:t>
      </w:r>
    </w:p>
    <w:p>
      <w:pPr>
        <w:spacing w:after="0" w:line="31" w:lineRule="exact"/>
        <w:rPr>
          <w:sz w:val="20"/>
          <w:szCs w:val="20"/>
          <w:color w:val="auto"/>
        </w:rPr>
      </w:pPr>
    </w:p>
    <w:p>
      <w:pPr>
        <w:ind w:left="700" w:hanging="572"/>
        <w:spacing w:after="0" w:line="264" w:lineRule="auto"/>
        <w:tabs>
          <w:tab w:leader="none" w:pos="680" w:val="left"/>
        </w:tabs>
        <w:rPr>
          <w:sz w:val="20"/>
          <w:szCs w:val="20"/>
          <w:color w:val="auto"/>
        </w:rPr>
      </w:pPr>
      <w:r>
        <w:rPr>
          <w:rFonts w:ascii="Times New Roman" w:cs="Times New Roman" w:eastAsia="Times New Roman" w:hAnsi="Times New Roman"/>
          <w:sz w:val="13"/>
          <w:szCs w:val="13"/>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ind w:left="140"/>
        <w:spacing w:after="0"/>
        <w:tabs>
          <w:tab w:leader="none" w:pos="66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2"/>
          <w:szCs w:val="12"/>
          <w:color w:val="auto"/>
        </w:rPr>
        <w:t>Significant unobservable inputs that reflect a company's own assumptions about the assumptions that market participants would use in pricing an asset or liability.</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 financial instrument's level within the fair value hierarchy is based on the lowest level of any input that is significant to the fair value measurement. The following is a description of valuation methodologies used for assets recorded at fair value. The Company does not have any liabilities recorded at fair value.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Financial Assets Recorded at Fair Value</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presents financial assets measured at fair value on a recurring basis at the dates indicated:</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51"/>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8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MBS, residential</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104,499</w:t>
            </w:r>
          </w:p>
        </w:tc>
        <w:tc>
          <w:tcPr>
            <w:tcW w:w="8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104,499</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Municipal bonds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5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securities available for sale</w:t>
            </w:r>
          </w:p>
        </w:tc>
        <w:tc>
          <w:tcPr>
            <w:tcW w:w="82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126,950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sale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800" w:type="dxa"/>
            <w:vAlign w:val="bottom"/>
            <w:vMerge w:val="continue"/>
          </w:tcPr>
          <w:p>
            <w:pPr>
              <w:spacing w:after="0"/>
              <w:rPr>
                <w:sz w:val="12"/>
                <w:szCs w:val="12"/>
                <w:color w:val="auto"/>
              </w:rPr>
            </w:pP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tcPr>
          <w:p>
            <w:pPr>
              <w:spacing w:after="0"/>
              <w:rPr>
                <w:sz w:val="12"/>
                <w:szCs w:val="12"/>
                <w:color w:val="auto"/>
              </w:rPr>
            </w:pP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tcPr>
          <w:p>
            <w:pPr>
              <w:spacing w:after="0"/>
              <w:rPr>
                <w:sz w:val="12"/>
                <w:szCs w:val="12"/>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58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5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51"/>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8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U.S government agencies</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8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14,714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MBS, residential</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107,414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Municipal bonds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securities available for sale</w:t>
            </w:r>
          </w:p>
        </w:tc>
        <w:tc>
          <w:tcPr>
            <w:tcW w:w="8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151,926</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Loans held for sale</w:t>
            </w: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3"/>
        </w:trPr>
        <w:tc>
          <w:tcPr>
            <w:tcW w:w="58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9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51"/>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Debt securities available for sale</w:t>
            </w:r>
          </w:p>
        </w:tc>
        <w:tc>
          <w:tcPr>
            <w:tcW w:w="8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U.S government agencies</w:t>
            </w:r>
          </w:p>
        </w:tc>
        <w:tc>
          <w:tcPr>
            <w:tcW w:w="820" w:type="dxa"/>
            <w:vAlign w:val="bottom"/>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8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18,459</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MBS, residential</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8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Municipal bonds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bonds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8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securities available for sale</w:t>
            </w:r>
          </w:p>
        </w:tc>
        <w:tc>
          <w:tcPr>
            <w:tcW w:w="82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126,978</w:t>
            </w:r>
          </w:p>
        </w:tc>
        <w:tc>
          <w:tcPr>
            <w:tcW w:w="8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Loans held for sale carried at fair value are valued at the individual loan level using quoted secondary market prices.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transfers between levels during the six months ended December 31, 2023 or the years ended June 30, 2023 and June 30, 2022.</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The following table presents financial assets measured at fair value on a non-recurring basis at the dates indicated:</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9"/>
        </w:trPr>
        <w:tc>
          <w:tcPr>
            <w:tcW w:w="44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67"/>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4"/>
                <w:szCs w:val="14"/>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r>
      <w:tr>
        <w:trPr>
          <w:trHeight w:val="169"/>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r>
      <w:tr>
        <w:trPr>
          <w:trHeight w:val="169"/>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68"/>
        </w:trPr>
        <w:tc>
          <w:tcPr>
            <w:tcW w:w="4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Equipment finance</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r>
      <w:tr>
        <w:trPr>
          <w:trHeight w:val="188"/>
        </w:trPr>
        <w:tc>
          <w:tcPr>
            <w:tcW w:w="44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8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67"/>
        </w:trPr>
        <w:tc>
          <w:tcPr>
            <w:tcW w:w="44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1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69"/>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real estate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real estate - owner occupied</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r>
      <w:tr>
        <w:trPr>
          <w:trHeight w:val="169"/>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60"/>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6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w:t>
            </w:r>
          </w:p>
        </w:tc>
      </w:tr>
      <w:tr>
        <w:trPr>
          <w:trHeight w:val="20"/>
        </w:trPr>
        <w:tc>
          <w:tcPr>
            <w:tcW w:w="44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spacing w:after="0"/>
              <w:rPr>
                <w:sz w:val="14"/>
                <w:szCs w:val="14"/>
                <w:color w:val="auto"/>
              </w:rPr>
            </w:pPr>
          </w:p>
        </w:tc>
        <w:tc>
          <w:tcPr>
            <w:tcW w:w="18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Level 3</w:t>
            </w:r>
          </w:p>
        </w:tc>
      </w:tr>
      <w:tr>
        <w:trPr>
          <w:trHeight w:val="15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 dependent loans</w:t>
            </w:r>
          </w:p>
        </w:tc>
        <w:tc>
          <w:tcPr>
            <w:tcW w:w="3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r>
      <w:tr>
        <w:trPr>
          <w:trHeight w:val="169"/>
        </w:trPr>
        <w:tc>
          <w:tcPr>
            <w:tcW w:w="44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Commercial loans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   $</w:t>
            </w:r>
          </w:p>
        </w:tc>
        <w:tc>
          <w:tcPr>
            <w:tcW w:w="162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r>
    </w:tbl>
    <w:p>
      <w:pPr>
        <w:spacing w:after="0" w:line="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gridSpan w:val="10"/>
          </w:tcPr>
          <w:p>
            <w:pPr>
              <w:spacing w:after="0"/>
              <w:rPr>
                <w:sz w:val="20"/>
                <w:szCs w:val="20"/>
                <w:color w:val="auto"/>
              </w:rPr>
            </w:pPr>
            <w:r>
              <w:rPr>
                <w:rFonts w:ascii="Times New Roman" w:cs="Times New Roman" w:eastAsia="Times New Roman" w:hAnsi="Times New Roman"/>
                <w:sz w:val="13"/>
                <w:szCs w:val="13"/>
                <w:color w:val="auto"/>
                <w:w w:val="98"/>
              </w:rPr>
              <w:t>The stated carrying value and estimated fair value amounts of financial instruments as of December 31, 2023, June 30, 2023 and June 30, 2022, are summarized below:</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00" w:type="dxa"/>
            <w:vAlign w:val="bottom"/>
          </w:tcPr>
          <w:p>
            <w:pPr>
              <w:spacing w:after="0"/>
              <w:rPr>
                <w:sz w:val="10"/>
                <w:szCs w:val="10"/>
                <w:color w:val="auto"/>
              </w:rPr>
            </w:pPr>
          </w:p>
        </w:tc>
        <w:tc>
          <w:tcPr>
            <w:tcW w:w="110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0"/>
                <w:szCs w:val="10"/>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0"/>
                <w:szCs w:val="10"/>
                <w:color w:val="auto"/>
              </w:rPr>
            </w:pPr>
          </w:p>
        </w:tc>
        <w:tc>
          <w:tcPr>
            <w:tcW w:w="104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347,140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13,789</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the lower of cost or fair value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200,869</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3,591,381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3,472,491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3,472,491</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1,376,220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1,246,807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843,860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839,501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433,763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7"/>
        </w:trPr>
        <w:tc>
          <w:tcPr>
            <w:tcW w:w="4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00" w:type="dxa"/>
            <w:vAlign w:val="bottom"/>
          </w:tcPr>
          <w:p>
            <w:pPr>
              <w:spacing w:after="0"/>
              <w:rPr>
                <w:sz w:val="10"/>
                <w:szCs w:val="10"/>
                <w:color w:val="auto"/>
              </w:rPr>
            </w:pPr>
          </w:p>
        </w:tc>
        <w:tc>
          <w:tcPr>
            <w:tcW w:w="110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0"/>
                <w:szCs w:val="10"/>
                <w:color w:val="auto"/>
              </w:rPr>
            </w:pP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0"/>
                <w:szCs w:val="10"/>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60" w:type="dxa"/>
            <w:vAlign w:val="bottom"/>
          </w:tcPr>
          <w:p>
            <w:pPr>
              <w:spacing w:after="0"/>
              <w:rPr>
                <w:sz w:val="10"/>
                <w:szCs w:val="10"/>
                <w:color w:val="auto"/>
              </w:rPr>
            </w:pPr>
          </w:p>
        </w:tc>
        <w:tc>
          <w:tcPr>
            <w:tcW w:w="104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303,497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N/A</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14,927</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held for sale, at fair value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 at the lower of cost or fair value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161,703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163,874</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3,611,630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3,455,390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3,455,390</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14,320</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1,436,586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1,436,586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1,436,586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1,241,840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1,241,840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1,241,840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701,965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701,965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Junior subordinated debt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Borrowings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457,263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457,213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87"/>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3"/>
          <w:szCs w:val="13"/>
          <w:color w:val="auto"/>
        </w:rPr>
        <w:t>HOMETRUST BANCSHARES, INC. AND SUBSIDIARY</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(Dollars in thousands, except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300" w:type="dxa"/>
            <w:vAlign w:val="bottom"/>
          </w:tcPr>
          <w:p>
            <w:pPr>
              <w:spacing w:after="0"/>
              <w:rPr>
                <w:sz w:val="10"/>
                <w:szCs w:val="10"/>
                <w:color w:val="auto"/>
              </w:rPr>
            </w:pPr>
          </w:p>
        </w:tc>
        <w:tc>
          <w:tcPr>
            <w:tcW w:w="110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3"/>
                <w:szCs w:val="13"/>
                <w:b w:val="1"/>
                <w:bCs w:val="1"/>
                <w:color w:val="auto"/>
              </w:rPr>
              <w:t>Fair</w:t>
            </w:r>
          </w:p>
        </w:tc>
        <w:tc>
          <w:tcPr>
            <w:tcW w:w="180" w:type="dxa"/>
            <w:vAlign w:val="bottom"/>
          </w:tcPr>
          <w:p>
            <w:pPr>
              <w:spacing w:after="0"/>
              <w:rPr>
                <w:sz w:val="10"/>
                <w:szCs w:val="10"/>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tcPr>
          <w:p>
            <w:pPr>
              <w:spacing w:after="0"/>
              <w:rPr>
                <w:sz w:val="10"/>
                <w:szCs w:val="10"/>
                <w:color w:val="auto"/>
              </w:rPr>
            </w:pPr>
          </w:p>
        </w:tc>
        <w:tc>
          <w:tcPr>
            <w:tcW w:w="13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4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105,119</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3"/>
          </w:tcPr>
          <w:p>
            <w:pPr>
              <w:ind w:left="860"/>
              <w:spacing w:after="0"/>
              <w:rPr>
                <w:sz w:val="20"/>
                <w:szCs w:val="20"/>
                <w:color w:val="auto"/>
              </w:rPr>
            </w:pPr>
            <w:r>
              <w:rPr>
                <w:rFonts w:ascii="Times New Roman" w:cs="Times New Roman" w:eastAsia="Times New Roman" w:hAnsi="Times New Roman"/>
                <w:sz w:val="13"/>
                <w:szCs w:val="13"/>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Commercial paper,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Certificates of deposit in other banks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Debt securities available for sale, at fair value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FHLB and FRB stock</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N/A</w:t>
            </w:r>
          </w:p>
        </w:tc>
        <w:tc>
          <w:tcPr>
            <w:tcW w:w="280" w:type="dxa"/>
            <w:vAlign w:val="bottom"/>
          </w:tcPr>
          <w:p>
            <w:pPr>
              <w:spacing w:after="0"/>
              <w:rPr>
                <w:sz w:val="14"/>
                <w:szCs w:val="14"/>
                <w:color w:val="auto"/>
              </w:rPr>
            </w:pPr>
          </w:p>
        </w:tc>
        <w:tc>
          <w:tcPr>
            <w:tcW w:w="138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SBIC investments, at cost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12,758</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Loans held for sale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80,489</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Loans,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2,734,605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2,687,293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2,687,293</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receivable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7,969</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Noninterest-bearing and NOW deposits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969,661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Savings accounts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491,176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485,452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485,452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4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interest payable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had off-balance sheet financial commitments, which include approximately $982,397, $950,387 and $921,239 of commitments to originate loans, undisbursed portions of construction loans, unused lines of credit and standing letters of credit at December 31, 2023, June 30, 2023 and June 30, 2022, respectively (see "Note 17 – Commitments and Contingencies"). Since these commitments are based on current rates, the carrying amount approximates the fair value.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0"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i w:val="1"/>
          <w:iCs w:val="1"/>
          <w:u w:val="single" w:color="auto"/>
          <w:color w:val="auto"/>
        </w:rPr>
        <w:t>Evaluation of Disclosure Controls and Procedures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 evaluation of the Company’s disclosure controls and procedures (as defined in Section 13a-15(e) of the Securities Exchange Act of 1934 (the “Act”)) was carried out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under the supervision and with the participation of the Company’s Chief Executive Officer, Chief Financial Officer and several other members of the Company’s senior management as of the end of the period covered by this report. The Company’s Chief Executive Officer and Chief Financial Officer concluded that the Company’s disclosure controls and procedures as of December 31, 2023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u w:val="single" w:color="auto"/>
          <w:color w:val="auto"/>
        </w:rPr>
        <w:t>Report of Management on Internal Control over Financial Reporting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management of the Company is responsible for establishing and maintaining adequate internal control over financial reporting. The internal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process has been designed under our supervision to provide reasonable assurance regarding the reliability of financial reporting and the preparation of the Company’s financial statements for external reporting purposes in accordance with accounting principles generally accepted in the United States of America.</w:t>
      </w:r>
    </w:p>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 xml:space="preserve">Management conducted an assessment of the effectiveness of the Company’s internal control over financial reporting as of December 31, 2023, utilizing the framework established in </w:t>
      </w:r>
      <w:r>
        <w:rPr>
          <w:rFonts w:ascii="Times New Roman" w:cs="Times New Roman" w:eastAsia="Times New Roman" w:hAnsi="Times New Roman"/>
          <w:sz w:val="13"/>
          <w:szCs w:val="13"/>
          <w:i w:val="1"/>
          <w:iCs w:val="1"/>
          <w:color w:val="auto"/>
        </w:rPr>
        <w:t>Internal Control – Integrated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Framework 2013 </w:t>
      </w:r>
      <w:r>
        <w:rPr>
          <w:rFonts w:ascii="Times New Roman" w:cs="Times New Roman" w:eastAsia="Times New Roman" w:hAnsi="Times New Roman"/>
          <w:sz w:val="13"/>
          <w:szCs w:val="13"/>
          <w:color w:val="auto"/>
        </w:rPr>
        <w:t>issued by the Committee of Sponsoring Organizations of the Treadway Commission. Based on this assessment, management has determined that the Company’s internal control over financial reporting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December 31, 2023 was effective.</w:t>
      </w:r>
    </w:p>
    <w:p>
      <w:pPr>
        <w:spacing w:after="0" w:line="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accounting principles generally accepted in the United States;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FORVIS, LLP, an independent registered public accounting firm, has audited the consolidated financial statements included in this Transition Report and has issued a report on the effectiveness of our internal control over financial reporting, which report is included in Item 8 of this Form 10-KT. The audit report expresses an unqualified opinion on the effectiveness of the Company's internal control over financial reporting as of December 31, 2023.</w:t>
      </w:r>
    </w:p>
    <w:p>
      <w:pPr>
        <w:spacing w:after="0" w:line="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i w:val="1"/>
          <w:iCs w:val="1"/>
          <w:u w:val="single" w:color="auto"/>
          <w:color w:val="auto"/>
        </w:rPr>
        <w:t>Changes in Internal Controls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have been no changes in the Company’s internal control over financial reporting during the quarter ended December 31, 2023 that have materially affected, or are reasonably likely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affect, the Company’s internal control over financial reporting.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i w:val="1"/>
          <w:iCs w:val="1"/>
          <w:u w:val="single" w:color="auto"/>
          <w:color w:val="auto"/>
        </w:rPr>
        <w:t>Trading Plans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During the quarter ended December 31, 2023, no director or officer (as defined in Rule 16a-1(f) under the Exchange Act) of the Company adopted or terminated a "Rule 10b5-1 trading arrangement"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"non-Rule 10b5-1 trading arrangement," as each term is defined in Item 408(a) of Regulation S-K.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2024 Annual Meeting of Stockholders being held on May 20, 2024,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2024 Annual Meeting of Stockholders being held on May 20, 2024,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information concerning security ownership of certain beneficial owners and management required by this item is incorporated herein by reference from our definitive proxy statement for our Annual Meeting of Shareholders being held on May 20, 2024, a copy of which will be filed with the Securities and Exchange Commission no later than 120 days after the end of our fiscal year. Management is not aware of any arrangements, including any pledge by any person of securities of the Company, the operation of which may at a subsequent date result in a change in control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5"/>
        </w:trPr>
        <w:tc>
          <w:tcPr>
            <w:tcW w:w="5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information concerning our equity incentive plan required by this item is set forth below.</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 of securities to be issued upon</w:t>
            </w:r>
          </w:p>
        </w:tc>
        <w:tc>
          <w:tcPr>
            <w:tcW w:w="80" w:type="dxa"/>
            <w:vAlign w:val="bottom"/>
          </w:tcPr>
          <w:p>
            <w:pPr>
              <w:spacing w:after="0"/>
              <w:rPr>
                <w:sz w:val="12"/>
                <w:szCs w:val="12"/>
                <w:color w:val="auto"/>
              </w:rPr>
            </w:pPr>
          </w:p>
        </w:tc>
        <w:tc>
          <w:tcPr>
            <w:tcW w:w="1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Weighted-average exercise</w:t>
            </w:r>
          </w:p>
        </w:tc>
        <w:tc>
          <w:tcPr>
            <w:tcW w:w="21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7"/>
              </w:rPr>
              <w:t># of securities remaining available for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21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future issuance under equity</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86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exercise of outstanding options,</w:t>
            </w:r>
          </w:p>
        </w:tc>
        <w:tc>
          <w:tcPr>
            <w:tcW w:w="80" w:type="dxa"/>
            <w:vAlign w:val="bottom"/>
          </w:tcPr>
          <w:p>
            <w:pPr>
              <w:spacing w:after="0"/>
              <w:rPr>
                <w:sz w:val="11"/>
                <w:szCs w:val="11"/>
                <w:color w:val="auto"/>
              </w:rPr>
            </w:pPr>
          </w:p>
        </w:tc>
        <w:tc>
          <w:tcPr>
            <w:tcW w:w="176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price of outstanding options,</w:t>
            </w:r>
          </w:p>
        </w:tc>
        <w:tc>
          <w:tcPr>
            <w:tcW w:w="21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 plans (excluding</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warrants and rights</w:t>
            </w:r>
          </w:p>
        </w:tc>
        <w:tc>
          <w:tcPr>
            <w:tcW w:w="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warrants and rights</w:t>
            </w: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securities reflected in column (a))</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t>
            </w:r>
          </w:p>
        </w:tc>
        <w:tc>
          <w:tcPr>
            <w:tcW w:w="8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compensation plans approved by security holders</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534,350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w:t>
            </w:r>
          </w:p>
        </w:tc>
        <w:tc>
          <w:tcPr>
            <w:tcW w:w="8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865,644</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2024 Annual Meeting of Stockholders being held on May 20, 2024, and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will be contained in our definitive Proxy Statement for our 2024 Annual Meeting of Stockholders being held on May 20, 2024, and is incorporated herein by reference.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The Independent Registered Public Accounting Firm is FORVIS, LLP (PCAOB Firm ID No. 686) located in Springfield, Missouri.</w:t>
      </w:r>
    </w:p>
    <w:p>
      <w:pPr>
        <w:spacing w:after="0" w:line="1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(a)(1) Financial Statements: See Part II – Item 8. Financial Statements and Supplementary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(a)(2) Financial Statement Schedules: All financial statement schedules have been omitted as the information is not required under the related instructions or is not applicable.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(a)(3) Exhibits: See Exhibit Index.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 Exhibits: The following exhibits are filed as part of this Form 10-KT and this list constitutes the Exhibit Index.</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 S-K</w:t>
            </w:r>
          </w:p>
        </w:tc>
        <w:tc>
          <w:tcPr>
            <w:tcW w:w="1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060" w:type="dxa"/>
            <w:vAlign w:val="bottom"/>
            <w:gridSpan w:val="13"/>
            <w:vMerge w:val="restart"/>
          </w:tcPr>
          <w:p>
            <w:pPr>
              <w:ind w:left="64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80" w:type="dxa"/>
            <w:vAlign w:val="bottom"/>
            <w:vMerge w:val="restart"/>
          </w:tcPr>
          <w:p>
            <w:pPr>
              <w:spacing w:after="0"/>
              <w:rPr>
                <w:sz w:val="12"/>
                <w:szCs w:val="1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 to Prior Filing or</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Exhibit #</w:t>
            </w: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1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 # Attached Hereto</w:t>
            </w:r>
          </w:p>
        </w:tc>
        <w:tc>
          <w:tcPr>
            <w:tcW w:w="0" w:type="dxa"/>
            <w:vAlign w:val="bottom"/>
          </w:tcPr>
          <w:p>
            <w:pPr>
              <w:spacing w:after="0"/>
              <w:rPr>
                <w:sz w:val="1"/>
                <w:szCs w:val="1"/>
                <w:color w:val="auto"/>
              </w:rPr>
            </w:pPr>
          </w:p>
        </w:tc>
      </w:tr>
      <w:tr>
        <w:trPr>
          <w:trHeight w:val="31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100" w:type="dxa"/>
            <w:vAlign w:val="bottom"/>
          </w:tcPr>
          <w:p>
            <w:pPr>
              <w:spacing w:after="0"/>
              <w:rPr>
                <w:sz w:val="24"/>
                <w:szCs w:val="24"/>
                <w:color w:val="auto"/>
              </w:rPr>
            </w:pPr>
          </w:p>
        </w:tc>
        <w:tc>
          <w:tcPr>
            <w:tcW w:w="7120" w:type="dxa"/>
            <w:vAlign w:val="bottom"/>
            <w:tcBorders>
              <w:bottom w:val="single" w:sz="8" w:color="0000FF"/>
            </w:tcBorders>
            <w:gridSpan w:val="15"/>
          </w:tcPr>
          <w:p>
            <w:pPr>
              <w:spacing w:after="0"/>
              <w:rPr>
                <w:rFonts w:ascii="Times New Roman" w:cs="Times New Roman" w:eastAsia="Times New Roman" w:hAnsi="Times New Roman"/>
                <w:sz w:val="13"/>
                <w:szCs w:val="13"/>
                <w:color w:val="0000FF"/>
                <w:w w:val="97"/>
              </w:rPr>
            </w:pPr>
            <w:hyperlink r:id="rId103">
              <w:r>
                <w:rPr>
                  <w:rFonts w:ascii="Times New Roman" w:cs="Times New Roman" w:eastAsia="Times New Roman" w:hAnsi="Times New Roman"/>
                  <w:sz w:val="13"/>
                  <w:szCs w:val="13"/>
                  <w:color w:val="0000FF"/>
                  <w:w w:val="97"/>
                </w:rPr>
                <w:t>Agreement and Plan of Merger, dated as of September 20, 2016, by and between HomeTrust Bancshares, Inc. and TriSummit Bancorp, Inc.</w:t>
              </w:r>
            </w:hyperlink>
          </w:p>
        </w:tc>
        <w:tc>
          <w:tcPr>
            <w:tcW w:w="1240" w:type="dxa"/>
            <w:vAlign w:val="bottom"/>
            <w:gridSpan w:val="2"/>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(a)</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2.2</w:t>
            </w:r>
          </w:p>
        </w:tc>
        <w:tc>
          <w:tcPr>
            <w:tcW w:w="100" w:type="dxa"/>
            <w:vAlign w:val="bottom"/>
          </w:tcPr>
          <w:p>
            <w:pPr>
              <w:spacing w:after="0"/>
              <w:rPr>
                <w:sz w:val="13"/>
                <w:szCs w:val="13"/>
                <w:color w:val="auto"/>
              </w:rPr>
            </w:pPr>
          </w:p>
        </w:tc>
        <w:tc>
          <w:tcPr>
            <w:tcW w:w="688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w w:val="97"/>
              </w:rPr>
            </w:pPr>
            <w:hyperlink r:id="rId104">
              <w:r>
                <w:rPr>
                  <w:rFonts w:ascii="Times New Roman" w:cs="Times New Roman" w:eastAsia="Times New Roman" w:hAnsi="Times New Roman"/>
                  <w:sz w:val="13"/>
                  <w:szCs w:val="13"/>
                  <w:color w:val="0000FF"/>
                  <w:w w:val="97"/>
                </w:rPr>
                <w:t>Purchase and Assumption Agreement, dated as of June 9, 2014, between Bank of America, National Association and HomeTrust Bank</w:t>
              </w:r>
            </w:hyperlink>
          </w:p>
        </w:tc>
        <w:tc>
          <w:tcPr>
            <w:tcW w:w="1480" w:type="dxa"/>
            <w:vAlign w:val="bottom"/>
            <w:gridSpan w:val="4"/>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(b)</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2.3</w:t>
            </w:r>
          </w:p>
        </w:tc>
        <w:tc>
          <w:tcPr>
            <w:tcW w:w="100" w:type="dxa"/>
            <w:vAlign w:val="bottom"/>
          </w:tcPr>
          <w:p>
            <w:pPr>
              <w:spacing w:after="0"/>
              <w:rPr>
                <w:sz w:val="13"/>
                <w:szCs w:val="13"/>
                <w:color w:val="auto"/>
              </w:rPr>
            </w:pPr>
          </w:p>
        </w:tc>
        <w:tc>
          <w:tcPr>
            <w:tcW w:w="8360" w:type="dxa"/>
            <w:vAlign w:val="bottom"/>
            <w:gridSpan w:val="17"/>
          </w:tcPr>
          <w:p>
            <w:pPr>
              <w:spacing w:after="0"/>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Agreement and Plan of Merger, dated as of January 22, 2014, by and between HomeTrust Bancshares, Inc. and Jefferson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(c)</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2.4</w:t>
            </w:r>
          </w:p>
        </w:tc>
        <w:tc>
          <w:tcPr>
            <w:tcW w:w="10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3"/>
                <w:szCs w:val="13"/>
                <w:color w:val="0000FF"/>
                <w:w w:val="97"/>
              </w:rPr>
            </w:pPr>
            <w:hyperlink r:id="rId106">
              <w:r>
                <w:rPr>
                  <w:rFonts w:ascii="Times New Roman" w:cs="Times New Roman" w:eastAsia="Times New Roman" w:hAnsi="Times New Roman"/>
                  <w:sz w:val="13"/>
                  <w:szCs w:val="13"/>
                  <w:color w:val="0000FF"/>
                  <w:w w:val="97"/>
                </w:rPr>
                <w:t>Agreement and Plan of Merger, dated as of July 24, 2022, by and between HomeTrust Bancshares, Inc. and Quantum Capital Corp.</w:t>
              </w:r>
            </w:hyperlink>
          </w:p>
        </w:tc>
        <w:tc>
          <w:tcPr>
            <w:tcW w:w="320" w:type="dxa"/>
            <w:vAlign w:val="bottom"/>
            <w:tcBorders>
              <w:top w:val="single" w:sz="8" w:color="0000FF"/>
            </w:tcBorders>
            <w:gridSpan w:val="3"/>
          </w:tcPr>
          <w:p>
            <w:pPr>
              <w:spacing w:after="0"/>
              <w:rPr>
                <w:sz w:val="13"/>
                <w:szCs w:val="13"/>
                <w:color w:val="auto"/>
              </w:rPr>
            </w:pPr>
          </w:p>
        </w:tc>
        <w:tc>
          <w:tcPr>
            <w:tcW w:w="1340" w:type="dxa"/>
            <w:vAlign w:val="bottom"/>
            <w:gridSpan w:val="3"/>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3"/>
                <w:szCs w:val="13"/>
                <w:color w:val="auto"/>
              </w:rPr>
            </w:pPr>
          </w:p>
        </w:tc>
        <w:tc>
          <w:tcPr>
            <w:tcW w:w="8360" w:type="dxa"/>
            <w:vAlign w:val="bottom"/>
            <w:gridSpan w:val="17"/>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Charter of HomeTrust Bancshares, Inc.</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13"/>
                <w:szCs w:val="13"/>
                <w:color w:val="auto"/>
              </w:rPr>
            </w:pPr>
          </w:p>
        </w:tc>
        <w:tc>
          <w:tcPr>
            <w:tcW w:w="322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108">
              <w:r>
                <w:rPr>
                  <w:rFonts w:ascii="Times New Roman" w:cs="Times New Roman" w:eastAsia="Times New Roman" w:hAnsi="Times New Roman"/>
                  <w:sz w:val="13"/>
                  <w:szCs w:val="13"/>
                  <w:color w:val="0000FF"/>
                  <w:w w:val="97"/>
                </w:rPr>
                <w:t>Amended and Restated Bylaws of HomeTrust Bancshares, Inc.</w:t>
              </w:r>
            </w:hyperlink>
          </w:p>
        </w:tc>
        <w:tc>
          <w:tcPr>
            <w:tcW w:w="5140" w:type="dxa"/>
            <w:vAlign w:val="bottom"/>
            <w:gridSpan w:val="14"/>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(x)</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3"/>
                <w:szCs w:val="13"/>
                <w:color w:val="auto"/>
              </w:rPr>
            </w:pPr>
          </w:p>
        </w:tc>
        <w:tc>
          <w:tcPr>
            <w:tcW w:w="6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7"/>
              </w:rPr>
              <w:t>Description of HomeTrust Bancshares, Inc. Securities Registered Pursuant to Section 12 of the Securities Exchange Act of 1934.</w:t>
            </w:r>
          </w:p>
        </w:tc>
        <w:tc>
          <w:tcPr>
            <w:tcW w:w="1780" w:type="dxa"/>
            <w:vAlign w:val="bottom"/>
            <w:gridSpan w:val="8"/>
          </w:tcPr>
          <w:p>
            <w:pPr>
              <w:spacing w:after="0"/>
              <w:rPr>
                <w:sz w:val="13"/>
                <w:szCs w:val="13"/>
                <w:color w:val="auto"/>
              </w:rPr>
            </w:pPr>
          </w:p>
        </w:tc>
        <w:tc>
          <w:tcPr>
            <w:tcW w:w="174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100" w:type="dxa"/>
            <w:vAlign w:val="bottom"/>
          </w:tcPr>
          <w:p>
            <w:pPr>
              <w:spacing w:after="0"/>
              <w:rPr>
                <w:sz w:val="13"/>
                <w:szCs w:val="13"/>
                <w:color w:val="auto"/>
              </w:rPr>
            </w:pPr>
          </w:p>
        </w:tc>
        <w:tc>
          <w:tcPr>
            <w:tcW w:w="8360" w:type="dxa"/>
            <w:vAlign w:val="bottom"/>
            <w:gridSpan w:val="17"/>
          </w:tcPr>
          <w:p>
            <w:pPr>
              <w:spacing w:after="0"/>
              <w:rPr>
                <w:sz w:val="20"/>
                <w:szCs w:val="20"/>
                <w:color w:val="auto"/>
              </w:rPr>
            </w:pPr>
            <w:r>
              <w:rPr>
                <w:rFonts w:ascii="Times New Roman" w:cs="Times New Roman" w:eastAsia="Times New Roman" w:hAnsi="Times New Roman"/>
                <w:sz w:val="13"/>
                <w:szCs w:val="13"/>
                <w:color w:val="0000FF"/>
              </w:rPr>
              <w:t>HomeTrust Bancshares, Inc. Senior Leadership Incentive Plan (formerly known as Operating Committee Incentive Program)</w:t>
            </w:r>
          </w:p>
        </w:tc>
        <w:tc>
          <w:tcPr>
            <w:tcW w:w="17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13"/>
                <w:szCs w:val="13"/>
                <w:color w:val="auto"/>
              </w:rPr>
            </w:pPr>
          </w:p>
        </w:tc>
        <w:tc>
          <w:tcPr>
            <w:tcW w:w="8360" w:type="dxa"/>
            <w:vAlign w:val="bottom"/>
            <w:gridSpan w:val="17"/>
          </w:tcPr>
          <w:p>
            <w:pPr>
              <w:spacing w:after="0"/>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Amended and Restated Employment and Transition Agreement between HomeTrust Bancshares, Inc. and Dana L. Stonestreet</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10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3"/>
                <w:szCs w:val="13"/>
                <w:color w:val="0000FF"/>
                <w:w w:val="97"/>
              </w:rPr>
            </w:pPr>
            <w:hyperlink r:id="rId110">
              <w:r>
                <w:rPr>
                  <w:rFonts w:ascii="Times New Roman" w:cs="Times New Roman" w:eastAsia="Times New Roman" w:hAnsi="Times New Roman"/>
                  <w:sz w:val="13"/>
                  <w:szCs w:val="13"/>
                  <w:color w:val="0000FF"/>
                  <w:w w:val="97"/>
                </w:rPr>
                <w:t>Amended and Restated Employment Agreement between HomeTrust Bancshares, Inc. and C. Hunter Westbrook</w:t>
              </w:r>
            </w:hyperlink>
          </w:p>
        </w:tc>
        <w:tc>
          <w:tcPr>
            <w:tcW w:w="680" w:type="dxa"/>
            <w:vAlign w:val="bottom"/>
            <w:tcBorders>
              <w:top w:val="single" w:sz="8" w:color="0000FF"/>
            </w:tcBorders>
            <w:gridSpan w:val="2"/>
          </w:tcPr>
          <w:p>
            <w:pPr>
              <w:spacing w:after="0"/>
              <w:rPr>
                <w:sz w:val="13"/>
                <w:szCs w:val="13"/>
                <w:color w:val="auto"/>
              </w:rPr>
            </w:pPr>
          </w:p>
        </w:tc>
        <w:tc>
          <w:tcPr>
            <w:tcW w:w="1940" w:type="dxa"/>
            <w:vAlign w:val="bottom"/>
            <w:gridSpan w:val="9"/>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(g)</w:t>
            </w: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10.3A</w:t>
            </w:r>
          </w:p>
        </w:tc>
        <w:tc>
          <w:tcPr>
            <w:tcW w:w="8360" w:type="dxa"/>
            <w:vAlign w:val="bottom"/>
            <w:gridSpan w:val="17"/>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Amendment No. 1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10.3B</w:t>
            </w:r>
          </w:p>
        </w:tc>
        <w:tc>
          <w:tcPr>
            <w:tcW w:w="8360" w:type="dxa"/>
            <w:vAlign w:val="bottom"/>
            <w:gridSpan w:val="17"/>
          </w:tcPr>
          <w:p>
            <w:pPr>
              <w:spacing w:after="0"/>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Amendment No. 2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(h)</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10.3C</w:t>
            </w:r>
          </w:p>
        </w:tc>
        <w:tc>
          <w:tcPr>
            <w:tcW w:w="8360" w:type="dxa"/>
            <w:vAlign w:val="bottom"/>
            <w:gridSpan w:val="17"/>
          </w:tcPr>
          <w:p>
            <w:pPr>
              <w:spacing w:after="0"/>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Amendment No. 3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(q)</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10.3D</w:t>
            </w:r>
          </w:p>
        </w:tc>
        <w:tc>
          <w:tcPr>
            <w:tcW w:w="8360" w:type="dxa"/>
            <w:vAlign w:val="bottom"/>
            <w:gridSpan w:val="17"/>
          </w:tcPr>
          <w:p>
            <w:pPr>
              <w:spacing w:after="0"/>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Amendment No. 4 to Amended and Restated Employment Agreement between HomeTrust Bancshares, Inc. and C. Hunter Westbrook</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(e)</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100" w:type="dxa"/>
            <w:vAlign w:val="bottom"/>
          </w:tcPr>
          <w:p>
            <w:pPr>
              <w:spacing w:after="0"/>
              <w:rPr>
                <w:sz w:val="13"/>
                <w:szCs w:val="13"/>
                <w:color w:val="auto"/>
              </w:rPr>
            </w:pPr>
          </w:p>
        </w:tc>
        <w:tc>
          <w:tcPr>
            <w:tcW w:w="6840" w:type="dxa"/>
            <w:vAlign w:val="bottom"/>
            <w:tcBorders>
              <w:top w:val="single" w:sz="8" w:color="0000FF"/>
            </w:tcBorders>
            <w:gridSpan w:val="12"/>
          </w:tcPr>
          <w:p>
            <w:pPr>
              <w:spacing w:after="0"/>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Amended and Restated Employment Agreement between HomeTrust Bancshares, Inc. and Tony J. VunCannon</w:t>
              </w:r>
            </w:hyperlink>
          </w:p>
        </w:tc>
        <w:tc>
          <w:tcPr>
            <w:tcW w:w="1520" w:type="dxa"/>
            <w:vAlign w:val="bottom"/>
            <w:gridSpan w:val="5"/>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(g)</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7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10.4A</w:t>
            </w:r>
          </w:p>
        </w:tc>
        <w:tc>
          <w:tcPr>
            <w:tcW w:w="8360" w:type="dxa"/>
            <w:vAlign w:val="bottom"/>
            <w:gridSpan w:val="17"/>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Amendment No. 1 to Amended and Restated Employment Agreement between HomeTrust Bancshares, Inc. and Tony VunCannon</w:t>
              </w:r>
            </w:hyperlink>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(v)</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100" w:type="dxa"/>
            <w:vAlign w:val="bottom"/>
          </w:tcPr>
          <w:p>
            <w:pPr>
              <w:spacing w:after="0"/>
              <w:rPr>
                <w:sz w:val="13"/>
                <w:szCs w:val="13"/>
                <w:color w:val="auto"/>
              </w:rPr>
            </w:pPr>
          </w:p>
        </w:tc>
        <w:tc>
          <w:tcPr>
            <w:tcW w:w="6660" w:type="dxa"/>
            <w:vAlign w:val="bottom"/>
            <w:tcBorders>
              <w:top w:val="single" w:sz="8" w:color="0000FF"/>
            </w:tcBorders>
            <w:gridSpan w:val="10"/>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HomeTrust Bank Executive Supplemental Retirement Income Master Agreement (“SERP”)</w:t>
              </w:r>
            </w:hyperlink>
          </w:p>
        </w:tc>
        <w:tc>
          <w:tcPr>
            <w:tcW w:w="1700" w:type="dxa"/>
            <w:vAlign w:val="bottom"/>
            <w:gridSpan w:val="7"/>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(d)</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10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rPr>
                <w:rFonts w:ascii="Times New Roman" w:cs="Times New Roman" w:eastAsia="Times New Roman" w:hAnsi="Times New Roman"/>
                <w:sz w:val="13"/>
                <w:szCs w:val="13"/>
                <w:color w:val="0000FF"/>
                <w:w w:val="97"/>
              </w:rPr>
            </w:pPr>
            <w:hyperlink r:id="rId116">
              <w:r>
                <w:rPr>
                  <w:rFonts w:ascii="Times New Roman" w:cs="Times New Roman" w:eastAsia="Times New Roman" w:hAnsi="Times New Roman"/>
                  <w:sz w:val="13"/>
                  <w:szCs w:val="13"/>
                  <w:color w:val="0000FF"/>
                  <w:w w:val="97"/>
                </w:rPr>
                <w:t>Amendment No. 1 to SERP</w:t>
              </w:r>
            </w:hyperlink>
          </w:p>
        </w:tc>
        <w:tc>
          <w:tcPr>
            <w:tcW w:w="3260" w:type="dxa"/>
            <w:vAlign w:val="bottom"/>
            <w:tcBorders>
              <w:top w:val="single" w:sz="8" w:color="0000FF"/>
            </w:tcBorders>
            <w:gridSpan w:val="3"/>
          </w:tcPr>
          <w:p>
            <w:pPr>
              <w:spacing w:after="0"/>
              <w:rPr>
                <w:sz w:val="13"/>
                <w:szCs w:val="13"/>
                <w:color w:val="auto"/>
              </w:rPr>
            </w:pPr>
          </w:p>
        </w:tc>
        <w:tc>
          <w:tcPr>
            <w:tcW w:w="3680" w:type="dxa"/>
            <w:vAlign w:val="bottom"/>
            <w:gridSpan w:val="13"/>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(m)</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10.7</w:t>
            </w:r>
          </w:p>
        </w:tc>
        <w:tc>
          <w:tcPr>
            <w:tcW w:w="100" w:type="dxa"/>
            <w:vAlign w:val="bottom"/>
          </w:tcPr>
          <w:p>
            <w:pPr>
              <w:spacing w:after="0"/>
              <w:rPr>
                <w:sz w:val="13"/>
                <w:szCs w:val="13"/>
                <w:color w:val="auto"/>
              </w:rPr>
            </w:pPr>
          </w:p>
        </w:tc>
        <w:tc>
          <w:tcPr>
            <w:tcW w:w="1420" w:type="dxa"/>
            <w:vAlign w:val="bottom"/>
            <w:tcBorders>
              <w:bottom w:val="single" w:sz="8" w:color="0000FF"/>
            </w:tcBorders>
          </w:tcPr>
          <w:p>
            <w:pPr>
              <w:spacing w:after="0"/>
              <w:rPr>
                <w:rFonts w:ascii="Times New Roman" w:cs="Times New Roman" w:eastAsia="Times New Roman" w:hAnsi="Times New Roman"/>
                <w:sz w:val="13"/>
                <w:szCs w:val="13"/>
                <w:color w:val="0000FF"/>
                <w:w w:val="97"/>
              </w:rPr>
            </w:pPr>
            <w:hyperlink r:id="rId117">
              <w:r>
                <w:rPr>
                  <w:rFonts w:ascii="Times New Roman" w:cs="Times New Roman" w:eastAsia="Times New Roman" w:hAnsi="Times New Roman"/>
                  <w:sz w:val="13"/>
                  <w:szCs w:val="13"/>
                  <w:color w:val="0000FF"/>
                  <w:w w:val="97"/>
                </w:rPr>
                <w:t>Amendment No. 2 to SERP</w:t>
              </w:r>
            </w:hyperlink>
          </w:p>
        </w:tc>
        <w:tc>
          <w:tcPr>
            <w:tcW w:w="6940" w:type="dxa"/>
            <w:vAlign w:val="bottom"/>
            <w:gridSpan w:val="16"/>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 S-K</w:t>
            </w: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00" w:type="dxa"/>
            <w:vAlign w:val="bottom"/>
            <w:gridSpan w:val="2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Exhibit #</w:t>
            </w:r>
          </w:p>
        </w:tc>
        <w:tc>
          <w:tcPr>
            <w:tcW w:w="10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gridSpan w:val="2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10.7A</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SERP Joinder Agreement for F. Edward Broadwell, Jr.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10.7B</w:t>
            </w:r>
          </w:p>
        </w:tc>
        <w:tc>
          <w:tcPr>
            <w:tcW w:w="25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SERP Joinder Agreement for Dana L. Stonestreet</w:t>
              </w:r>
            </w:hyperlink>
          </w:p>
        </w:tc>
        <w:tc>
          <w:tcPr>
            <w:tcW w:w="240" w:type="dxa"/>
            <w:vAlign w:val="bottom"/>
            <w:tcBorders>
              <w:top w:val="single" w:sz="8" w:color="0000FF"/>
            </w:tcBorders>
            <w:gridSpan w:val="3"/>
          </w:tcPr>
          <w:p>
            <w:pPr>
              <w:spacing w:after="0"/>
              <w:rPr>
                <w:sz w:val="13"/>
                <w:szCs w:val="13"/>
                <w:color w:val="auto"/>
              </w:rPr>
            </w:pPr>
          </w:p>
        </w:tc>
        <w:tc>
          <w:tcPr>
            <w:tcW w:w="5500" w:type="dxa"/>
            <w:vAlign w:val="bottom"/>
            <w:gridSpan w:val="3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10.7C</w:t>
            </w:r>
          </w:p>
        </w:tc>
        <w:tc>
          <w:tcPr>
            <w:tcW w:w="254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w w:val="96"/>
              </w:rPr>
            </w:pPr>
            <w:hyperlink r:id="rId107">
              <w:r>
                <w:rPr>
                  <w:rFonts w:ascii="Times New Roman" w:cs="Times New Roman" w:eastAsia="Times New Roman" w:hAnsi="Times New Roman"/>
                  <w:sz w:val="13"/>
                  <w:szCs w:val="13"/>
                  <w:color w:val="0000FF"/>
                  <w:w w:val="96"/>
                </w:rPr>
                <w:t>SERP Joinder Agreement for Tony J. VunCannon</w:t>
              </w:r>
            </w:hyperlink>
          </w:p>
        </w:tc>
        <w:tc>
          <w:tcPr>
            <w:tcW w:w="5740" w:type="dxa"/>
            <w:vAlign w:val="bottom"/>
            <w:gridSpan w:val="3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10.7D</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SERP Joinder Agreement for Howard L. Sellinger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10.7E</w:t>
            </w:r>
          </w:p>
        </w:tc>
        <w:tc>
          <w:tcPr>
            <w:tcW w:w="2560" w:type="dxa"/>
            <w:vAlign w:val="bottom"/>
            <w:tcBorders>
              <w:top w:val="single" w:sz="8" w:color="0000FF"/>
            </w:tcBorders>
            <w:gridSpan w:val="5"/>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SERP Joinder Agreement for Stan Allen</w:t>
              </w:r>
            </w:hyperlink>
          </w:p>
        </w:tc>
        <w:tc>
          <w:tcPr>
            <w:tcW w:w="5720" w:type="dxa"/>
            <w:vAlign w:val="bottom"/>
            <w:gridSpan w:val="3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10.7F</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SERP Joinder Agreement for Sidney A. Biesecker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10.7G</w:t>
            </w:r>
          </w:p>
        </w:tc>
        <w:tc>
          <w:tcPr>
            <w:tcW w:w="24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SERP Joinder Agreement for Peggy C. Melville</w:t>
              </w:r>
            </w:hyperlink>
          </w:p>
        </w:tc>
        <w:tc>
          <w:tcPr>
            <w:tcW w:w="100" w:type="dxa"/>
            <w:vAlign w:val="bottom"/>
            <w:tcBorders>
              <w:top w:val="single" w:sz="8" w:color="0000FF"/>
            </w:tcBorders>
            <w:gridSpan w:val="2"/>
          </w:tcPr>
          <w:p>
            <w:pPr>
              <w:spacing w:after="0"/>
              <w:rPr>
                <w:sz w:val="13"/>
                <w:szCs w:val="13"/>
                <w:color w:val="auto"/>
              </w:rPr>
            </w:pPr>
          </w:p>
        </w:tc>
        <w:tc>
          <w:tcPr>
            <w:tcW w:w="5720" w:type="dxa"/>
            <w:vAlign w:val="bottom"/>
            <w:gridSpan w:val="3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10.7H</w:t>
            </w:r>
          </w:p>
        </w:tc>
        <w:tc>
          <w:tcPr>
            <w:tcW w:w="2380" w:type="dxa"/>
            <w:vAlign w:val="bottom"/>
            <w:tcBorders>
              <w:bottom w:val="single" w:sz="8" w:color="0000FF"/>
            </w:tcBorders>
            <w:gridSpan w:val="2"/>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SERP Joinder Agreement for William T. Flynt</w:t>
              </w:r>
            </w:hyperlink>
          </w:p>
        </w:tc>
        <w:tc>
          <w:tcPr>
            <w:tcW w:w="5900" w:type="dxa"/>
            <w:vAlign w:val="bottom"/>
            <w:gridSpan w:val="3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10.7I</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Amended and Restated Supplemental Income Agreement between HomeTrust Bank, as successor to Industrial Federal Savings Bank, and Sidney Biesecker</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1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HomeTrust Bank Director Emeritus Plan (“Director Emeritus Plan”)</w:t>
              </w:r>
            </w:hyperlink>
          </w:p>
        </w:tc>
        <w:tc>
          <w:tcPr>
            <w:tcW w:w="4440" w:type="dxa"/>
            <w:vAlign w:val="bottom"/>
            <w:tcBorders>
              <w:top w:val="single" w:sz="8" w:color="0000FF"/>
            </w:tcBorders>
            <w:gridSpan w:val="25"/>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10.8A</w:t>
            </w:r>
          </w:p>
        </w:tc>
        <w:tc>
          <w:tcPr>
            <w:tcW w:w="3260" w:type="dxa"/>
            <w:vAlign w:val="bottom"/>
            <w:tcBorders>
              <w:bottom w:val="single" w:sz="8" w:color="0000FF"/>
            </w:tcBorders>
            <w:gridSpan w:val="10"/>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William T. Flynt</w:t>
              </w:r>
            </w:hyperlink>
          </w:p>
        </w:tc>
        <w:tc>
          <w:tcPr>
            <w:tcW w:w="502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10.8B</w:t>
            </w:r>
          </w:p>
        </w:tc>
        <w:tc>
          <w:tcPr>
            <w:tcW w:w="3300" w:type="dxa"/>
            <w:vAlign w:val="bottom"/>
            <w:tcBorders>
              <w:bottom w:val="single" w:sz="8" w:color="0000FF"/>
            </w:tcBorders>
            <w:gridSpan w:val="11"/>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J. Steven Goforth</w:t>
              </w:r>
            </w:hyperlink>
          </w:p>
        </w:tc>
        <w:tc>
          <w:tcPr>
            <w:tcW w:w="498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10.8C</w:t>
            </w:r>
          </w:p>
        </w:tc>
        <w:tc>
          <w:tcPr>
            <w:tcW w:w="324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Craig C. Koontz</w:t>
              </w:r>
            </w:hyperlink>
          </w:p>
        </w:tc>
        <w:tc>
          <w:tcPr>
            <w:tcW w:w="5040" w:type="dxa"/>
            <w:vAlign w:val="bottom"/>
            <w:gridSpan w:val="3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10.8D</w:t>
            </w:r>
          </w:p>
        </w:tc>
        <w:tc>
          <w:tcPr>
            <w:tcW w:w="3340" w:type="dxa"/>
            <w:vAlign w:val="bottom"/>
            <w:tcBorders>
              <w:bottom w:val="single" w:sz="8" w:color="0000FF"/>
            </w:tcBorders>
            <w:gridSpan w:val="13"/>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Larry S. McDevitt</w:t>
              </w:r>
            </w:hyperlink>
          </w:p>
        </w:tc>
        <w:tc>
          <w:tcPr>
            <w:tcW w:w="49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10.8E</w:t>
            </w:r>
          </w:p>
        </w:tc>
        <w:tc>
          <w:tcPr>
            <w:tcW w:w="340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F.K. McFarland, III</w:t>
              </w:r>
            </w:hyperlink>
          </w:p>
        </w:tc>
        <w:tc>
          <w:tcPr>
            <w:tcW w:w="4880" w:type="dxa"/>
            <w:vAlign w:val="bottom"/>
            <w:gridSpan w:val="2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10.8F</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10.8G</w:t>
            </w:r>
          </w:p>
        </w:tc>
        <w:tc>
          <w:tcPr>
            <w:tcW w:w="360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Director Emeritus Plan Joinder Agreement for Robert E. Shepherd, Sr.</w:t>
              </w:r>
            </w:hyperlink>
          </w:p>
        </w:tc>
        <w:tc>
          <w:tcPr>
            <w:tcW w:w="46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10.9</w:t>
            </w:r>
          </w:p>
        </w:tc>
        <w:tc>
          <w:tcPr>
            <w:tcW w:w="100" w:type="dxa"/>
            <w:vAlign w:val="bottom"/>
          </w:tcPr>
          <w:p>
            <w:pPr>
              <w:spacing w:after="0"/>
              <w:rPr>
                <w:sz w:val="13"/>
                <w:szCs w:val="13"/>
                <w:color w:val="auto"/>
              </w:rPr>
            </w:pPr>
          </w:p>
        </w:tc>
        <w:tc>
          <w:tcPr>
            <w:tcW w:w="8280" w:type="dxa"/>
            <w:vAlign w:val="bottom"/>
            <w:gridSpan w:val="41"/>
          </w:tcPr>
          <w:p>
            <w:pPr>
              <w:spacing w:after="0"/>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10.9A</w:t>
            </w:r>
          </w:p>
        </w:tc>
        <w:tc>
          <w:tcPr>
            <w:tcW w:w="47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8"/>
              </w:rPr>
            </w:pPr>
            <w:hyperlink r:id="rId116">
              <w:r>
                <w:rPr>
                  <w:rFonts w:ascii="Times New Roman" w:cs="Times New Roman" w:eastAsia="Times New Roman" w:hAnsi="Times New Roman"/>
                  <w:sz w:val="13"/>
                  <w:szCs w:val="13"/>
                  <w:color w:val="0000FF"/>
                  <w:w w:val="98"/>
                </w:rPr>
                <w:t>Amendment No. 1 to HomeTrust Bank Defined Contribution Executive Medical Care Plan</w:t>
              </w:r>
            </w:hyperlink>
          </w:p>
        </w:tc>
        <w:tc>
          <w:tcPr>
            <w:tcW w:w="35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10.9B</w:t>
            </w:r>
          </w:p>
        </w:tc>
        <w:tc>
          <w:tcPr>
            <w:tcW w:w="5520" w:type="dxa"/>
            <w:vAlign w:val="bottom"/>
            <w:tcBorders>
              <w:bottom w:val="single" w:sz="8" w:color="0000FF"/>
            </w:tcBorders>
            <w:gridSpan w:val="31"/>
          </w:tcPr>
          <w:p>
            <w:pPr>
              <w:spacing w:after="0"/>
              <w:rPr>
                <w:rFonts w:ascii="Times New Roman" w:cs="Times New Roman" w:eastAsia="Times New Roman" w:hAnsi="Times New Roman"/>
                <w:sz w:val="13"/>
                <w:szCs w:val="13"/>
                <w:color w:val="0000FF"/>
                <w:w w:val="97"/>
              </w:rPr>
            </w:pPr>
            <w:hyperlink r:id="rId116">
              <w:r>
                <w:rPr>
                  <w:rFonts w:ascii="Times New Roman" w:cs="Times New Roman" w:eastAsia="Times New Roman" w:hAnsi="Times New Roman"/>
                  <w:sz w:val="13"/>
                  <w:szCs w:val="13"/>
                  <w:color w:val="0000FF"/>
                  <w:w w:val="97"/>
                </w:rPr>
                <w:t>Form of Joinder Agreement Under the HomeTrust Bank Defined Contribution Executive Medical Care Plan</w:t>
              </w:r>
            </w:hyperlink>
          </w:p>
        </w:tc>
        <w:tc>
          <w:tcPr>
            <w:tcW w:w="27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10.9C</w:t>
            </w:r>
          </w:p>
        </w:tc>
        <w:tc>
          <w:tcPr>
            <w:tcW w:w="47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8"/>
              </w:rPr>
            </w:pPr>
            <w:hyperlink r:id="rId120">
              <w:r>
                <w:rPr>
                  <w:rFonts w:ascii="Times New Roman" w:cs="Times New Roman" w:eastAsia="Times New Roman" w:hAnsi="Times New Roman"/>
                  <w:sz w:val="13"/>
                  <w:szCs w:val="13"/>
                  <w:color w:val="0000FF"/>
                  <w:w w:val="98"/>
                </w:rPr>
                <w:t>Amendment No. 2 to HomeTrust Bank Defined Contribution Executive Medical Care Plan</w:t>
              </w:r>
            </w:hyperlink>
          </w:p>
        </w:tc>
        <w:tc>
          <w:tcPr>
            <w:tcW w:w="356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10.9D</w:t>
            </w:r>
          </w:p>
        </w:tc>
        <w:tc>
          <w:tcPr>
            <w:tcW w:w="464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w w:val="97"/>
              </w:rPr>
            </w:pPr>
            <w:hyperlink r:id="rId121">
              <w:r>
                <w:rPr>
                  <w:rFonts w:ascii="Times New Roman" w:cs="Times New Roman" w:eastAsia="Times New Roman" w:hAnsi="Times New Roman"/>
                  <w:sz w:val="13"/>
                  <w:szCs w:val="13"/>
                  <w:color w:val="0000FF"/>
                  <w:w w:val="97"/>
                </w:rPr>
                <w:t>Amendment No. 3 to HomeTrust Bank Defined Contribution Executive Medical Care Plan</w:t>
              </w:r>
            </w:hyperlink>
          </w:p>
        </w:tc>
        <w:tc>
          <w:tcPr>
            <w:tcW w:w="36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10.10</w:t>
            </w:r>
          </w:p>
        </w:tc>
        <w:tc>
          <w:tcPr>
            <w:tcW w:w="100" w:type="dxa"/>
            <w:vAlign w:val="bottom"/>
          </w:tcPr>
          <w:p>
            <w:pPr>
              <w:spacing w:after="0"/>
              <w:rPr>
                <w:sz w:val="13"/>
                <w:szCs w:val="13"/>
                <w:color w:val="auto"/>
              </w:rPr>
            </w:pPr>
          </w:p>
        </w:tc>
        <w:tc>
          <w:tcPr>
            <w:tcW w:w="268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HomeTrust Bank 2005 Deferred Compensation Plan</w:t>
              </w:r>
            </w:hyperlink>
          </w:p>
        </w:tc>
        <w:tc>
          <w:tcPr>
            <w:tcW w:w="5600" w:type="dxa"/>
            <w:vAlign w:val="bottom"/>
            <w:gridSpan w:val="3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10.10A</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10.11</w:t>
            </w:r>
          </w:p>
        </w:tc>
        <w:tc>
          <w:tcPr>
            <w:tcW w:w="10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3"/>
                <w:szCs w:val="13"/>
                <w:color w:val="0000FF"/>
                <w:w w:val="97"/>
              </w:rPr>
            </w:pPr>
            <w:hyperlink r:id="rId107">
              <w:r>
                <w:rPr>
                  <w:rFonts w:ascii="Times New Roman" w:cs="Times New Roman" w:eastAsia="Times New Roman" w:hAnsi="Times New Roman"/>
                  <w:sz w:val="13"/>
                  <w:szCs w:val="13"/>
                  <w:color w:val="0000FF"/>
                  <w:w w:val="97"/>
                </w:rPr>
                <w:t>HomeTrust Bank Pre-2005 Deferred Compensation Plan</w:t>
              </w:r>
            </w:hyperlink>
          </w:p>
        </w:tc>
        <w:tc>
          <w:tcPr>
            <w:tcW w:w="880" w:type="dxa"/>
            <w:vAlign w:val="bottom"/>
            <w:tcBorders>
              <w:top w:val="single" w:sz="8" w:color="0000FF"/>
            </w:tcBorders>
            <w:gridSpan w:val="10"/>
          </w:tcPr>
          <w:p>
            <w:pPr>
              <w:spacing w:after="0"/>
              <w:rPr>
                <w:sz w:val="13"/>
                <w:szCs w:val="13"/>
                <w:color w:val="auto"/>
              </w:rPr>
            </w:pPr>
          </w:p>
        </w:tc>
        <w:tc>
          <w:tcPr>
            <w:tcW w:w="450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10.11A</w:t>
            </w:r>
          </w:p>
        </w:tc>
        <w:tc>
          <w:tcPr>
            <w:tcW w:w="400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w w:val="97"/>
              </w:rPr>
            </w:pPr>
            <w:hyperlink r:id="rId116">
              <w:r>
                <w:rPr>
                  <w:rFonts w:ascii="Times New Roman" w:cs="Times New Roman" w:eastAsia="Times New Roman" w:hAnsi="Times New Roman"/>
                  <w:sz w:val="13"/>
                  <w:szCs w:val="13"/>
                  <w:color w:val="0000FF"/>
                  <w:w w:val="97"/>
                </w:rPr>
                <w:t>Amendment No. 1 to HomeTrust Bank Pre-2005 Deferred Compensation Plan</w:t>
              </w:r>
            </w:hyperlink>
          </w:p>
        </w:tc>
        <w:tc>
          <w:tcPr>
            <w:tcW w:w="42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10.12</w:t>
            </w:r>
          </w:p>
        </w:tc>
        <w:tc>
          <w:tcPr>
            <w:tcW w:w="100" w:type="dxa"/>
            <w:vAlign w:val="bottom"/>
          </w:tcPr>
          <w:p>
            <w:pPr>
              <w:spacing w:after="0"/>
              <w:rPr>
                <w:sz w:val="13"/>
                <w:szCs w:val="13"/>
                <w:color w:val="auto"/>
              </w:rPr>
            </w:pPr>
          </w:p>
        </w:tc>
        <w:tc>
          <w:tcPr>
            <w:tcW w:w="4760" w:type="dxa"/>
            <w:vAlign w:val="bottom"/>
            <w:tcBorders>
              <w:bottom w:val="single" w:sz="8" w:color="0000FF"/>
            </w:tcBorders>
            <w:gridSpan w:val="27"/>
          </w:tcPr>
          <w:p>
            <w:pPr>
              <w:spacing w:after="0"/>
              <w:rPr>
                <w:rFonts w:ascii="Times New Roman" w:cs="Times New Roman" w:eastAsia="Times New Roman" w:hAnsi="Times New Roman"/>
                <w:sz w:val="13"/>
                <w:szCs w:val="13"/>
                <w:color w:val="0000FF"/>
                <w:w w:val="97"/>
              </w:rPr>
            </w:pPr>
            <w:hyperlink r:id="rId122">
              <w:r>
                <w:rPr>
                  <w:rFonts w:ascii="Times New Roman" w:cs="Times New Roman" w:eastAsia="Times New Roman" w:hAnsi="Times New Roman"/>
                  <w:sz w:val="13"/>
                  <w:szCs w:val="13"/>
                  <w:color w:val="0000FF"/>
                  <w:w w:val="97"/>
                </w:rPr>
                <w:t>HomeTrust Bancshares, Inc. 2013 Omnibus Incentive Plan (“2013 Omnibus Incentive Plan”)</w:t>
              </w:r>
            </w:hyperlink>
          </w:p>
        </w:tc>
        <w:tc>
          <w:tcPr>
            <w:tcW w:w="35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10.12A</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Incentive Stock Option Award Agreement under 2013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0"/>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10.12B</w:t>
            </w:r>
          </w:p>
        </w:tc>
        <w:tc>
          <w:tcPr>
            <w:tcW w:w="474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w w:val="97"/>
              </w:rPr>
            </w:pPr>
            <w:hyperlink r:id="rId123">
              <w:r>
                <w:rPr>
                  <w:rFonts w:ascii="Times New Roman" w:cs="Times New Roman" w:eastAsia="Times New Roman" w:hAnsi="Times New Roman"/>
                  <w:sz w:val="13"/>
                  <w:szCs w:val="13"/>
                  <w:color w:val="0000FF"/>
                  <w:w w:val="97"/>
                </w:rPr>
                <w:t>Form of Non-Qualified Stock Option Award Agreement under 2013 Omnibus Incentive Plan</w:t>
              </w:r>
            </w:hyperlink>
          </w:p>
        </w:tc>
        <w:tc>
          <w:tcPr>
            <w:tcW w:w="3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10.12C</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Stock Appreciation Right Award Agreement under 2013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10.12D</w:t>
            </w:r>
          </w:p>
        </w:tc>
        <w:tc>
          <w:tcPr>
            <w:tcW w:w="4580" w:type="dxa"/>
            <w:vAlign w:val="bottom"/>
            <w:tcBorders>
              <w:top w:val="single" w:sz="8" w:color="0000FF"/>
            </w:tcBorders>
            <w:gridSpan w:val="23"/>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Restricted Stock Award Agreement under 2013 Omnibus Incentive Plan</w:t>
              </w:r>
            </w:hyperlink>
          </w:p>
        </w:tc>
        <w:tc>
          <w:tcPr>
            <w:tcW w:w="37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120" w:type="dxa"/>
            <w:vAlign w:val="bottom"/>
            <w:gridSpan w:val="20"/>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10.12E</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Form of Restricted Stock Unit Award Agreement under 2013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21"/>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10.13</w:t>
            </w:r>
          </w:p>
        </w:tc>
        <w:tc>
          <w:tcPr>
            <w:tcW w:w="100" w:type="dxa"/>
            <w:vAlign w:val="bottom"/>
          </w:tcPr>
          <w:p>
            <w:pPr>
              <w:spacing w:after="0"/>
              <w:rPr>
                <w:sz w:val="13"/>
                <w:szCs w:val="13"/>
                <w:color w:val="auto"/>
              </w:rPr>
            </w:pPr>
          </w:p>
        </w:tc>
        <w:tc>
          <w:tcPr>
            <w:tcW w:w="4740" w:type="dxa"/>
            <w:vAlign w:val="bottom"/>
            <w:tcBorders>
              <w:bottom w:val="single" w:sz="8" w:color="0000FF"/>
            </w:tcBorders>
            <w:gridSpan w:val="26"/>
          </w:tcPr>
          <w:p>
            <w:pPr>
              <w:spacing w:after="0"/>
              <w:rPr>
                <w:rFonts w:ascii="Times New Roman" w:cs="Times New Roman" w:eastAsia="Times New Roman" w:hAnsi="Times New Roman"/>
                <w:sz w:val="13"/>
                <w:szCs w:val="13"/>
                <w:color w:val="0000FF"/>
                <w:w w:val="97"/>
              </w:rPr>
            </w:pPr>
            <w:hyperlink r:id="rId124">
              <w:r>
                <w:rPr>
                  <w:rFonts w:ascii="Times New Roman" w:cs="Times New Roman" w:eastAsia="Times New Roman" w:hAnsi="Times New Roman"/>
                  <w:sz w:val="13"/>
                  <w:szCs w:val="13"/>
                  <w:color w:val="0000FF"/>
                  <w:w w:val="97"/>
                </w:rPr>
                <w:t>HomeTrust Bancshares, Inc. 2022 Omnibus Incentive Plan ("2022 Omnibus Incentive Plan")</w:t>
              </w:r>
            </w:hyperlink>
          </w:p>
        </w:tc>
        <w:tc>
          <w:tcPr>
            <w:tcW w:w="354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10.13A</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Form of Non-Qualified Stock Option Award Agreement under the Registrant’s 2022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720" w:type="dxa"/>
            <w:vAlign w:val="bottom"/>
            <w:tcBorders>
              <w:right w:val="single" w:sz="8" w:color="0000FF"/>
            </w:tcBorders>
            <w:gridSpan w:val="2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10.13B</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10.13C</w:t>
            </w:r>
          </w:p>
        </w:tc>
        <w:tc>
          <w:tcPr>
            <w:tcW w:w="5640" w:type="dxa"/>
            <w:vAlign w:val="bottom"/>
            <w:tcBorders>
              <w:top w:val="single" w:sz="8" w:color="0000FF"/>
              <w:bottom w:val="single" w:sz="8" w:color="0000FF"/>
            </w:tcBorders>
            <w:gridSpan w:val="33"/>
          </w:tcPr>
          <w:p>
            <w:pPr>
              <w:spacing w:after="0"/>
              <w:rPr>
                <w:rFonts w:ascii="Times New Roman" w:cs="Times New Roman" w:eastAsia="Times New Roman" w:hAnsi="Times New Roman"/>
                <w:sz w:val="13"/>
                <w:szCs w:val="13"/>
                <w:color w:val="0000FF"/>
                <w:w w:val="97"/>
              </w:rPr>
            </w:pPr>
            <w:hyperlink r:id="rId125">
              <w:r>
                <w:rPr>
                  <w:rFonts w:ascii="Times New Roman" w:cs="Times New Roman" w:eastAsia="Times New Roman" w:hAnsi="Times New Roman"/>
                  <w:sz w:val="13"/>
                  <w:szCs w:val="13"/>
                  <w:color w:val="0000FF"/>
                  <w:w w:val="97"/>
                </w:rPr>
                <w:t>Form of Restricted Stock Award Agreement for Directors under the Registrant’s 2022 Omnibus Incentive Plan</w:t>
              </w:r>
            </w:hyperlink>
          </w:p>
        </w:tc>
        <w:tc>
          <w:tcPr>
            <w:tcW w:w="80" w:type="dxa"/>
            <w:vAlign w:val="bottom"/>
            <w:tcBorders>
              <w:top w:val="single" w:sz="8" w:color="0000FF"/>
            </w:tcBorders>
          </w:tcPr>
          <w:p>
            <w:pPr>
              <w:spacing w:after="0"/>
              <w:rPr>
                <w:sz w:val="13"/>
                <w:szCs w:val="13"/>
                <w:color w:val="auto"/>
              </w:rPr>
            </w:pPr>
          </w:p>
        </w:tc>
        <w:tc>
          <w:tcPr>
            <w:tcW w:w="25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10.14</w:t>
            </w:r>
          </w:p>
        </w:tc>
        <w:tc>
          <w:tcPr>
            <w:tcW w:w="100" w:type="dxa"/>
            <w:vAlign w:val="bottom"/>
          </w:tcPr>
          <w:p>
            <w:pPr>
              <w:spacing w:after="0"/>
              <w:rPr>
                <w:sz w:val="13"/>
                <w:szCs w:val="13"/>
                <w:color w:val="auto"/>
              </w:rPr>
            </w:pPr>
          </w:p>
        </w:tc>
        <w:tc>
          <w:tcPr>
            <w:tcW w:w="5120" w:type="dxa"/>
            <w:vAlign w:val="bottom"/>
            <w:tcBorders>
              <w:bottom w:val="single" w:sz="8" w:color="0000FF"/>
            </w:tcBorders>
            <w:gridSpan w:val="30"/>
          </w:tcPr>
          <w:p>
            <w:pPr>
              <w:spacing w:after="0"/>
              <w:rPr>
                <w:rFonts w:ascii="Times New Roman" w:cs="Times New Roman" w:eastAsia="Times New Roman" w:hAnsi="Times New Roman"/>
                <w:sz w:val="13"/>
                <w:szCs w:val="13"/>
                <w:color w:val="0000FF"/>
                <w:w w:val="97"/>
              </w:rPr>
            </w:pPr>
            <w:hyperlink r:id="rId126">
              <w:r>
                <w:rPr>
                  <w:rFonts w:ascii="Times New Roman" w:cs="Times New Roman" w:eastAsia="Times New Roman" w:hAnsi="Times New Roman"/>
                  <w:sz w:val="13"/>
                  <w:szCs w:val="13"/>
                  <w:color w:val="0000FF"/>
                  <w:w w:val="97"/>
                </w:rPr>
                <w:t>Change in Control Severance Agreement between HomeTrust Bancshares, Inc. and Marty Caywood</w:t>
              </w:r>
            </w:hyperlink>
          </w:p>
        </w:tc>
        <w:tc>
          <w:tcPr>
            <w:tcW w:w="31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10.14A</w:t>
            </w:r>
          </w:p>
        </w:tc>
        <w:tc>
          <w:tcPr>
            <w:tcW w:w="6220" w:type="dxa"/>
            <w:vAlign w:val="bottom"/>
            <w:tcBorders>
              <w:bottom w:val="single" w:sz="8" w:color="0000FF"/>
            </w:tcBorders>
            <w:gridSpan w:val="37"/>
          </w:tcPr>
          <w:p>
            <w:pPr>
              <w:spacing w:after="0"/>
              <w:rPr>
                <w:rFonts w:ascii="Times New Roman" w:cs="Times New Roman" w:eastAsia="Times New Roman" w:hAnsi="Times New Roman"/>
                <w:sz w:val="13"/>
                <w:szCs w:val="13"/>
                <w:color w:val="0000FF"/>
                <w:w w:val="97"/>
              </w:rPr>
            </w:pPr>
            <w:hyperlink r:id="rId127">
              <w:r>
                <w:rPr>
                  <w:rFonts w:ascii="Times New Roman" w:cs="Times New Roman" w:eastAsia="Times New Roman" w:hAnsi="Times New Roman"/>
                  <w:sz w:val="13"/>
                  <w:szCs w:val="13"/>
                  <w:color w:val="0000FF"/>
                  <w:w w:val="97"/>
                </w:rPr>
                <w:t>Amendment No. 1 to Change in Control Severance Agreement between HomeTrust Bancshares, Inc. and Marty Caywood</w:t>
              </w:r>
            </w:hyperlink>
          </w:p>
        </w:tc>
        <w:tc>
          <w:tcPr>
            <w:tcW w:w="20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10.15</w:t>
            </w:r>
          </w:p>
        </w:tc>
        <w:tc>
          <w:tcPr>
            <w:tcW w:w="100" w:type="dxa"/>
            <w:vAlign w:val="bottom"/>
          </w:tcPr>
          <w:p>
            <w:pPr>
              <w:spacing w:after="0"/>
              <w:rPr>
                <w:sz w:val="13"/>
                <w:szCs w:val="13"/>
                <w:color w:val="auto"/>
              </w:rPr>
            </w:pPr>
          </w:p>
        </w:tc>
        <w:tc>
          <w:tcPr>
            <w:tcW w:w="8280" w:type="dxa"/>
            <w:vAlign w:val="bottom"/>
            <w:gridSpan w:val="41"/>
          </w:tcPr>
          <w:p>
            <w:pPr>
              <w:spacing w:after="0"/>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Amended and Restated Change in Control Severance Agreement between HomeTrust Bancshares, Inc. and Keith J. Houghton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720" w:type="dxa"/>
            <w:vAlign w:val="bottom"/>
            <w:tcBorders>
              <w:right w:val="single" w:sz="8" w:color="0000FF"/>
            </w:tcBorders>
            <w:gridSpan w:val="2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10.15A</w:t>
            </w:r>
          </w:p>
        </w:tc>
        <w:tc>
          <w:tcPr>
            <w:tcW w:w="7540" w:type="dxa"/>
            <w:vAlign w:val="bottom"/>
            <w:tcBorders>
              <w:bottom w:val="single" w:sz="8" w:color="0000FF"/>
            </w:tcBorders>
            <w:gridSpan w:val="39"/>
          </w:tcPr>
          <w:p>
            <w:pPr>
              <w:spacing w:after="0"/>
              <w:rPr>
                <w:rFonts w:ascii="Times New Roman" w:cs="Times New Roman" w:eastAsia="Times New Roman" w:hAnsi="Times New Roman"/>
                <w:sz w:val="13"/>
                <w:szCs w:val="13"/>
                <w:color w:val="0000FF"/>
                <w:w w:val="97"/>
              </w:rPr>
            </w:pPr>
            <w:hyperlink r:id="rId128">
              <w:r>
                <w:rPr>
                  <w:rFonts w:ascii="Times New Roman" w:cs="Times New Roman" w:eastAsia="Times New Roman" w:hAnsi="Times New Roman"/>
                  <w:sz w:val="13"/>
                  <w:szCs w:val="13"/>
                  <w:color w:val="0000FF"/>
                  <w:w w:val="97"/>
                </w:rPr>
                <w:t>Amendment No. 1 to Amended and Restated Change in Control Severance Agreement between HomeTrust Bancshares, Inc. and Keith J. Houghton</w:t>
              </w:r>
            </w:hyperlink>
          </w:p>
        </w:tc>
        <w:tc>
          <w:tcPr>
            <w:tcW w:w="7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10.16</w:t>
            </w:r>
          </w:p>
        </w:tc>
        <w:tc>
          <w:tcPr>
            <w:tcW w:w="100" w:type="dxa"/>
            <w:vAlign w:val="bottom"/>
          </w:tcPr>
          <w:p>
            <w:pPr>
              <w:spacing w:after="0"/>
              <w:rPr>
                <w:sz w:val="13"/>
                <w:szCs w:val="13"/>
                <w:color w:val="auto"/>
              </w:rPr>
            </w:pPr>
          </w:p>
        </w:tc>
        <w:tc>
          <w:tcPr>
            <w:tcW w:w="8280" w:type="dxa"/>
            <w:vAlign w:val="bottom"/>
            <w:gridSpan w:val="41"/>
          </w:tcPr>
          <w:p>
            <w:pPr>
              <w:spacing w:after="0"/>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Amended and Restated Change in Control Severance Agreement between HomeTrust Bancshares, Inc. and John Sprink</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10.17</w:t>
            </w:r>
          </w:p>
        </w:tc>
        <w:tc>
          <w:tcPr>
            <w:tcW w:w="1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28"/>
          </w:tcPr>
          <w:p>
            <w:pPr>
              <w:spacing w:after="0"/>
              <w:rPr>
                <w:rFonts w:ascii="Times New Roman" w:cs="Times New Roman" w:eastAsia="Times New Roman" w:hAnsi="Times New Roman"/>
                <w:sz w:val="13"/>
                <w:szCs w:val="13"/>
                <w:color w:val="0000FF"/>
                <w:w w:val="97"/>
              </w:rPr>
            </w:pPr>
            <w:hyperlink r:id="rId120">
              <w:r>
                <w:rPr>
                  <w:rFonts w:ascii="Times New Roman" w:cs="Times New Roman" w:eastAsia="Times New Roman" w:hAnsi="Times New Roman"/>
                  <w:sz w:val="13"/>
                  <w:szCs w:val="13"/>
                  <w:color w:val="0000FF"/>
                  <w:w w:val="97"/>
                </w:rPr>
                <w:t>Change in Control Severance Agreement between HomeTrust Bancshares, Inc. and Kristin Powell</w:t>
              </w:r>
            </w:hyperlink>
          </w:p>
        </w:tc>
        <w:tc>
          <w:tcPr>
            <w:tcW w:w="1080" w:type="dxa"/>
            <w:vAlign w:val="bottom"/>
            <w:tcBorders>
              <w:top w:val="single" w:sz="8" w:color="0000FF"/>
            </w:tcBorders>
            <w:gridSpan w:val="7"/>
          </w:tcPr>
          <w:p>
            <w:pPr>
              <w:spacing w:after="0"/>
              <w:rPr>
                <w:sz w:val="13"/>
                <w:szCs w:val="13"/>
                <w:color w:val="auto"/>
              </w:rPr>
            </w:pPr>
          </w:p>
        </w:tc>
        <w:tc>
          <w:tcPr>
            <w:tcW w:w="2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10.17A</w:t>
            </w:r>
          </w:p>
        </w:tc>
        <w:tc>
          <w:tcPr>
            <w:tcW w:w="8280" w:type="dxa"/>
            <w:vAlign w:val="bottom"/>
            <w:gridSpan w:val="41"/>
          </w:tcPr>
          <w:p>
            <w:pPr>
              <w:spacing w:after="0"/>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Amendment No. 1 to Change in Control Severance Agreement between HomeTrust Bancshares, Inc. and Kristin Powell</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10.18</w:t>
            </w:r>
          </w:p>
        </w:tc>
        <w:tc>
          <w:tcPr>
            <w:tcW w:w="100" w:type="dxa"/>
            <w:vAlign w:val="bottom"/>
          </w:tcPr>
          <w:p>
            <w:pPr>
              <w:spacing w:after="0"/>
              <w:rPr>
                <w:sz w:val="13"/>
                <w:szCs w:val="13"/>
                <w:color w:val="auto"/>
              </w:rPr>
            </w:pPr>
          </w:p>
        </w:tc>
        <w:tc>
          <w:tcPr>
            <w:tcW w:w="6120" w:type="dxa"/>
            <w:vAlign w:val="bottom"/>
            <w:tcBorders>
              <w:top w:val="single" w:sz="8" w:color="0000FF"/>
            </w:tcBorders>
            <w:gridSpan w:val="36"/>
          </w:tcPr>
          <w:p>
            <w:pPr>
              <w:spacing w:after="0"/>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Change in Control Severance Agreement between HomeTrust Bancshares, Inc. and Megan Pelletier</w:t>
              </w:r>
            </w:hyperlink>
          </w:p>
        </w:tc>
        <w:tc>
          <w:tcPr>
            <w:tcW w:w="21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10.19</w:t>
            </w:r>
          </w:p>
        </w:tc>
        <w:tc>
          <w:tcPr>
            <w:tcW w:w="100" w:type="dxa"/>
            <w:vAlign w:val="bottom"/>
          </w:tcPr>
          <w:p>
            <w:pPr>
              <w:spacing w:after="0"/>
              <w:rPr>
                <w:sz w:val="13"/>
                <w:szCs w:val="13"/>
                <w:color w:val="auto"/>
              </w:rPr>
            </w:pPr>
          </w:p>
        </w:tc>
        <w:tc>
          <w:tcPr>
            <w:tcW w:w="5080" w:type="dxa"/>
            <w:vAlign w:val="bottom"/>
            <w:tcBorders>
              <w:top w:val="single" w:sz="8" w:color="0000FF"/>
            </w:tcBorders>
            <w:gridSpan w:val="29"/>
          </w:tcPr>
          <w:p>
            <w:pPr>
              <w:spacing w:after="0"/>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Change in Control Severance Agreement between HomeTrust Bancshares, Inc. and Lora Jex</w:t>
              </w:r>
            </w:hyperlink>
          </w:p>
        </w:tc>
        <w:tc>
          <w:tcPr>
            <w:tcW w:w="32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hanging="36"/>
        <w:spacing w:after="0" w:line="272" w:lineRule="auto"/>
        <w:rPr>
          <w:sz w:val="20"/>
          <w:szCs w:val="20"/>
          <w:color w:val="auto"/>
        </w:rPr>
      </w:pPr>
      <w:r>
        <w:rPr>
          <w:rFonts w:ascii="Times New Roman" w:cs="Times New Roman" w:eastAsia="Times New Roman" w:hAnsi="Times New Roman"/>
          <w:sz w:val="12"/>
          <w:szCs w:val="12"/>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-8255</wp:posOffset>
            </wp:positionV>
            <wp:extent cx="110490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(m)</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(j)</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(w)</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(w)</w:t>
      </w:r>
    </w:p>
    <w:p>
      <w:pPr>
        <w:spacing w:after="0" w:line="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3"/>
          <w:szCs w:val="13"/>
          <w:color w:val="auto"/>
        </w:rPr>
        <w:t>(w)</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(t)</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(x)</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(y)</w:t>
      </w:r>
    </w:p>
    <w:p>
      <w:pPr>
        <w:sectPr>
          <w:pgSz w:w="11900" w:h="16838" w:orient="portrait"/>
          <w:cols w:equalWidth="0" w:num="2">
            <w:col w:w="9460" w:space="240"/>
            <w:col w:w="1460"/>
          </w:cols>
          <w:pgMar w:left="300" w:top="743" w:right="4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Regulation S-K</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780" w:type="dxa"/>
            <w:vAlign w:val="bottom"/>
            <w:gridSpan w:val="4"/>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Document</w:t>
            </w:r>
          </w:p>
        </w:tc>
        <w:tc>
          <w:tcPr>
            <w:tcW w:w="80" w:type="dxa"/>
            <w:vAlign w:val="bottom"/>
            <w:vMerge w:val="restart"/>
          </w:tcPr>
          <w:p>
            <w:pPr>
              <w:spacing w:after="0"/>
              <w:rPr>
                <w:sz w:val="12"/>
                <w:szCs w:val="1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 to Prior Filing or</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Exhibit #</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Exhibit # Attached Hereto</w:t>
            </w: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21.0</w:t>
            </w:r>
          </w:p>
        </w:tc>
        <w:tc>
          <w:tcPr>
            <w:tcW w:w="100" w:type="dxa"/>
            <w:vAlign w:val="bottom"/>
          </w:tcPr>
          <w:p>
            <w:pPr>
              <w:spacing w:after="0"/>
              <w:rPr>
                <w:sz w:val="14"/>
                <w:szCs w:val="14"/>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13"/>
                <w:szCs w:val="13"/>
                <w:color w:val="0000FF"/>
              </w:rPr>
              <w:t>Subsidiaries of the Registrant</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21.0</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23.0</w:t>
            </w:r>
          </w:p>
        </w:tc>
        <w:tc>
          <w:tcPr>
            <w:tcW w:w="100" w:type="dxa"/>
            <w:vAlign w:val="bottom"/>
          </w:tcPr>
          <w:p>
            <w:pPr>
              <w:spacing w:after="0"/>
              <w:rPr>
                <w:sz w:val="13"/>
                <w:szCs w:val="13"/>
                <w:color w:val="auto"/>
              </w:rPr>
            </w:pPr>
          </w:p>
        </w:tc>
        <w:tc>
          <w:tcPr>
            <w:tcW w:w="1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Consent of FORVIS, LLP</w:t>
            </w:r>
          </w:p>
        </w:tc>
        <w:tc>
          <w:tcPr>
            <w:tcW w:w="6860" w:type="dxa"/>
            <w:vAlign w:val="bottom"/>
            <w:gridSpan w:val="6"/>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23.0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100" w:type="dxa"/>
            <w:vAlign w:val="bottom"/>
          </w:tcPr>
          <w:p>
            <w:pPr>
              <w:spacing w:after="0"/>
              <w:rPr>
                <w:sz w:val="13"/>
                <w:szCs w:val="13"/>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13"/>
                <w:szCs w:val="13"/>
                <w:color w:val="0000FF"/>
                <w:w w:val="99"/>
              </w:rPr>
              <w:t>Certification of Chief Executive Officer pursuant to Securities Exchange Act Rules 13a-14(a) and 15d-14(a) as adopted pursuant to Section 302 of the Sarbanes-</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31.1</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7240" w:type="dxa"/>
            <w:vAlign w:val="bottom"/>
            <w:tcBorders>
              <w:top w:val="single" w:sz="8" w:color="0000FF"/>
            </w:tcBorders>
            <w:gridSpan w:val="6"/>
          </w:tcPr>
          <w:p>
            <w:pPr>
              <w:spacing w:after="0"/>
              <w:rPr>
                <w:sz w:val="9"/>
                <w:szCs w:val="9"/>
                <w:color w:val="auto"/>
              </w:rPr>
            </w:pPr>
          </w:p>
        </w:tc>
        <w:tc>
          <w:tcPr>
            <w:tcW w:w="160" w:type="dxa"/>
            <w:vAlign w:val="bottom"/>
            <w:gridSpan w:val="2"/>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100" w:type="dxa"/>
            <w:vAlign w:val="bottom"/>
          </w:tcPr>
          <w:p>
            <w:pPr>
              <w:spacing w:after="0"/>
              <w:rPr>
                <w:sz w:val="13"/>
                <w:szCs w:val="13"/>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13"/>
                <w:szCs w:val="13"/>
                <w:color w:val="0000FF"/>
              </w:rPr>
              <w:t>Certification of Chief Financial Officer pursuant to Securities Exchange Act Rules 13a-14(a) and 15d-14(a) as adopted pursuant to Section 302 of the Sarbanes-</w:t>
            </w: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31.2</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Oxley Act of 2002</w:t>
            </w:r>
          </w:p>
        </w:tc>
        <w:tc>
          <w:tcPr>
            <w:tcW w:w="7200" w:type="dxa"/>
            <w:vAlign w:val="bottom"/>
            <w:tcBorders>
              <w:top w:val="single" w:sz="8" w:color="0000FF"/>
            </w:tcBorders>
            <w:gridSpan w:val="5"/>
          </w:tcPr>
          <w:p>
            <w:pPr>
              <w:spacing w:after="0"/>
              <w:rPr>
                <w:sz w:val="9"/>
                <w:szCs w:val="9"/>
                <w:color w:val="auto"/>
              </w:rPr>
            </w:pPr>
          </w:p>
        </w:tc>
        <w:tc>
          <w:tcPr>
            <w:tcW w:w="200" w:type="dxa"/>
            <w:vAlign w:val="bottom"/>
            <w:gridSpan w:val="3"/>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32.0</w:t>
            </w:r>
          </w:p>
        </w:tc>
        <w:tc>
          <w:tcPr>
            <w:tcW w:w="100" w:type="dxa"/>
            <w:vAlign w:val="bottom"/>
          </w:tcPr>
          <w:p>
            <w:pPr>
              <w:spacing w:after="0"/>
              <w:rPr>
                <w:sz w:val="13"/>
                <w:szCs w:val="13"/>
                <w:color w:val="auto"/>
              </w:rPr>
            </w:pPr>
          </w:p>
        </w:tc>
        <w:tc>
          <w:tcPr>
            <w:tcW w:w="6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7"/>
              </w:rPr>
              <w:t>Certificate of Chief Executive Officer and Chief Financial Officer pursuant to Section 906 of the Sarbanes-Oxley Act of 2002</w:t>
            </w:r>
          </w:p>
        </w:tc>
        <w:tc>
          <w:tcPr>
            <w:tcW w:w="1940" w:type="dxa"/>
            <w:vAlign w:val="bottom"/>
            <w:gridSpan w:val="4"/>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32.0</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97</w:t>
            </w:r>
          </w:p>
        </w:tc>
        <w:tc>
          <w:tcPr>
            <w:tcW w:w="100" w:type="dxa"/>
            <w:vAlign w:val="bottom"/>
          </w:tcPr>
          <w:p>
            <w:pPr>
              <w:spacing w:after="0"/>
              <w:rPr>
                <w:sz w:val="13"/>
                <w:szCs w:val="13"/>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7"/>
              </w:rPr>
              <w:t>Policy Relating to Recovery of Erroneously Awarded Compensation</w:t>
            </w:r>
          </w:p>
        </w:tc>
        <w:tc>
          <w:tcPr>
            <w:tcW w:w="4860" w:type="dxa"/>
            <w:vAlign w:val="bottom"/>
            <w:gridSpan w:val="5"/>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39"/>
        </w:trPr>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2"/>
              </w:rPr>
              <w:t>101</w:t>
            </w:r>
          </w:p>
        </w:tc>
        <w:tc>
          <w:tcPr>
            <w:tcW w:w="100" w:type="dxa"/>
            <w:vAlign w:val="bottom"/>
          </w:tcPr>
          <w:p>
            <w:pPr>
              <w:spacing w:after="0"/>
              <w:rPr>
                <w:sz w:val="12"/>
                <w:szCs w:val="12"/>
                <w:color w:val="auto"/>
              </w:rPr>
            </w:pPr>
          </w:p>
        </w:tc>
        <w:tc>
          <w:tcPr>
            <w:tcW w:w="8360" w:type="dxa"/>
            <w:vAlign w:val="bottom"/>
            <w:gridSpan w:val="9"/>
          </w:tcPr>
          <w:p>
            <w:pPr>
              <w:spacing w:after="0" w:line="139" w:lineRule="exact"/>
              <w:rPr>
                <w:sz w:val="20"/>
                <w:szCs w:val="20"/>
                <w:color w:val="auto"/>
              </w:rPr>
            </w:pPr>
            <w:r>
              <w:rPr>
                <w:rFonts w:ascii="Times New Roman" w:cs="Times New Roman" w:eastAsia="Times New Roman" w:hAnsi="Times New Roman"/>
                <w:sz w:val="13"/>
                <w:szCs w:val="13"/>
                <w:color w:val="auto"/>
                <w:w w:val="98"/>
              </w:rPr>
              <w:t>The following materials from HomeTrust Bancshares’ Transition Report on Form 10-KT for the six-month transition period ended December 31, 2023, formatted</w:t>
            </w:r>
          </w:p>
        </w:tc>
        <w:tc>
          <w:tcPr>
            <w:tcW w:w="1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2"/>
              </w:rPr>
              <w:t>101</w:t>
            </w: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360" w:type="dxa"/>
            <w:vAlign w:val="bottom"/>
            <w:gridSpan w:val="9"/>
          </w:tcPr>
          <w:p>
            <w:pPr>
              <w:spacing w:after="0" w:line="128" w:lineRule="exact"/>
              <w:rPr>
                <w:sz w:val="20"/>
                <w:szCs w:val="20"/>
                <w:color w:val="auto"/>
              </w:rPr>
            </w:pPr>
            <w:r>
              <w:rPr>
                <w:rFonts w:ascii="Times New Roman" w:cs="Times New Roman" w:eastAsia="Times New Roman" w:hAnsi="Times New Roman"/>
                <w:sz w:val="13"/>
                <w:szCs w:val="13"/>
                <w:color w:val="auto"/>
              </w:rPr>
              <w:t>in Extensible Business Reporting Language (XBRL): (a) Consolidated Balance Sheets; (b) Consolidated Statements of Income; (c) Consolidated Statements of</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360" w:type="dxa"/>
            <w:vAlign w:val="bottom"/>
            <w:gridSpan w:val="9"/>
          </w:tcPr>
          <w:p>
            <w:pPr>
              <w:spacing w:after="0" w:line="128" w:lineRule="exact"/>
              <w:rPr>
                <w:sz w:val="20"/>
                <w:szCs w:val="20"/>
                <w:color w:val="auto"/>
              </w:rPr>
            </w:pPr>
            <w:r>
              <w:rPr>
                <w:rFonts w:ascii="Times New Roman" w:cs="Times New Roman" w:eastAsia="Times New Roman" w:hAnsi="Times New Roman"/>
                <w:sz w:val="13"/>
                <w:szCs w:val="13"/>
                <w:color w:val="auto"/>
              </w:rPr>
              <w:t>Comprehensive Income; (d) Consolidated Statements of Changes in Stockholders' Equity; (e) Consolidated Statements of Cash Flows; and (f) Notes to</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36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Consolidated Financial Statements.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the proxy statement/prospectus filed by HomeTrust Bancshares on November 2, 2016 pursuant to Rule 424(b) of the Securities Act of 1933.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June 10, 2014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the joint proxy statement/prospectus filed by HomeTrust Bancshares on April 28, 2014 pursuant to Rule 424(b) of the Securities Act of 1933.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S-1 (File No. 333-178817) filed on December 29, 2011.</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May 24, 2022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2021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11, 2018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October 28, 2020 (File No. 001-35593).</w:t>
      </w:r>
    </w:p>
    <w:p>
      <w:pPr>
        <w:spacing w:after="0" w:line="32"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Amendment No. 1 to HomeTrust Bancshares’s Registration Statement on Form S-1 (File No. 333-178817) filed on March 9, 2012.</w:t>
      </w:r>
    </w:p>
    <w:p>
      <w:pPr>
        <w:spacing w:after="0" w:line="43"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HomeTrust Bancshares’s definitive proxy statement filed on December 5, 2012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S-8 (File No. 333-186666) filed on February 13, 2013.</w:t>
      </w:r>
    </w:p>
    <w:p>
      <w:pPr>
        <w:spacing w:after="0" w:line="43"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February 15, 2022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2022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2014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Attached as Appendix A to HomeTrust Bancshares’s definitive proxy statement filed on October 3, 2022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August 28, 2023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July 28, 2021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July 25, 2022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Current Report on Form 8-K filed on September 25, 2018 (File No. 001-35593).</w:t>
      </w:r>
    </w:p>
    <w:p>
      <w:pPr>
        <w:spacing w:after="0" w:line="32" w:lineRule="exact"/>
        <w:rPr>
          <w:rFonts w:ascii="Times New Roman" w:cs="Times New Roman" w:eastAsia="Times New Roman" w:hAnsi="Times New Roman"/>
          <w:sz w:val="11"/>
          <w:szCs w:val="11"/>
          <w:color w:val="auto"/>
        </w:rPr>
      </w:pPr>
    </w:p>
    <w:p>
      <w:pPr>
        <w:ind w:left="240" w:hanging="235"/>
        <w:spacing w:after="0"/>
        <w:tabs>
          <w:tab w:leader="none" w:pos="2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March 31, 2019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September 30, 2022 (File No. 001-35593).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2022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Registration Statement on Form S-8 (File No. 333-186666) filed on February 6, 2023.</w:t>
      </w:r>
    </w:p>
    <w:p>
      <w:pPr>
        <w:spacing w:after="0" w:line="3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Annual Report on Form 10-K for the fiscal year ended June 30, 2023 (File No. 001-35593).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as an exhibit to HomeTrust Bancshares's Quarterly Report on Form 10-Q for the quarter ended September 30, 2023 (File No. 001-35593).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3" w:right="319" w:bottom="1440" w:gutter="0" w:footer="0" w:header="0"/>
        </w:sectPr>
      </w:pPr>
    </w:p>
    <w:bookmarkStart w:id="96" w:name="page97"/>
    <w:bookmarkEnd w:id="96"/>
    <w:p>
      <w:pPr>
        <w:ind w:left="524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7220" w:type="dxa"/>
            <w:vAlign w:val="bottom"/>
            <w:gridSpan w:val="2"/>
          </w:tcPr>
          <w:p>
            <w:pPr>
              <w:ind w:left="2880"/>
              <w:spacing w:after="0"/>
              <w:rPr>
                <w:sz w:val="20"/>
                <w:szCs w:val="20"/>
                <w:color w:val="auto"/>
              </w:rPr>
            </w:pPr>
            <w:r>
              <w:rPr>
                <w:rFonts w:ascii="Times New Roman" w:cs="Times New Roman" w:eastAsia="Times New Roman" w:hAnsi="Times New Roman"/>
                <w:sz w:val="13"/>
                <w:szCs w:val="13"/>
                <w:b w:val="1"/>
                <w:bCs w:val="1"/>
                <w:color w:val="auto"/>
              </w:rPr>
              <w:t>HOMETRUST BANCSHARES, INC.</w:t>
            </w:r>
          </w:p>
        </w:tc>
      </w:tr>
      <w:tr>
        <w:trPr>
          <w:trHeight w:val="246"/>
        </w:trPr>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Date: March 12, 2024</w:t>
            </w:r>
          </w:p>
        </w:tc>
        <w:tc>
          <w:tcPr>
            <w:tcW w:w="3520" w:type="dxa"/>
            <w:vAlign w:val="bottom"/>
          </w:tcPr>
          <w:p>
            <w:pPr>
              <w:ind w:left="2880"/>
              <w:spacing w:after="0"/>
              <w:rPr>
                <w:sz w:val="20"/>
                <w:szCs w:val="20"/>
                <w:color w:val="auto"/>
              </w:rPr>
            </w:pPr>
            <w:r>
              <w:rPr>
                <w:rFonts w:ascii="Times New Roman" w:cs="Times New Roman" w:eastAsia="Times New Roman" w:hAnsi="Times New Roman"/>
                <w:sz w:val="13"/>
                <w:szCs w:val="13"/>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 Hunter Westbrook</w:t>
            </w:r>
          </w:p>
        </w:tc>
      </w:tr>
      <w:tr>
        <w:trPr>
          <w:trHeight w:val="158"/>
        </w:trPr>
        <w:tc>
          <w:tcPr>
            <w:tcW w:w="40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 Hunter Westbrook</w:t>
            </w:r>
          </w:p>
        </w:tc>
      </w:tr>
      <w:tr>
        <w:trPr>
          <w:trHeight w:val="170"/>
        </w:trPr>
        <w:tc>
          <w:tcPr>
            <w:tcW w:w="4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spacing w:after="0"/>
              <w:rPr>
                <w:sz w:val="14"/>
                <w:szCs w:val="14"/>
                <w:color w:val="auto"/>
              </w:rPr>
            </w:pPr>
          </w:p>
        </w:tc>
        <w:tc>
          <w:tcPr>
            <w:tcW w:w="706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8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r>
      <w:tr>
        <w:trPr>
          <w:trHeight w:val="328"/>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 Hunter Westbrook</w:t>
            </w:r>
          </w:p>
        </w:tc>
        <w:tc>
          <w:tcPr>
            <w:tcW w:w="8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60"/>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 Hunter Westbrook</w:t>
            </w:r>
          </w:p>
        </w:tc>
        <w:tc>
          <w:tcPr>
            <w:tcW w:w="80" w:type="dxa"/>
            <w:vAlign w:val="bottom"/>
          </w:tcPr>
          <w:p>
            <w:pPr>
              <w:spacing w:after="0"/>
              <w:rPr>
                <w:sz w:val="13"/>
                <w:szCs w:val="13"/>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c>
          <w:tcPr>
            <w:tcW w:w="1760" w:type="dxa"/>
            <w:vAlign w:val="bottom"/>
          </w:tcPr>
          <w:p>
            <w:pPr>
              <w:spacing w:after="0"/>
              <w:rPr>
                <w:sz w:val="13"/>
                <w:szCs w:val="13"/>
                <w:color w:val="auto"/>
              </w:rPr>
            </w:pPr>
          </w:p>
        </w:tc>
      </w:tr>
      <w:tr>
        <w:trPr>
          <w:trHeight w:val="244"/>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Tony J. VunCannon</w:t>
            </w:r>
          </w:p>
        </w:tc>
        <w:tc>
          <w:tcPr>
            <w:tcW w:w="8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Executive Vice President, Chief Financial Officer, Corporate Secretary and Treasurer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60"/>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Tony J. VunCannon</w:t>
            </w:r>
          </w:p>
        </w:tc>
        <w:tc>
          <w:tcPr>
            <w:tcW w:w="80" w:type="dxa"/>
            <w:vAlign w:val="bottom"/>
          </w:tcPr>
          <w:p>
            <w:pPr>
              <w:spacing w:after="0"/>
              <w:rPr>
                <w:sz w:val="13"/>
                <w:szCs w:val="13"/>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Richard T. Williams</w:t>
            </w:r>
          </w:p>
        </w:tc>
        <w:tc>
          <w:tcPr>
            <w:tcW w:w="8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Chairman of the Board</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Richard T. Williams</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Robert E. James, Jr.</w:t>
            </w:r>
          </w:p>
        </w:tc>
        <w:tc>
          <w:tcPr>
            <w:tcW w:w="8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Robert E. James, Jr.</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Laura C. Kendall</w:t>
            </w:r>
          </w:p>
        </w:tc>
        <w:tc>
          <w:tcPr>
            <w:tcW w:w="8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Laura C. Kendall</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Craig C. Koontz</w:t>
            </w:r>
          </w:p>
        </w:tc>
        <w:tc>
          <w:tcPr>
            <w:tcW w:w="8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Craig C. Koontz</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Rebekah M. Lowe</w:t>
            </w:r>
          </w:p>
        </w:tc>
        <w:tc>
          <w:tcPr>
            <w:tcW w:w="8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Rebekah M. Lowe</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42"/>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F.K. McFarland, III</w:t>
            </w:r>
          </w:p>
        </w:tc>
        <w:tc>
          <w:tcPr>
            <w:tcW w:w="80" w:type="dxa"/>
            <w:vAlign w:val="bottom"/>
          </w:tcPr>
          <w:p>
            <w:pPr>
              <w:spacing w:after="0"/>
              <w:rPr>
                <w:sz w:val="24"/>
                <w:szCs w:val="24"/>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F.K. McFarland, III</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4"/>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Narasimhulu Neelagaru</w:t>
            </w:r>
          </w:p>
        </w:tc>
        <w:tc>
          <w:tcPr>
            <w:tcW w:w="8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Narasimhulu Neelagaru</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46"/>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John A. Switzer</w:t>
            </w:r>
          </w:p>
        </w:tc>
        <w:tc>
          <w:tcPr>
            <w:tcW w:w="80" w:type="dxa"/>
            <w:vAlign w:val="bottom"/>
          </w:tcPr>
          <w:p>
            <w:pPr>
              <w:spacing w:after="0"/>
              <w:rPr>
                <w:sz w:val="21"/>
                <w:szCs w:val="21"/>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12, 2024</w:t>
            </w:r>
          </w:p>
        </w:tc>
      </w:tr>
      <w:tr>
        <w:trPr>
          <w:trHeight w:val="158"/>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John A. Switzer</w:t>
            </w:r>
          </w:p>
        </w:tc>
        <w:tc>
          <w:tcPr>
            <w:tcW w:w="8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280"/>
          </w:cols>
          <w:pgMar w:left="300" w:top="731"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3"/>
          <w:szCs w:val="13"/>
          <w:b w:val="1"/>
          <w:bCs w:val="1"/>
          <w:color w:val="auto"/>
        </w:rPr>
        <w:t>Exhibit 4.1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THE REGISTRANT’S SECURITIES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REGISTERED PURSUANT TO SECTION 12 OF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OF 1934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authorized capital stock currently consists of:</w:t>
      </w:r>
    </w:p>
    <w:p>
      <w:pPr>
        <w:spacing w:after="0" w:line="41" w:lineRule="exact"/>
        <w:rPr>
          <w:sz w:val="20"/>
          <w:szCs w:val="20"/>
          <w:color w:val="auto"/>
        </w:rPr>
      </w:pPr>
    </w:p>
    <w:p>
      <w:pPr>
        <w:ind w:left="200" w:hanging="131"/>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60,000,000 shares of common stock, $0.01 par value per share; and</w:t>
      </w:r>
    </w:p>
    <w:p>
      <w:pPr>
        <w:spacing w:after="0" w:line="8" w:lineRule="exact"/>
        <w:rPr>
          <w:rFonts w:ascii="Times New Roman" w:cs="Times New Roman" w:eastAsia="Times New Roman" w:hAnsi="Times New Roman"/>
          <w:sz w:val="14"/>
          <w:szCs w:val="14"/>
          <w:color w:val="auto"/>
        </w:rPr>
      </w:pPr>
    </w:p>
    <w:p>
      <w:pPr>
        <w:ind w:left="200" w:hanging="131"/>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10,000,000 shares of preferred stock, $0.01 value per share.</w:t>
      </w:r>
    </w:p>
    <w:p>
      <w:pPr>
        <w:spacing w:after="0" w:line="51" w:lineRule="exact"/>
        <w:rPr>
          <w:sz w:val="20"/>
          <w:szCs w:val="20"/>
          <w:color w:val="auto"/>
        </w:rPr>
      </w:pPr>
    </w:p>
    <w:p>
      <w:pPr>
        <w:ind w:right="4100"/>
        <w:spacing w:after="0" w:line="323" w:lineRule="auto"/>
        <w:rPr>
          <w:sz w:val="20"/>
          <w:szCs w:val="20"/>
          <w:color w:val="auto"/>
        </w:rPr>
      </w:pPr>
      <w:r>
        <w:rPr>
          <w:rFonts w:ascii="Times New Roman" w:cs="Times New Roman" w:eastAsia="Times New Roman" w:hAnsi="Times New Roman"/>
          <w:sz w:val="13"/>
          <w:szCs w:val="13"/>
          <w:color w:val="auto"/>
        </w:rPr>
        <w:t xml:space="preserve">No shares of our preferred stock are currently outstanding. The Company’s common stock is traded on NASDAQ under the symbol “HTBI.” </w:t>
      </w:r>
      <w:r>
        <w:rPr>
          <w:rFonts w:ascii="Times New Roman" w:cs="Times New Roman" w:eastAsia="Times New Roman" w:hAnsi="Times New Roman"/>
          <w:sz w:val="13"/>
          <w:szCs w:val="13"/>
          <w:b w:val="1"/>
          <w:bCs w:val="1"/>
          <w:color w:val="auto"/>
        </w:rPr>
        <w:t>Common Stock</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following description of our common stock is a summary and does not purport to be complete. It is subject to and qualified in its entirety by reference to our Charter (the “Charter”) and our Amended and Restated Bylaws (the “Bylaws”), each of which is incorporated by reference as an exhibit to the Annual Report on Form 10-K of which this Exhibit 4.1 is a part. We encourage you to read our Charter, our Bylaws and the applicable provisions of Maryland General Corporation Law, for additional information.</w:t>
      </w:r>
    </w:p>
    <w:p>
      <w:pPr>
        <w:spacing w:after="0" w:line="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Each share of our common stock has the same relative rights and is identical in all respects with each other share of our common stock. The Company’s common stock represents non-withdrawable capital, is not of an insurable type and is not insured by the FDIC or any other government agency.</w:t>
      </w:r>
    </w:p>
    <w:p>
      <w:pPr>
        <w:spacing w:after="0" w:line="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Subject to any prior rights of the holders of any preferred or other stock of the Company then outstanding, holders of our common stock are entitled to receive such dividends as are declared by the board of directors of the Company out of funds legally available for dividends.</w:t>
      </w:r>
    </w:p>
    <w:p>
      <w:pPr>
        <w:spacing w:after="0" w:line="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Except with respect to greater than 10% stockholders, full voting rights are vested in the holders of our common stock and each share is entitled to one vote. Subject to any prior rights of the holders of any of our preferred stock then outstanding, in the event of a liquidation, dissolution or winding up of the Company, holders of shares of our common stock will be entitled to receive, pro rata, any assets distributable to stockholders in respect of shares held by them. Holders of shares of Company common stock do not have any preemptive rights to subscribe for any additional securities which may be issued by the Company, nor do they have cumulative voting rights.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to the foregoing, provisions in our Charter and Bylaws may discourage attempts to acquire HomeTrust Bancshares, pursue a proxy contest for control of HomeTrust Bancshares, assume control of HomeTrust Bancshares by a holder of a larger block of common stock, and remove HomeTrust Bancshares’ management, all of which stockholders might think are in their best interests.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provisions include:</w:t>
      </w:r>
    </w:p>
    <w:p>
      <w:pPr>
        <w:spacing w:after="0" w:line="41" w:lineRule="exact"/>
        <w:rPr>
          <w:sz w:val="20"/>
          <w:szCs w:val="20"/>
          <w:color w:val="auto"/>
        </w:rPr>
      </w:pPr>
    </w:p>
    <w:p>
      <w:pPr>
        <w:ind w:left="200" w:hanging="131"/>
        <w:spacing w:after="0" w:line="259" w:lineRule="auto"/>
        <w:tabs>
          <w:tab w:leader="none" w:pos="19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an 80% stockholder vote requirement for certain business combinations not approved by disinterested directors, for amendments to some provisions of the Charter and for any amendment of the Bylaws by stockholders;</w:t>
      </w:r>
    </w:p>
    <w:p>
      <w:pPr>
        <w:spacing w:after="0" w:line="15" w:lineRule="exact"/>
        <w:rPr>
          <w:rFonts w:ascii="Times New Roman" w:cs="Times New Roman" w:eastAsia="Times New Roman" w:hAnsi="Times New Roman"/>
          <w:sz w:val="14"/>
          <w:szCs w:val="14"/>
          <w:color w:val="auto"/>
        </w:rPr>
      </w:pPr>
    </w:p>
    <w:p>
      <w:pPr>
        <w:ind w:left="200" w:hanging="131"/>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election of directors to staggered terms of generally three years;</w:t>
      </w:r>
    </w:p>
    <w:p>
      <w:pPr>
        <w:spacing w:after="0" w:line="40" w:lineRule="exact"/>
        <w:rPr>
          <w:rFonts w:ascii="Times New Roman" w:cs="Times New Roman" w:eastAsia="Times New Roman" w:hAnsi="Times New Roman"/>
          <w:sz w:val="14"/>
          <w:szCs w:val="14"/>
          <w:color w:val="auto"/>
        </w:rPr>
      </w:pPr>
    </w:p>
    <w:p>
      <w:pPr>
        <w:ind w:left="200" w:hanging="131"/>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provisions requiring advance notice of stockholder proposals and director nominations;</w:t>
      </w:r>
    </w:p>
    <w:p>
      <w:pPr>
        <w:spacing w:after="0" w:line="40" w:lineRule="exact"/>
        <w:rPr>
          <w:rFonts w:ascii="Times New Roman" w:cs="Times New Roman" w:eastAsia="Times New Roman" w:hAnsi="Times New Roman"/>
          <w:sz w:val="14"/>
          <w:szCs w:val="14"/>
          <w:color w:val="auto"/>
        </w:rPr>
      </w:pPr>
    </w:p>
    <w:p>
      <w:pPr>
        <w:ind w:left="200" w:hanging="131"/>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 requirement that the calling of a special meeting by stockholders requires the written request of stockholders entitled to vote at least a majority of all votes entitled to vote at the meeting; and</w:t>
      </w:r>
    </w:p>
    <w:p>
      <w:pPr>
        <w:spacing w:after="0" w:line="29" w:lineRule="exact"/>
        <w:rPr>
          <w:rFonts w:ascii="Times New Roman" w:cs="Times New Roman" w:eastAsia="Times New Roman" w:hAnsi="Times New Roman"/>
          <w:sz w:val="14"/>
          <w:szCs w:val="14"/>
          <w:color w:val="auto"/>
        </w:rPr>
      </w:pPr>
    </w:p>
    <w:p>
      <w:pPr>
        <w:ind w:left="200" w:hanging="131"/>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removal of directors only for cause and by a vote of a majority of the outstanding shares of common stock.</w:t>
      </w:r>
    </w:p>
    <w:p>
      <w:pPr>
        <w:spacing w:after="0" w:line="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Federal banking law also restricts acquisitions of control of bank holding companies such as HomeTrust Bancshares. In addition, the business corporation law of Maryland, the state where HomeTrust Bancshares is incorporated, provides for certain restrictions on acquisition of HomeTrust Bancshares.</w:t>
      </w:r>
    </w:p>
    <w:p>
      <w:pPr>
        <w:sectPr>
          <w:pgSz w:w="11900" w:h="16838" w:orient="portrait"/>
          <w:cols w:equalWidth="0" w:num="1">
            <w:col w:w="11280"/>
          </w:cols>
          <w:pgMar w:left="300" w:top="731" w:right="319" w:bottom="1440" w:gutter="0" w:footer="0" w:header="0"/>
        </w:sectPr>
      </w:pPr>
    </w:p>
    <w:bookmarkStart w:id="98" w:name="page99"/>
    <w:bookmarkEnd w:id="9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6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64" w:lineRule="auto"/>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7"/>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ind w:left="1520"/>
              <w:spacing w:after="0"/>
              <w:rPr>
                <w:sz w:val="20"/>
                <w:szCs w:val="20"/>
                <w:color w:val="auto"/>
              </w:rPr>
            </w:pPr>
            <w:r>
              <w:rPr>
                <w:rFonts w:ascii="Times New Roman" w:cs="Times New Roman" w:eastAsia="Times New Roman" w:hAnsi="Times New Roman"/>
                <w:sz w:val="13"/>
                <w:szCs w:val="13"/>
                <w:b w:val="1"/>
                <w:bCs w:val="1"/>
                <w:color w:val="auto"/>
                <w:w w:val="93"/>
              </w:rPr>
              <w:t>Exhibit 21</w:t>
            </w:r>
          </w:p>
        </w:tc>
        <w:tc>
          <w:tcPr>
            <w:tcW w:w="0" w:type="dxa"/>
            <w:vAlign w:val="bottom"/>
          </w:tcPr>
          <w:p>
            <w:pPr>
              <w:spacing w:after="0"/>
              <w:rPr>
                <w:sz w:val="1"/>
                <w:szCs w:val="1"/>
                <w:color w:val="auto"/>
              </w:rPr>
            </w:pPr>
          </w:p>
        </w:tc>
      </w:tr>
      <w:tr>
        <w:trPr>
          <w:trHeight w:val="265"/>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4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SUBSIDIARIES OF THE REGISTRANT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Percentage of Ownership</w:t>
            </w:r>
          </w:p>
        </w:tc>
        <w:tc>
          <w:tcPr>
            <w:tcW w:w="20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State of Incorporation or</w:t>
            </w:r>
          </w:p>
        </w:tc>
        <w:tc>
          <w:tcPr>
            <w:tcW w:w="0" w:type="dxa"/>
            <w:vAlign w:val="bottom"/>
          </w:tcPr>
          <w:p>
            <w:pPr>
              <w:spacing w:after="0"/>
              <w:rPr>
                <w:sz w:val="1"/>
                <w:szCs w:val="1"/>
                <w:color w:val="auto"/>
              </w:rPr>
            </w:pPr>
          </w:p>
        </w:tc>
      </w:tr>
      <w:tr>
        <w:trPr>
          <w:trHeight w:val="102"/>
        </w:trPr>
        <w:tc>
          <w:tcPr>
            <w:tcW w:w="3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Parent</w:t>
            </w:r>
          </w:p>
        </w:tc>
        <w:tc>
          <w:tcPr>
            <w:tcW w:w="3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Subsidiary</w:t>
            </w:r>
          </w:p>
        </w:tc>
        <w:tc>
          <w:tcPr>
            <w:tcW w:w="1500" w:type="dxa"/>
            <w:vAlign w:val="bottom"/>
            <w:gridSpan w:val="2"/>
            <w:vMerge w:val="continue"/>
          </w:tcPr>
          <w:p>
            <w:pPr>
              <w:spacing w:after="0"/>
              <w:rPr>
                <w:sz w:val="8"/>
                <w:szCs w:val="8"/>
                <w:color w:val="auto"/>
              </w:rPr>
            </w:pPr>
          </w:p>
        </w:tc>
        <w:tc>
          <w:tcPr>
            <w:tcW w:w="20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Organization</w:t>
            </w:r>
          </w:p>
        </w:tc>
        <w:tc>
          <w:tcPr>
            <w:tcW w:w="0" w:type="dxa"/>
            <w:vAlign w:val="bottom"/>
          </w:tcPr>
          <w:p>
            <w:pPr>
              <w:spacing w:after="0"/>
              <w:rPr>
                <w:sz w:val="1"/>
                <w:szCs w:val="1"/>
                <w:color w:val="auto"/>
              </w:rPr>
            </w:pPr>
          </w:p>
        </w:tc>
      </w:tr>
      <w:tr>
        <w:trPr>
          <w:trHeight w:val="67"/>
        </w:trPr>
        <w:tc>
          <w:tcPr>
            <w:tcW w:w="3820" w:type="dxa"/>
            <w:vAlign w:val="bottom"/>
            <w:gridSpan w:val="2"/>
            <w:vMerge w:val="continue"/>
          </w:tcPr>
          <w:p>
            <w:pPr>
              <w:spacing w:after="0"/>
              <w:rPr>
                <w:sz w:val="5"/>
                <w:szCs w:val="5"/>
                <w:color w:val="auto"/>
              </w:rPr>
            </w:pPr>
          </w:p>
        </w:tc>
        <w:tc>
          <w:tcPr>
            <w:tcW w:w="3840" w:type="dxa"/>
            <w:vAlign w:val="bottom"/>
            <w:gridSpan w:val="2"/>
            <w:vMerge w:val="continue"/>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HomeTrust Bancshares, Inc.</w:t>
            </w:r>
          </w:p>
        </w:tc>
        <w:tc>
          <w:tcPr>
            <w:tcW w:w="80" w:type="dxa"/>
            <w:vAlign w:val="bottom"/>
          </w:tcPr>
          <w:p>
            <w:pPr>
              <w:spacing w:after="0"/>
              <w:rPr>
                <w:sz w:val="13"/>
                <w:szCs w:val="13"/>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HomeTrust Bank</w:t>
            </w:r>
          </w:p>
        </w:tc>
        <w:tc>
          <w:tcPr>
            <w:tcW w:w="80" w:type="dxa"/>
            <w:vAlign w:val="bottom"/>
          </w:tcPr>
          <w:p>
            <w:pPr>
              <w:spacing w:after="0"/>
              <w:rPr>
                <w:sz w:val="13"/>
                <w:szCs w:val="13"/>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13"/>
                <w:szCs w:val="13"/>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North Carolina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HomeTrust Bank</w:t>
            </w:r>
          </w:p>
        </w:tc>
        <w:tc>
          <w:tcPr>
            <w:tcW w:w="3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Western North Carolina Service Corporation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100" w:type="dxa"/>
            <w:vAlign w:val="bottom"/>
          </w:tcPr>
          <w:p>
            <w:pPr>
              <w:spacing w:after="0"/>
              <w:rPr>
                <w:sz w:val="22"/>
                <w:szCs w:val="22"/>
                <w:color w:val="auto"/>
              </w:rPr>
            </w:pPr>
          </w:p>
        </w:tc>
        <w:tc>
          <w:tcPr>
            <w:tcW w:w="2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color w:val="auto"/>
                <w:w w:val="99"/>
              </w:rPr>
              <w:t>North Carolina</w:t>
            </w:r>
          </w:p>
        </w:tc>
        <w:tc>
          <w:tcPr>
            <w:tcW w:w="0" w:type="dxa"/>
            <w:vAlign w:val="bottom"/>
          </w:tcPr>
          <w:p>
            <w:pPr>
              <w:spacing w:after="0"/>
              <w:rPr>
                <w:sz w:val="1"/>
                <w:szCs w:val="1"/>
                <w:color w:val="auto"/>
              </w:rPr>
            </w:pPr>
          </w:p>
        </w:tc>
      </w:tr>
      <w:tr>
        <w:trPr>
          <w:trHeight w:val="85"/>
        </w:trPr>
        <w:tc>
          <w:tcPr>
            <w:tcW w:w="3820" w:type="dxa"/>
            <w:vAlign w:val="bottom"/>
            <w:gridSpan w:val="2"/>
            <w:vMerge w:val="continue"/>
          </w:tcPr>
          <w:p>
            <w:pPr>
              <w:spacing w:after="0"/>
              <w:rPr>
                <w:sz w:val="7"/>
                <w:szCs w:val="7"/>
                <w:color w:val="auto"/>
              </w:rPr>
            </w:pPr>
          </w:p>
        </w:tc>
        <w:tc>
          <w:tcPr>
            <w:tcW w:w="3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40" w:top="731"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3"/>
          <w:szCs w:val="13"/>
          <w:b w:val="1"/>
          <w:bCs w:val="1"/>
          <w:color w:val="auto"/>
        </w:rPr>
        <w:t>Exhibit 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8" w:lineRule="exact"/>
        <w:rPr>
          <w:sz w:val="20"/>
          <w:szCs w:val="20"/>
          <w:color w:val="auto"/>
        </w:rPr>
      </w:pPr>
    </w:p>
    <w:p>
      <w:pPr>
        <w:jc w:val="both"/>
        <w:spacing w:after="0" w:line="169" w:lineRule="exact"/>
        <w:rPr>
          <w:sz w:val="20"/>
          <w:szCs w:val="20"/>
          <w:color w:val="auto"/>
        </w:rPr>
      </w:pPr>
      <w:r>
        <w:rPr>
          <w:rFonts w:ascii="Times New Roman" w:cs="Times New Roman" w:eastAsia="Times New Roman" w:hAnsi="Times New Roman"/>
          <w:sz w:val="13"/>
          <w:szCs w:val="13"/>
          <w:color w:val="auto"/>
        </w:rPr>
        <w:t>We consent to the incorporation by reference in the Registration Statements on Forms 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8 (Nos. 333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182635, 333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186666, 333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210167 and 333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269590) and Form S</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3 (No. 333</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270288) of HomeTrust Bancshares, Inc. and Subsidiary of our reports dated March 12, 2024, with respect to the consolidated financial statements of HomeTrust Bancshares, Inc. and Subsidiary and the effectiveness of internal control over financial reporting, included in this Annual Report on Form 10</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KT for the transition period from July 1, 2023 to December 31,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FORVIS, LLP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Atlanta, Georgia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March 12, 2024</w:t>
      </w:r>
    </w:p>
    <w:p>
      <w:pPr>
        <w:sectPr>
          <w:pgSz w:w="11900" w:h="16838" w:orient="portrait"/>
          <w:cols w:equalWidth="0" w:num="1">
            <w:col w:w="11280"/>
          </w:cols>
          <w:pgMar w:left="300" w:top="731"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C. Hunter Westbrook, certify that:</w:t>
      </w:r>
    </w:p>
    <w:p>
      <w:pPr>
        <w:spacing w:after="0" w:line="73" w:lineRule="exact"/>
        <w:rPr>
          <w:sz w:val="20"/>
          <w:szCs w:val="20"/>
          <w:color w:val="auto"/>
        </w:rPr>
      </w:pPr>
    </w:p>
    <w:p>
      <w:pPr>
        <w:ind w:left="360" w:hanging="228"/>
        <w:spacing w:after="0"/>
        <w:tabs>
          <w:tab w:leader="none" w:pos="3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transition report on Form 10-KT of HomeTrust Bancshares, Inc.;</w:t>
      </w:r>
    </w:p>
    <w:p>
      <w:pPr>
        <w:spacing w:after="0" w:line="73" w:lineRule="exact"/>
        <w:rPr>
          <w:rFonts w:ascii="Times New Roman" w:cs="Times New Roman" w:eastAsia="Times New Roman" w:hAnsi="Times New Roman"/>
          <w:sz w:val="13"/>
          <w:szCs w:val="13"/>
          <w:color w:val="auto"/>
        </w:rPr>
      </w:pPr>
    </w:p>
    <w:p>
      <w:pPr>
        <w:ind w:left="320" w:hanging="188"/>
        <w:spacing w:after="0" w:line="281" w:lineRule="auto"/>
        <w:tabs>
          <w:tab w:leader="none" w:pos="372"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3"/>
          <w:szCs w:val="13"/>
          <w:color w:val="auto"/>
        </w:rPr>
      </w:pPr>
    </w:p>
    <w:p>
      <w:pPr>
        <w:ind w:left="320" w:hanging="188"/>
        <w:spacing w:after="0" w:line="264" w:lineRule="auto"/>
        <w:tabs>
          <w:tab w:leader="none" w:pos="38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hanging="188"/>
        <w:spacing w:after="0" w:line="264" w:lineRule="auto"/>
        <w:tabs>
          <w:tab w:leader="none" w:pos="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Times New Roman" w:cs="Times New Roman" w:eastAsia="Times New Roman" w:hAnsi="Times New Roman"/>
          <w:sz w:val="13"/>
          <w:szCs w:val="13"/>
          <w:color w:val="auto"/>
        </w:rPr>
      </w:pPr>
    </w:p>
    <w:p>
      <w:pPr>
        <w:ind w:left="580" w:hanging="193"/>
        <w:spacing w:after="0" w:line="264" w:lineRule="auto"/>
        <w:tabs>
          <w:tab w:leader="none" w:pos="615"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80" w:hanging="193"/>
        <w:spacing w:after="0" w:line="264" w:lineRule="auto"/>
        <w:tabs>
          <w:tab w:leader="none" w:pos="63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80" w:hanging="193"/>
        <w:spacing w:after="0" w:line="272" w:lineRule="auto"/>
        <w:tabs>
          <w:tab w:leader="none" w:pos="635"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hanging="193"/>
        <w:spacing w:after="0" w:line="264" w:lineRule="auto"/>
        <w:tabs>
          <w:tab w:leader="none" w:pos="62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3"/>
          <w:szCs w:val="13"/>
          <w:color w:val="auto"/>
        </w:rPr>
      </w:pPr>
    </w:p>
    <w:p>
      <w:pPr>
        <w:ind w:left="320" w:hanging="188"/>
        <w:spacing w:after="0" w:line="272" w:lineRule="auto"/>
        <w:tabs>
          <w:tab w:leader="none" w:pos="379"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0" w:hanging="193"/>
        <w:spacing w:after="0" w:line="264" w:lineRule="auto"/>
        <w:tabs>
          <w:tab w:leader="none" w:pos="618"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3"/>
        <w:spacing w:after="0"/>
        <w:tabs>
          <w:tab w:leader="none" w:pos="620"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12,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9048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904875"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11280"/>
          </w:cols>
          <w:pgMar w:left="300" w:top="731"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Tony J. VunCannon, certify that:</w:t>
      </w:r>
    </w:p>
    <w:p>
      <w:pPr>
        <w:spacing w:after="0" w:line="73" w:lineRule="exact"/>
        <w:rPr>
          <w:sz w:val="20"/>
          <w:szCs w:val="20"/>
          <w:color w:val="auto"/>
        </w:rPr>
      </w:pPr>
    </w:p>
    <w:p>
      <w:pPr>
        <w:ind w:left="360" w:hanging="228"/>
        <w:spacing w:after="0"/>
        <w:tabs>
          <w:tab w:leader="none" w:pos="3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transition report on Form 10-KT of HomeTrust Bancshares, Inc.;</w:t>
      </w:r>
    </w:p>
    <w:p>
      <w:pPr>
        <w:spacing w:after="0" w:line="73" w:lineRule="exact"/>
        <w:rPr>
          <w:rFonts w:ascii="Times New Roman" w:cs="Times New Roman" w:eastAsia="Times New Roman" w:hAnsi="Times New Roman"/>
          <w:sz w:val="13"/>
          <w:szCs w:val="13"/>
          <w:color w:val="auto"/>
        </w:rPr>
      </w:pPr>
    </w:p>
    <w:p>
      <w:pPr>
        <w:ind w:left="320" w:hanging="188"/>
        <w:spacing w:after="0" w:line="281" w:lineRule="auto"/>
        <w:tabs>
          <w:tab w:leader="none" w:pos="372"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3"/>
          <w:szCs w:val="13"/>
          <w:color w:val="auto"/>
        </w:rPr>
      </w:pPr>
    </w:p>
    <w:p>
      <w:pPr>
        <w:ind w:left="320" w:hanging="188"/>
        <w:spacing w:after="0" w:line="264" w:lineRule="auto"/>
        <w:tabs>
          <w:tab w:leader="none" w:pos="38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320" w:hanging="188"/>
        <w:spacing w:after="0" w:line="264" w:lineRule="auto"/>
        <w:tabs>
          <w:tab w:leader="none" w:pos="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 w:lineRule="exact"/>
        <w:rPr>
          <w:rFonts w:ascii="Times New Roman" w:cs="Times New Roman" w:eastAsia="Times New Roman" w:hAnsi="Times New Roman"/>
          <w:sz w:val="13"/>
          <w:szCs w:val="13"/>
          <w:color w:val="auto"/>
        </w:rPr>
      </w:pPr>
    </w:p>
    <w:p>
      <w:pPr>
        <w:ind w:left="580" w:hanging="193"/>
        <w:spacing w:after="0" w:line="264" w:lineRule="auto"/>
        <w:tabs>
          <w:tab w:leader="none" w:pos="615"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80" w:hanging="193"/>
        <w:spacing w:after="0" w:line="264" w:lineRule="auto"/>
        <w:tabs>
          <w:tab w:leader="none" w:pos="63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80" w:hanging="193"/>
        <w:spacing w:after="0" w:line="272" w:lineRule="auto"/>
        <w:tabs>
          <w:tab w:leader="none" w:pos="635"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80" w:hanging="193"/>
        <w:spacing w:after="0" w:line="264" w:lineRule="auto"/>
        <w:tabs>
          <w:tab w:leader="none" w:pos="626"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Times New Roman" w:cs="Times New Roman" w:eastAsia="Times New Roman" w:hAnsi="Times New Roman"/>
          <w:sz w:val="13"/>
          <w:szCs w:val="13"/>
          <w:color w:val="auto"/>
        </w:rPr>
      </w:pPr>
    </w:p>
    <w:p>
      <w:pPr>
        <w:ind w:left="320" w:hanging="188"/>
        <w:spacing w:after="0" w:line="272" w:lineRule="auto"/>
        <w:tabs>
          <w:tab w:leader="none" w:pos="37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80" w:hanging="193"/>
        <w:spacing w:after="0" w:line="264" w:lineRule="auto"/>
        <w:tabs>
          <w:tab w:leader="none" w:pos="618"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3"/>
        <w:spacing w:after="0"/>
        <w:tabs>
          <w:tab w:leader="none" w:pos="620" w:val="left"/>
        </w:tabs>
        <w:numPr>
          <w:ilvl w:val="1"/>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12, 2024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/s/ Tony J. VunCannon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Tony J. VunCannon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Executive Vice President, Chief Financial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Corporate Secretary and Treasurer</w:t>
      </w:r>
    </w:p>
    <w:p>
      <w:pPr>
        <w:sectPr>
          <w:pgSz w:w="11900" w:h="16838" w:orient="portrait"/>
          <w:cols w:equalWidth="0" w:num="1">
            <w:col w:w="11280"/>
          </w:cols>
          <w:pgMar w:left="300" w:top="731" w:right="3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3"/>
          <w:szCs w:val="13"/>
          <w:b w:val="1"/>
          <w:bCs w:val="1"/>
          <w:color w:val="auto"/>
        </w:rPr>
        <w:t>Exhibit 32</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UNDER SECTION 906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SARBANES-OXLEY ACT OF 2002</w:t>
      </w:r>
    </w:p>
    <w:p>
      <w:pPr>
        <w:spacing w:after="0" w:line="1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Pursuant to Section 906 of the Sarbanes-Oxley Act of 2002, each of the undersigned certifies in the capacity indicated below that this Transition Report on Form 10-KT of HomeTrust Bancshares, Inc. (the “Company”) for the six-month transition period ended December 31, 2023, fully complies with the requirements of Section 13(a) of the Securities Exchange Act of 1934, as amended, and that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227"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3"/>
          <w:szCs w:val="13"/>
          <w:color w:val="auto"/>
        </w:rPr>
        <w:t>Date: March 12, 2024</w:t>
      </w:r>
      <w:r>
        <w:rPr>
          <w:sz w:val="20"/>
          <w:szCs w:val="20"/>
          <w:color w:val="auto"/>
        </w:rPr>
        <w:tab/>
      </w:r>
      <w:r>
        <w:rPr>
          <w:rFonts w:ascii="Times New Roman" w:cs="Times New Roman" w:eastAsia="Times New Roman" w:hAnsi="Times New Roman"/>
          <w:sz w:val="12"/>
          <w:szCs w:val="12"/>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12700</wp:posOffset>
            </wp:positionV>
            <wp:extent cx="290385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C. Hunter Westbrook</w:t>
      </w:r>
    </w:p>
    <w:p>
      <w:pPr>
        <w:spacing w:after="0" w:line="2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360" w:lineRule="exact"/>
        <w:rPr>
          <w:sz w:val="20"/>
          <w:szCs w:val="20"/>
          <w:color w:val="auto"/>
        </w:rPr>
      </w:pPr>
    </w:p>
    <w:p>
      <w:pPr>
        <w:ind w:left="20"/>
        <w:spacing w:after="0"/>
        <w:tabs>
          <w:tab w:leader="none" w:pos="6660" w:val="left"/>
        </w:tabs>
        <w:rPr>
          <w:sz w:val="20"/>
          <w:szCs w:val="20"/>
          <w:color w:val="auto"/>
        </w:rPr>
      </w:pPr>
      <w:r>
        <w:rPr>
          <w:rFonts w:ascii="Times New Roman" w:cs="Times New Roman" w:eastAsia="Times New Roman" w:hAnsi="Times New Roman"/>
          <w:sz w:val="13"/>
          <w:szCs w:val="13"/>
          <w:color w:val="auto"/>
        </w:rPr>
        <w:t>Date: March 12, 2024</w:t>
      </w:r>
      <w:r>
        <w:rPr>
          <w:sz w:val="20"/>
          <w:szCs w:val="20"/>
          <w:color w:val="auto"/>
        </w:rPr>
        <w:tab/>
      </w:r>
      <w:r>
        <w:rPr>
          <w:rFonts w:ascii="Times New Roman" w:cs="Times New Roman" w:eastAsia="Times New Roman" w:hAnsi="Times New Roman"/>
          <w:sz w:val="12"/>
          <w:szCs w:val="12"/>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4234180</wp:posOffset>
            </wp:positionH>
            <wp:positionV relativeFrom="paragraph">
              <wp:posOffset>12700</wp:posOffset>
            </wp:positionV>
            <wp:extent cx="290385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1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Tony J. VunCannon</w:t>
      </w:r>
    </w:p>
    <w:p>
      <w:pPr>
        <w:spacing w:after="0" w:line="2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3"/>
          <w:szCs w:val="13"/>
          <w:color w:val="auto"/>
        </w:rPr>
        <w:t>Executive Vice President, Chief Financial Officer, Corporate Secretary and Treasurer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certification accompanies this periodic report pursuant to Section 906 of the Sarbanes-Oxley Act of 2002 and shall not be deemed filed for purposes of Section 18 of the Securities Exchange Act of 1934, as amended.</w:t>
      </w:r>
    </w:p>
    <w:p>
      <w:pPr>
        <w:sectPr>
          <w:pgSz w:w="11900" w:h="16838" w:orient="portrait"/>
          <w:cols w:equalWidth="0" w:num="1">
            <w:col w:w="11280"/>
          </w:cols>
          <w:pgMar w:left="300" w:top="731" w:right="319" w:bottom="144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lvl w:ilvl="1">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1."/>
      <w:numFmt w:val="decimal"/>
      <w:start w:val="3"/>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4"/>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8"/>
    </w:lvl>
  </w:abstractNum>
  <w:abstractNum w:abstractNumId="31">
    <w:nsid w:val="51EAD36B"/>
    <w:multiLevelType w:val="hybridMultilevel"/>
    <w:lvl w:ilvl="0">
      <w:lvlJc w:val="left"/>
      <w:lvlText w:val="%1."/>
      <w:numFmt w:val="decimal"/>
      <w:start w:val="10"/>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3"/>
    </w:lvl>
  </w:abstractNum>
  <w:abstractNum w:abstractNumId="34">
    <w:nsid w:val="153EA438"/>
    <w:multiLevelType w:val="hybridMultilevel"/>
    <w:lvl w:ilvl="0">
      <w:lvlJc w:val="left"/>
      <w:lvlText w:val="%1."/>
      <w:numFmt w:val="decimal"/>
      <w:start w:val="14"/>
    </w:lvl>
  </w:abstractNum>
  <w:abstractNum w:abstractNumId="35">
    <w:nsid w:val="3855585C"/>
    <w:multiLevelType w:val="hybridMultilevel"/>
    <w:lvl w:ilvl="0">
      <w:lvlJc w:val="left"/>
      <w:lvlText w:val="%1."/>
      <w:numFmt w:val="decimal"/>
      <w:start w:val="15"/>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6"/>
    </w:lvl>
  </w:abstractNum>
  <w:abstractNum w:abstractNumId="38">
    <w:nsid w:val="2A487CB0"/>
    <w:multiLevelType w:val="hybridMultilevel"/>
    <w:lvl w:ilvl="0">
      <w:lvlJc w:val="left"/>
      <w:lvlText w:val="%1."/>
      <w:numFmt w:val="decimal"/>
      <w:start w:val="17"/>
    </w:lvl>
  </w:abstractNum>
  <w:abstractNum w:abstractNumId="39">
    <w:nsid w:val="1D4ED43B"/>
    <w:multiLevelType w:val="hybridMultilevel"/>
    <w:lvl w:ilvl="0">
      <w:lvlJc w:val="left"/>
      <w:lvlText w:val="%1."/>
      <w:numFmt w:val="decimal"/>
      <w:start w:val="18"/>
    </w:lvl>
  </w:abstractNum>
  <w:abstractNum w:abstractNumId="40">
    <w:nsid w:val="725A06FB"/>
    <w:multiLevelType w:val="hybridMultilevel"/>
    <w:lvl w:ilvl="0">
      <w:lvlJc w:val="left"/>
      <w:lvlText w:val="%1."/>
      <w:numFmt w:val="decimal"/>
      <w:start w:val="19"/>
    </w:lvl>
  </w:abstractNum>
  <w:abstractNum w:abstractNumId="41">
    <w:nsid w:val="2CD89A32"/>
    <w:multiLevelType w:val="hybridMultilevel"/>
    <w:lvl w:ilvl="0">
      <w:lvlJc w:val="left"/>
      <w:lvlText w:val="%1."/>
      <w:numFmt w:val="decimal"/>
      <w:start w:val="20"/>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8"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03" Type="http://schemas.openxmlformats.org/officeDocument/2006/relationships/hyperlink" Target="http://www.sec.gov/Archives/edgar/data/1538263/000157104916019333/t1602530_s4a.htm" TargetMode="External"/><Relationship Id="rId104" Type="http://schemas.openxmlformats.org/officeDocument/2006/relationships/hyperlink" Target="http://www.sec.gov/Archives/edgar/data/1538263/000092708914000214/ex2-1.htm" TargetMode="External"/><Relationship Id="rId105" Type="http://schemas.openxmlformats.org/officeDocument/2006/relationships/hyperlink" Target="http://www.sec.gov/Archives/edgar/data/1538263/000119312514163448/d697123d424b3.htm" TargetMode="External"/><Relationship Id="rId106" Type="http://schemas.openxmlformats.org/officeDocument/2006/relationships/hyperlink" Target="http://www.sec.gov/ix?doc=/Archives/edgar/data/0001538263/000153826322000033/htbi-20220724.htm" TargetMode="External"/><Relationship Id="rId107" Type="http://schemas.openxmlformats.org/officeDocument/2006/relationships/hyperlink" Target="http://www.sec.gov/Archives/edgar/data/1538263/000119312511355607/0001193125-11-355607-index.htm" TargetMode="External"/><Relationship Id="rId108" Type="http://schemas.openxmlformats.org/officeDocument/2006/relationships/hyperlink" Target="http://www.sec.gov/Archives/edgar/data/1538263/000153826323000047/bylaws-hometrustbankamen.htm" TargetMode="External"/><Relationship Id="rId109" Type="http://schemas.openxmlformats.org/officeDocument/2006/relationships/hyperlink" Target="http://www.sec.gov/Archives/edgar/data/1538263/000153826322000047/htbi-2022x06x30xxex102st.htm" TargetMode="External"/><Relationship Id="rId110" Type="http://schemas.openxmlformats.org/officeDocument/2006/relationships/hyperlink" Target="http://www.sec.gov/Archives/edgar/data/1538263/000153826318000044/htbi-20180911x8k.htm" TargetMode="External"/><Relationship Id="rId111" Type="http://schemas.openxmlformats.org/officeDocument/2006/relationships/hyperlink" Target="http://www.sec.gov/Archives/edgar/data/1538263/000153826318000049/htbi-20180925x8k.htm" TargetMode="External"/><Relationship Id="rId112" Type="http://schemas.openxmlformats.org/officeDocument/2006/relationships/hyperlink" Target="http://www.sec.gov/ix?doc=/Archives/edgar/data/0001538263/000153826320000039/htbi-20201027.htm" TargetMode="External"/><Relationship Id="rId113" Type="http://schemas.openxmlformats.org/officeDocument/2006/relationships/hyperlink" Target="http://www.sec.gov/ix?doc=/Archives/edgar/data/0001538263/000153826321000053/htbi-20210726.htm" TargetMode="External"/><Relationship Id="rId114" Type="http://schemas.openxmlformats.org/officeDocument/2006/relationships/hyperlink" Target="http://www.sec.gov/ix?doc=/Archives/edgar/data/0001538263/000153826322000024/htbi-20220523.htm" TargetMode="External"/><Relationship Id="rId115" Type="http://schemas.openxmlformats.org/officeDocument/2006/relationships/hyperlink" Target="http://www.sec.gov/Archives/edgar/data/1538263/000153826322000047/htbi-2022x06x30xxex104av.htm" TargetMode="External"/><Relationship Id="rId116" Type="http://schemas.openxmlformats.org/officeDocument/2006/relationships/hyperlink" Target="http://www.sec.gov/ix?doc=/Archives/edgar/data/0001538263/000153826322000021/htbi-20220331.htm" TargetMode="External"/><Relationship Id="rId117" Type="http://schemas.openxmlformats.org/officeDocument/2006/relationships/hyperlink" Target="http://www.sec.gov/ix?doc=/Archives/edgar/data/0001538263/000153826322000009/htbi-20220211.htm" TargetMode="External"/><Relationship Id="rId119" Type="http://schemas.openxmlformats.org/officeDocument/2006/relationships/hyperlink" Target="http://www.sec.gov/Archives/edgar/data/1538263/000119312512107294/0001193125-12-107294-index.htm" TargetMode="External"/><Relationship Id="rId120" Type="http://schemas.openxmlformats.org/officeDocument/2006/relationships/hyperlink" Target="http://www.sec.gov/ix?doc=/Archives/edgar/data/0001538263/000153826322000058/htbi-20220930.htm" TargetMode="External"/><Relationship Id="rId121" Type="http://schemas.openxmlformats.org/officeDocument/2006/relationships/hyperlink" Target="http://www.sec.gov/ix?doc=/Archives/edgar/data/0001538263/000153826323000038/htbi-20230828.htm" TargetMode="External"/><Relationship Id="rId122" Type="http://schemas.openxmlformats.org/officeDocument/2006/relationships/hyperlink" Target="http://www.sec.gov/Archives/edgar/data/1538263/000092708912000332/htbi-def14a2012.htm" TargetMode="External"/><Relationship Id="rId123" Type="http://schemas.openxmlformats.org/officeDocument/2006/relationships/hyperlink" Target="http://www.sec.gov/Archives/edgar/data/1538263/000092708913000038/0000927089-13-000038-index.htm" TargetMode="External"/><Relationship Id="rId124" Type="http://schemas.openxmlformats.org/officeDocument/2006/relationships/hyperlink" Target="http://www.sec.gov/Archives/edgar/data/1538263/000110465922104918/tm2226697d1_def14a.htm" TargetMode="External"/><Relationship Id="rId125" Type="http://schemas.openxmlformats.org/officeDocument/2006/relationships/hyperlink" Target="http://www.sec.gov/Archives/edgar/data/1538263/000110465923011174/tm235386d1_s8.htm" TargetMode="External"/><Relationship Id="rId126" Type="http://schemas.openxmlformats.org/officeDocument/2006/relationships/hyperlink" Target="http://www.sec.gov/Archives/edgar/data/1538263/000153826319000024/a2019-03x31xhtbix10q.htm" TargetMode="External"/><Relationship Id="rId127" Type="http://schemas.openxmlformats.org/officeDocument/2006/relationships/hyperlink" Target="http://www.sec.gov/Archives/edgar/data/1538263/000153826322000047/htbi-2022x06x30xxex1020a.htm" TargetMode="External"/><Relationship Id="rId128" Type="http://schemas.openxmlformats.org/officeDocument/2006/relationships/hyperlink" Target="http://www.sec.gov/Archives/edgar/data/1538263/000153826322000047/htbi-2022x06x30xxex1021a.htm" TargetMode="External"/><Relationship Id="rId129" Type="http://schemas.openxmlformats.org/officeDocument/2006/relationships/hyperlink" Target="http://www.sec.gov/Archives/edgar/data/1538263/000153826323000047/johnsprinkcicamendedandr.htm" TargetMode="External"/><Relationship Id="rId130" Type="http://schemas.openxmlformats.org/officeDocument/2006/relationships/hyperlink" Target="http://www.sec.gov/Archives/edgar/data/1538263/000153826322000047/htbi-2022x06x30xxex1024p.htm" TargetMode="External"/><Relationship Id="rId131" Type="http://schemas.openxmlformats.org/officeDocument/2006/relationships/hyperlink" Target="http://www.sec.gov/Archives/edgar/data/1538263/000153826322000047/pelletiermegan-cicagreem.htm" TargetMode="External"/><Relationship Id="rId132" Type="http://schemas.openxmlformats.org/officeDocument/2006/relationships/hyperlink" Target="http://www.sec.gov/Archives/edgar/data/1538263/000153826323000056/lorajexcicagreementsep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2024-03-12T16:09:51Z</dcterms:created>
  <dcterms:modified xsi:type="dcterms:W3CDTF">2024-03-12T16:09:51Z</dcterms:modified>
</cp:coreProperties>
</file>